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06E4D86">
      <w:pPr>
        <w:pStyle w:val="75"/>
        <w:spacing w:before="0" w:beforeAutospacing="0" w:after="0" w:afterAutospacing="0" w:line="240" w:lineRule="auto"/>
        <w:jc w:val="both"/>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drawing>
          <wp:inline distT="0" distB="0" distL="114300" distR="114300">
            <wp:extent cx="5594350" cy="7394575"/>
            <wp:effectExtent l="0" t="0" r="6350" b="15875"/>
            <wp:docPr id="5" name="图片 5" descr="扫描全能王 2024-10-16 20.38 (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扫描全能王 2024-10-16 20.38 (2)_2"/>
                    <pic:cNvPicPr>
                      <a:picLocks noChangeAspect="1"/>
                    </pic:cNvPicPr>
                  </pic:nvPicPr>
                  <pic:blipFill>
                    <a:blip r:embed="rId11"/>
                    <a:stretch>
                      <a:fillRect/>
                    </a:stretch>
                  </pic:blipFill>
                  <pic:spPr>
                    <a:xfrm>
                      <a:off x="0" y="0"/>
                      <a:ext cx="5594350" cy="7394575"/>
                    </a:xfrm>
                    <a:prstGeom prst="rect">
                      <a:avLst/>
                    </a:prstGeom>
                  </pic:spPr>
                </pic:pic>
              </a:graphicData>
            </a:graphic>
          </wp:inline>
        </w:drawing>
      </w:r>
    </w:p>
    <w:p w14:paraId="19090DCE">
      <w:pPr>
        <w:pStyle w:val="75"/>
        <w:spacing w:before="0" w:beforeAutospacing="0" w:after="0" w:afterAutospacing="0" w:line="240" w:lineRule="auto"/>
        <w:jc w:val="both"/>
        <w:outlineLvl w:val="0"/>
        <w:rPr>
          <w:rFonts w:hint="default" w:ascii="Times New Roman" w:hAnsi="Times New Roman" w:eastAsia="黑体" w:cs="Times New Roman"/>
          <w:snapToGrid w:val="0"/>
          <w:color w:val="auto"/>
          <w:sz w:val="30"/>
          <w:szCs w:val="30"/>
        </w:rPr>
      </w:pPr>
    </w:p>
    <w:p w14:paraId="70BBFC98">
      <w:pPr>
        <w:pStyle w:val="75"/>
        <w:spacing w:before="0" w:beforeAutospacing="0" w:after="0" w:afterAutospacing="0" w:line="240" w:lineRule="auto"/>
        <w:jc w:val="both"/>
        <w:outlineLvl w:val="0"/>
        <w:rPr>
          <w:rFonts w:hint="eastAsia" w:ascii="Times New Roman" w:hAnsi="Times New Roman" w:eastAsia="黑体" w:cs="Times New Roman"/>
          <w:snapToGrid w:val="0"/>
          <w:color w:val="auto"/>
          <w:sz w:val="30"/>
          <w:szCs w:val="30"/>
          <w:lang w:eastAsia="zh-CN"/>
        </w:rPr>
      </w:pPr>
      <w:r>
        <w:rPr>
          <w:rFonts w:hint="eastAsia" w:ascii="Times New Roman" w:hAnsi="Times New Roman" w:eastAsia="黑体" w:cs="Times New Roman"/>
          <w:snapToGrid w:val="0"/>
          <w:color w:val="auto"/>
          <w:sz w:val="30"/>
          <w:szCs w:val="30"/>
          <w:lang w:eastAsia="zh-CN"/>
        </w:rPr>
        <w:drawing>
          <wp:inline distT="0" distB="0" distL="114300" distR="114300">
            <wp:extent cx="5593715" cy="7753985"/>
            <wp:effectExtent l="0" t="0" r="6985" b="18415"/>
            <wp:docPr id="10" name="图片 10" descr="扫描全能王 2024-10-16 20.38 (2)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扫描全能王 2024-10-16 20.38 (2)_3"/>
                    <pic:cNvPicPr>
                      <a:picLocks noChangeAspect="1"/>
                    </pic:cNvPicPr>
                  </pic:nvPicPr>
                  <pic:blipFill>
                    <a:blip r:embed="rId12"/>
                    <a:stretch>
                      <a:fillRect/>
                    </a:stretch>
                  </pic:blipFill>
                  <pic:spPr>
                    <a:xfrm>
                      <a:off x="0" y="0"/>
                      <a:ext cx="5593715" cy="7753985"/>
                    </a:xfrm>
                    <a:prstGeom prst="rect">
                      <a:avLst/>
                    </a:prstGeom>
                  </pic:spPr>
                </pic:pic>
              </a:graphicData>
            </a:graphic>
          </wp:inline>
        </w:drawing>
      </w:r>
    </w:p>
    <w:p w14:paraId="2CEA45FA">
      <w:pPr>
        <w:pStyle w:val="75"/>
        <w:spacing w:before="0" w:beforeAutospacing="0" w:after="0" w:afterAutospacing="0" w:line="240" w:lineRule="auto"/>
        <w:jc w:val="both"/>
        <w:outlineLvl w:val="0"/>
        <w:rPr>
          <w:rFonts w:hint="default" w:ascii="Times New Roman" w:hAnsi="Times New Roman" w:eastAsia="黑体" w:cs="Times New Roman"/>
          <w:snapToGrid w:val="0"/>
          <w:color w:val="auto"/>
          <w:sz w:val="30"/>
          <w:szCs w:val="30"/>
        </w:rPr>
      </w:pPr>
    </w:p>
    <w:p w14:paraId="49B4EC9F">
      <w:pPr>
        <w:pStyle w:val="75"/>
        <w:spacing w:before="0" w:beforeAutospacing="0" w:after="0" w:afterAutospacing="0" w:line="240" w:lineRule="auto"/>
        <w:jc w:val="both"/>
        <w:outlineLvl w:val="0"/>
        <w:rPr>
          <w:rFonts w:hint="default" w:ascii="Times New Roman" w:hAnsi="Times New Roman" w:eastAsia="黑体" w:cs="Times New Roman"/>
          <w:snapToGrid w:val="0"/>
          <w:color w:val="auto"/>
          <w:sz w:val="30"/>
          <w:szCs w:val="30"/>
        </w:rPr>
      </w:pPr>
    </w:p>
    <w:p w14:paraId="63A42606">
      <w:pPr>
        <w:pStyle w:val="75"/>
        <w:spacing w:before="0" w:beforeAutospacing="0" w:after="0" w:afterAutospacing="0" w:line="240" w:lineRule="auto"/>
        <w:jc w:val="both"/>
        <w:outlineLvl w:val="0"/>
        <w:rPr>
          <w:rFonts w:hint="default" w:ascii="Times New Roman" w:hAnsi="Times New Roman" w:eastAsia="黑体" w:cs="Times New Roman"/>
          <w:snapToGrid w:val="0"/>
          <w:color w:val="auto"/>
          <w:sz w:val="30"/>
          <w:szCs w:val="30"/>
        </w:rPr>
      </w:pPr>
    </w:p>
    <w:p w14:paraId="6BC8D4F8">
      <w:pPr>
        <w:pStyle w:val="75"/>
        <w:spacing w:before="0" w:beforeAutospacing="0" w:after="0" w:afterAutospacing="0" w:line="240" w:lineRule="auto"/>
        <w:jc w:val="both"/>
        <w:outlineLvl w:val="0"/>
        <w:rPr>
          <w:rFonts w:hint="default" w:ascii="Times New Roman" w:hAnsi="Times New Roman" w:eastAsia="黑体" w:cs="Times New Roman"/>
          <w:snapToGrid w:val="0"/>
          <w:color w:val="auto"/>
          <w:sz w:val="30"/>
          <w:szCs w:val="30"/>
        </w:rPr>
      </w:pPr>
    </w:p>
    <w:p w14:paraId="48D67AC2">
      <w:pPr>
        <w:pStyle w:val="75"/>
        <w:spacing w:before="0" w:beforeAutospacing="0" w:after="0" w:afterAutospacing="0" w:line="240" w:lineRule="auto"/>
        <w:jc w:val="both"/>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一、建设项目基本情况</w:t>
      </w:r>
    </w:p>
    <w:tbl>
      <w:tblPr>
        <w:tblStyle w:val="8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492"/>
        <w:gridCol w:w="596"/>
        <w:gridCol w:w="876"/>
        <w:gridCol w:w="2275"/>
        <w:gridCol w:w="2112"/>
        <w:gridCol w:w="2519"/>
      </w:tblGrid>
      <w:tr w14:paraId="445318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964" w:type="dxa"/>
            <w:gridSpan w:val="3"/>
            <w:tcMar>
              <w:top w:w="16" w:type="dxa"/>
              <w:left w:w="16" w:type="dxa"/>
              <w:right w:w="16" w:type="dxa"/>
            </w:tcMar>
            <w:vAlign w:val="center"/>
          </w:tcPr>
          <w:p w14:paraId="5CEEEAAF">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rPr>
              <w:t>建设项目名称</w:t>
            </w:r>
          </w:p>
        </w:tc>
        <w:tc>
          <w:tcPr>
            <w:tcW w:w="6906" w:type="dxa"/>
            <w:gridSpan w:val="3"/>
            <w:vAlign w:val="center"/>
          </w:tcPr>
          <w:p w14:paraId="0064BA55">
            <w:pPr>
              <w:adjustRightInd w:val="0"/>
              <w:snapToGrid w:val="0"/>
              <w:spacing w:line="420" w:lineRule="exact"/>
              <w:jc w:val="center"/>
              <w:rPr>
                <w:rFonts w:hint="default" w:ascii="Times New Roman" w:hAnsi="Times New Roman" w:cs="Times New Roman"/>
                <w:color w:val="auto"/>
              </w:rPr>
            </w:pPr>
            <w:r>
              <w:rPr>
                <w:rFonts w:hint="eastAsia" w:cs="Times New Roman"/>
                <w:color w:val="auto"/>
                <w:lang w:eastAsia="zh-CN"/>
              </w:rPr>
              <w:t>爱浦润生态农业科技（山东）有限公司年产60万吨复混肥料项目（</w:t>
            </w:r>
            <w:r>
              <w:rPr>
                <w:rFonts w:hint="eastAsia" w:cs="Times New Roman"/>
                <w:color w:val="auto"/>
                <w:lang w:val="en-US" w:eastAsia="zh-CN"/>
              </w:rPr>
              <w:t>一期</w:t>
            </w:r>
            <w:r>
              <w:rPr>
                <w:rFonts w:hint="eastAsia" w:cs="Times New Roman"/>
                <w:color w:val="auto"/>
                <w:lang w:eastAsia="zh-CN"/>
              </w:rPr>
              <w:t>）</w:t>
            </w:r>
          </w:p>
        </w:tc>
      </w:tr>
      <w:tr w14:paraId="36168A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3"/>
            <w:tcMar>
              <w:top w:w="16" w:type="dxa"/>
              <w:left w:w="16" w:type="dxa"/>
              <w:right w:w="16" w:type="dxa"/>
            </w:tcMar>
            <w:vAlign w:val="center"/>
          </w:tcPr>
          <w:p w14:paraId="704F6CA0">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rPr>
              <w:t>项目代码</w:t>
            </w:r>
          </w:p>
        </w:tc>
        <w:tc>
          <w:tcPr>
            <w:tcW w:w="6906" w:type="dxa"/>
            <w:gridSpan w:val="3"/>
            <w:vAlign w:val="center"/>
          </w:tcPr>
          <w:p w14:paraId="645B29F7">
            <w:pPr>
              <w:adjustRightInd w:val="0"/>
              <w:snapToGrid w:val="0"/>
              <w:spacing w:line="420" w:lineRule="exact"/>
              <w:jc w:val="center"/>
              <w:rPr>
                <w:rFonts w:hint="default" w:ascii="Times New Roman" w:hAnsi="Times New Roman" w:eastAsia="宋体" w:cs="Times New Roman"/>
                <w:color w:val="auto"/>
                <w:lang w:eastAsia="zh-CN"/>
              </w:rPr>
            </w:pPr>
            <w:r>
              <w:rPr>
                <w:rFonts w:hint="eastAsia" w:cs="Times New Roman"/>
                <w:color w:val="auto"/>
                <w:highlight w:val="none"/>
                <w:lang w:eastAsia="zh-CN"/>
              </w:rPr>
              <w:t>2308-370302-89-01-145088</w:t>
            </w:r>
          </w:p>
        </w:tc>
      </w:tr>
      <w:tr w14:paraId="1AF289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3"/>
            <w:tcMar>
              <w:top w:w="16" w:type="dxa"/>
              <w:left w:w="16" w:type="dxa"/>
              <w:right w:w="16" w:type="dxa"/>
            </w:tcMar>
            <w:vAlign w:val="center"/>
          </w:tcPr>
          <w:p w14:paraId="768599FF">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rPr>
              <w:t>建设单位联系人</w:t>
            </w:r>
          </w:p>
        </w:tc>
        <w:tc>
          <w:tcPr>
            <w:tcW w:w="2275" w:type="dxa"/>
            <w:vAlign w:val="center"/>
          </w:tcPr>
          <w:p w14:paraId="2E68192B">
            <w:pPr>
              <w:adjustRightInd w:val="0"/>
              <w:snapToGrid w:val="0"/>
              <w:spacing w:line="420" w:lineRule="exact"/>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吕咏锴</w:t>
            </w:r>
          </w:p>
        </w:tc>
        <w:tc>
          <w:tcPr>
            <w:tcW w:w="2112" w:type="dxa"/>
            <w:vAlign w:val="center"/>
          </w:tcPr>
          <w:p w14:paraId="5EC735F9">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rPr>
              <w:t>联系方式</w:t>
            </w:r>
          </w:p>
        </w:tc>
        <w:tc>
          <w:tcPr>
            <w:tcW w:w="2519" w:type="dxa"/>
            <w:vAlign w:val="center"/>
          </w:tcPr>
          <w:p w14:paraId="1B3542E7">
            <w:pPr>
              <w:adjustRightInd w:val="0"/>
              <w:snapToGrid w:val="0"/>
              <w:spacing w:line="420" w:lineRule="exact"/>
              <w:jc w:val="center"/>
              <w:rPr>
                <w:rFonts w:hint="default" w:ascii="Times New Roman" w:hAnsi="Times New Roman" w:cs="Times New Roman"/>
                <w:color w:val="auto"/>
                <w:lang w:val="en-US"/>
              </w:rPr>
            </w:pPr>
            <w:r>
              <w:rPr>
                <w:rFonts w:hint="eastAsia" w:cs="Times New Roman"/>
                <w:color w:val="auto"/>
                <w:lang w:val="en-US" w:eastAsia="zh-CN"/>
              </w:rPr>
              <w:t>13792195555</w:t>
            </w:r>
          </w:p>
        </w:tc>
      </w:tr>
      <w:tr w14:paraId="197ED9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3"/>
            <w:tcMar>
              <w:top w:w="16" w:type="dxa"/>
              <w:left w:w="16" w:type="dxa"/>
              <w:right w:w="16" w:type="dxa"/>
            </w:tcMar>
            <w:vAlign w:val="center"/>
          </w:tcPr>
          <w:p w14:paraId="172798C8">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rPr>
              <w:t>建设地点</w:t>
            </w:r>
          </w:p>
        </w:tc>
        <w:tc>
          <w:tcPr>
            <w:tcW w:w="6906" w:type="dxa"/>
            <w:gridSpan w:val="3"/>
            <w:vAlign w:val="center"/>
          </w:tcPr>
          <w:p w14:paraId="5351FE5E">
            <w:pPr>
              <w:adjustRightInd w:val="0"/>
              <w:snapToGrid w:val="0"/>
              <w:spacing w:line="240" w:lineRule="auto"/>
              <w:jc w:val="center"/>
              <w:rPr>
                <w:rFonts w:hint="default" w:ascii="Times New Roman" w:hAnsi="Times New Roman" w:eastAsia="宋体" w:cs="Times New Roman"/>
                <w:color w:val="auto"/>
                <w:lang w:eastAsia="zh-CN"/>
              </w:rPr>
            </w:pPr>
            <w:r>
              <w:rPr>
                <w:rFonts w:hint="eastAsia" w:cs="Times New Roman"/>
                <w:color w:val="auto"/>
                <w:lang w:eastAsia="zh-CN"/>
              </w:rPr>
              <w:t>山东省淄博市淄川区双杨镇赵瓦村102省道与张博路交叉口东北200米</w:t>
            </w:r>
          </w:p>
        </w:tc>
      </w:tr>
      <w:tr w14:paraId="3B9DAB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3"/>
            <w:tcMar>
              <w:top w:w="16" w:type="dxa"/>
              <w:left w:w="16" w:type="dxa"/>
              <w:right w:w="16" w:type="dxa"/>
            </w:tcMar>
            <w:vAlign w:val="center"/>
          </w:tcPr>
          <w:p w14:paraId="58C6F3F1">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rPr>
              <w:t>地理坐标</w:t>
            </w:r>
          </w:p>
        </w:tc>
        <w:tc>
          <w:tcPr>
            <w:tcW w:w="6906" w:type="dxa"/>
            <w:gridSpan w:val="3"/>
            <w:vAlign w:val="center"/>
          </w:tcPr>
          <w:p w14:paraId="5C3CC0E8">
            <w:pPr>
              <w:spacing w:line="420" w:lineRule="exact"/>
              <w:jc w:val="center"/>
              <w:rPr>
                <w:rFonts w:hint="default" w:ascii="Times New Roman" w:hAnsi="Times New Roman" w:cs="Times New Roman"/>
                <w:color w:val="FF0000"/>
              </w:rPr>
            </w:pPr>
            <w:r>
              <w:rPr>
                <w:rFonts w:hint="default" w:ascii="Times New Roman" w:hAnsi="Times New Roman" w:cs="Times New Roman"/>
                <w:color w:val="auto"/>
                <w:highlight w:val="none"/>
              </w:rPr>
              <w:t>（</w:t>
            </w:r>
            <w:bookmarkStart w:id="0" w:name="_Hlk71440774"/>
            <w:r>
              <w:rPr>
                <w:rFonts w:hint="default" w:ascii="Times New Roman" w:hAnsi="Times New Roman" w:cs="Times New Roman"/>
                <w:color w:val="auto"/>
                <w:highlight w:val="none"/>
                <w:u w:val="single"/>
              </w:rPr>
              <w:t>36</w:t>
            </w:r>
            <w:r>
              <w:rPr>
                <w:rFonts w:hint="default" w:ascii="Times New Roman" w:hAnsi="Times New Roman" w:cs="Times New Roman"/>
                <w:color w:val="auto"/>
                <w:highlight w:val="none"/>
              </w:rPr>
              <w:t>度</w:t>
            </w:r>
            <w:r>
              <w:rPr>
                <w:rFonts w:hint="default" w:ascii="Times New Roman" w:hAnsi="Times New Roman" w:cs="Times New Roman"/>
                <w:color w:val="auto"/>
                <w:highlight w:val="none"/>
                <w:u w:val="single"/>
                <w:lang w:val="en-US" w:eastAsia="zh-CN"/>
              </w:rPr>
              <w:t>4</w:t>
            </w:r>
            <w:r>
              <w:rPr>
                <w:rFonts w:hint="eastAsia" w:cs="Times New Roman"/>
                <w:color w:val="auto"/>
                <w:highlight w:val="none"/>
                <w:u w:val="single"/>
                <w:lang w:val="en-US" w:eastAsia="zh-CN"/>
              </w:rPr>
              <w:t>2</w:t>
            </w:r>
            <w:r>
              <w:rPr>
                <w:rFonts w:hint="default" w:ascii="Times New Roman" w:hAnsi="Times New Roman" w:cs="Times New Roman"/>
                <w:color w:val="auto"/>
                <w:highlight w:val="none"/>
              </w:rPr>
              <w:t>分</w:t>
            </w:r>
            <w:r>
              <w:rPr>
                <w:rFonts w:hint="eastAsia" w:cs="Times New Roman"/>
                <w:color w:val="auto"/>
                <w:highlight w:val="none"/>
                <w:u w:val="single"/>
                <w:lang w:val="en-US" w:eastAsia="zh-CN"/>
              </w:rPr>
              <w:t>24.301</w:t>
            </w:r>
            <w:r>
              <w:rPr>
                <w:rFonts w:hint="default" w:ascii="Times New Roman" w:hAnsi="Times New Roman" w:cs="Times New Roman"/>
                <w:color w:val="auto"/>
                <w:highlight w:val="none"/>
              </w:rPr>
              <w:t>秒，</w:t>
            </w:r>
            <w:r>
              <w:rPr>
                <w:rFonts w:hint="default" w:ascii="Times New Roman" w:hAnsi="Times New Roman" w:cs="Times New Roman"/>
                <w:color w:val="auto"/>
                <w:highlight w:val="none"/>
                <w:u w:val="single"/>
              </w:rPr>
              <w:t>11</w:t>
            </w:r>
            <w:r>
              <w:rPr>
                <w:rFonts w:hint="eastAsia" w:cs="Times New Roman"/>
                <w:color w:val="auto"/>
                <w:highlight w:val="none"/>
                <w:u w:val="single"/>
                <w:lang w:val="en-US" w:eastAsia="zh-CN"/>
              </w:rPr>
              <w:t>8</w:t>
            </w:r>
            <w:r>
              <w:rPr>
                <w:rFonts w:hint="default" w:ascii="Times New Roman" w:hAnsi="Times New Roman" w:cs="Times New Roman"/>
                <w:color w:val="auto"/>
                <w:highlight w:val="none"/>
              </w:rPr>
              <w:t>度</w:t>
            </w:r>
            <w:r>
              <w:rPr>
                <w:rFonts w:hint="eastAsia" w:cs="Times New Roman"/>
                <w:color w:val="auto"/>
                <w:highlight w:val="none"/>
                <w:u w:val="single"/>
                <w:lang w:val="en-US" w:eastAsia="zh-CN"/>
              </w:rPr>
              <w:t>00</w:t>
            </w:r>
            <w:r>
              <w:rPr>
                <w:rFonts w:hint="default" w:ascii="Times New Roman" w:hAnsi="Times New Roman" w:cs="Times New Roman"/>
                <w:color w:val="auto"/>
                <w:highlight w:val="none"/>
              </w:rPr>
              <w:t>分</w:t>
            </w:r>
            <w:r>
              <w:rPr>
                <w:rFonts w:hint="eastAsia" w:cs="Times New Roman"/>
                <w:color w:val="auto"/>
                <w:highlight w:val="none"/>
                <w:u w:val="single"/>
                <w:lang w:val="en-US" w:eastAsia="zh-CN"/>
              </w:rPr>
              <w:t>17.576</w:t>
            </w:r>
            <w:r>
              <w:rPr>
                <w:rFonts w:hint="default" w:ascii="Times New Roman" w:hAnsi="Times New Roman" w:cs="Times New Roman"/>
                <w:color w:val="auto"/>
                <w:highlight w:val="none"/>
              </w:rPr>
              <w:t>秒</w:t>
            </w:r>
            <w:bookmarkEnd w:id="0"/>
            <w:r>
              <w:rPr>
                <w:rFonts w:hint="default" w:ascii="Times New Roman" w:hAnsi="Times New Roman" w:cs="Times New Roman"/>
                <w:color w:val="auto"/>
                <w:highlight w:val="none"/>
              </w:rPr>
              <w:t>）</w:t>
            </w:r>
          </w:p>
        </w:tc>
      </w:tr>
      <w:tr w14:paraId="6B6051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964" w:type="dxa"/>
            <w:gridSpan w:val="3"/>
            <w:tcMar>
              <w:top w:w="16" w:type="dxa"/>
              <w:left w:w="16" w:type="dxa"/>
              <w:right w:w="16" w:type="dxa"/>
            </w:tcMar>
            <w:vAlign w:val="center"/>
          </w:tcPr>
          <w:p w14:paraId="62C6162E">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rPr>
              <w:t>国民经济</w:t>
            </w:r>
          </w:p>
          <w:p w14:paraId="36CDF0EA">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rPr>
              <w:t>行业类别</w:t>
            </w:r>
          </w:p>
        </w:tc>
        <w:tc>
          <w:tcPr>
            <w:tcW w:w="2275" w:type="dxa"/>
            <w:vAlign w:val="center"/>
          </w:tcPr>
          <w:p w14:paraId="6FB03855">
            <w:pPr>
              <w:adjustRightInd w:val="0"/>
              <w:snapToGrid w:val="0"/>
              <w:jc w:val="center"/>
              <w:rPr>
                <w:rFonts w:hint="eastAsia" w:ascii="Times New Roman" w:hAnsi="Times New Roman" w:eastAsia="宋体" w:cs="Times New Roman"/>
                <w:color w:val="auto"/>
                <w:lang w:val="en-US" w:eastAsia="zh-CN"/>
              </w:rPr>
            </w:pPr>
            <w:r>
              <w:rPr>
                <w:rFonts w:hint="eastAsia" w:cs="Times New Roman"/>
                <w:color w:val="auto"/>
                <w:lang w:eastAsia="zh-CN"/>
              </w:rPr>
              <w:t>C2624复混肥料制造</w:t>
            </w:r>
          </w:p>
        </w:tc>
        <w:tc>
          <w:tcPr>
            <w:tcW w:w="2112" w:type="dxa"/>
            <w:vAlign w:val="center"/>
          </w:tcPr>
          <w:p w14:paraId="67E31199">
            <w:pPr>
              <w:adjustRightInd w:val="0"/>
              <w:snapToGrid w:val="0"/>
              <w:spacing w:line="420" w:lineRule="exact"/>
              <w:jc w:val="center"/>
              <w:rPr>
                <w:rFonts w:hint="default" w:ascii="Times New Roman" w:hAnsi="Times New Roman" w:cs="Times New Roman"/>
                <w:color w:val="auto"/>
              </w:rPr>
            </w:pPr>
            <w:bookmarkStart w:id="1" w:name="_Hlk49843745"/>
            <w:r>
              <w:rPr>
                <w:rFonts w:hint="default" w:ascii="Times New Roman" w:hAnsi="Times New Roman" w:cs="Times New Roman"/>
                <w:color w:val="auto"/>
              </w:rPr>
              <w:t>建设项目</w:t>
            </w:r>
          </w:p>
          <w:p w14:paraId="684A236F">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rPr>
              <w:t>行业类别</w:t>
            </w:r>
            <w:bookmarkEnd w:id="1"/>
          </w:p>
        </w:tc>
        <w:tc>
          <w:tcPr>
            <w:tcW w:w="2519" w:type="dxa"/>
            <w:vAlign w:val="center"/>
          </w:tcPr>
          <w:p w14:paraId="027EA9FA">
            <w:pPr>
              <w:numPr>
                <w:ilvl w:val="0"/>
                <w:numId w:val="0"/>
              </w:numPr>
              <w:adjustRightInd w:val="0"/>
              <w:snapToGrid w:val="0"/>
              <w:jc w:val="center"/>
              <w:rPr>
                <w:rFonts w:hint="default" w:ascii="Times New Roman" w:hAnsi="Times New Roman" w:cs="Times New Roman"/>
                <w:color w:val="auto"/>
                <w:lang w:val="en-US" w:eastAsia="zh-CN"/>
              </w:rPr>
            </w:pPr>
            <w:r>
              <w:rPr>
                <w:rFonts w:hint="eastAsia" w:ascii="Times New Roman" w:hAnsi="Times New Roman" w:cs="Times New Roman"/>
                <w:color w:val="auto"/>
                <w:lang w:eastAsia="zh-CN"/>
              </w:rPr>
              <w:t>二十三、化学原料和化学制品制造业 26</w:t>
            </w:r>
            <w:r>
              <w:rPr>
                <w:rFonts w:hint="eastAsia" w:cs="Times New Roman"/>
                <w:color w:val="auto"/>
                <w:lang w:val="en-US" w:eastAsia="zh-CN"/>
              </w:rPr>
              <w:t>-45 肥料制造262</w:t>
            </w:r>
            <w:r>
              <w:rPr>
                <w:rFonts w:hint="eastAsia" w:ascii="Times New Roman" w:hAnsi="Times New Roman" w:cs="Times New Roman"/>
                <w:color w:val="auto"/>
                <w:lang w:eastAsia="zh-CN"/>
              </w:rPr>
              <w:t>－</w:t>
            </w:r>
            <w:r>
              <w:rPr>
                <w:rFonts w:hint="default" w:ascii="Times New Roman" w:hAnsi="Times New Roman" w:cs="Times New Roman"/>
                <w:color w:val="auto"/>
              </w:rPr>
              <w:t>其他</w:t>
            </w:r>
          </w:p>
        </w:tc>
      </w:tr>
      <w:tr w14:paraId="2F6209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964" w:type="dxa"/>
            <w:gridSpan w:val="3"/>
            <w:tcMar>
              <w:top w:w="16" w:type="dxa"/>
              <w:left w:w="16" w:type="dxa"/>
              <w:right w:w="16" w:type="dxa"/>
            </w:tcMar>
            <w:vAlign w:val="center"/>
          </w:tcPr>
          <w:p w14:paraId="3DE8635F">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rPr>
              <w:t>建设性质</w:t>
            </w:r>
          </w:p>
        </w:tc>
        <w:tc>
          <w:tcPr>
            <w:tcW w:w="2275" w:type="dxa"/>
            <w:vAlign w:val="center"/>
          </w:tcPr>
          <w:p w14:paraId="147FBACD">
            <w:pPr>
              <w:spacing w:line="420" w:lineRule="exact"/>
              <w:jc w:val="left"/>
              <w:rPr>
                <w:rFonts w:hint="default" w:ascii="Times New Roman" w:hAnsi="Times New Roman" w:cs="Times New Roman"/>
                <w:color w:val="auto"/>
              </w:rPr>
            </w:pPr>
            <w:r>
              <w:rPr>
                <w:rFonts w:hint="default" w:ascii="Times New Roman" w:hAnsi="Times New Roman" w:cs="Times New Roman"/>
                <w:color w:val="auto"/>
              </w:rPr>
              <w:t>√新建（迁建）</w:t>
            </w:r>
          </w:p>
          <w:p w14:paraId="59BBD4DF">
            <w:pPr>
              <w:spacing w:line="420" w:lineRule="exact"/>
              <w:jc w:val="left"/>
              <w:rPr>
                <w:rFonts w:hint="default" w:ascii="Times New Roman" w:hAnsi="Times New Roman" w:cs="Times New Roman"/>
                <w:color w:val="auto"/>
              </w:rPr>
            </w:pPr>
            <w:r>
              <w:rPr>
                <w:rFonts w:hint="eastAsia" w:cs="Times New Roman"/>
                <w:color w:val="auto"/>
                <w:lang w:val="en-US" w:eastAsia="zh-CN"/>
              </w:rPr>
              <w:t>□</w:t>
            </w:r>
            <w:r>
              <w:rPr>
                <w:rFonts w:hint="default" w:ascii="Times New Roman" w:hAnsi="Times New Roman" w:cs="Times New Roman"/>
                <w:color w:val="auto"/>
              </w:rPr>
              <w:t>改建</w:t>
            </w:r>
          </w:p>
          <w:p w14:paraId="080B14A8">
            <w:pPr>
              <w:spacing w:line="420" w:lineRule="exact"/>
              <w:jc w:val="left"/>
              <w:rPr>
                <w:rFonts w:hint="default" w:ascii="Times New Roman" w:hAnsi="Times New Roman" w:cs="Times New Roman"/>
                <w:color w:val="auto"/>
              </w:rPr>
            </w:pPr>
            <w:r>
              <w:rPr>
                <w:rFonts w:hint="eastAsia" w:cs="Times New Roman"/>
                <w:color w:val="auto"/>
                <w:lang w:val="en-US" w:eastAsia="zh-CN"/>
              </w:rPr>
              <w:t>□</w:t>
            </w:r>
            <w:r>
              <w:rPr>
                <w:rFonts w:hint="default" w:ascii="Times New Roman" w:hAnsi="Times New Roman" w:cs="Times New Roman"/>
                <w:color w:val="auto"/>
              </w:rPr>
              <w:t>扩建</w:t>
            </w:r>
          </w:p>
          <w:p w14:paraId="4C9C5287">
            <w:pPr>
              <w:spacing w:line="420" w:lineRule="exact"/>
              <w:jc w:val="left"/>
              <w:rPr>
                <w:rFonts w:hint="default" w:ascii="Times New Roman" w:hAnsi="Times New Roman" w:cs="Times New Roman"/>
                <w:color w:val="auto"/>
              </w:rPr>
            </w:pPr>
            <w:r>
              <w:rPr>
                <w:rFonts w:hint="eastAsia" w:cs="Times New Roman"/>
                <w:color w:val="auto"/>
                <w:lang w:val="en-US" w:eastAsia="zh-CN"/>
              </w:rPr>
              <w:t>□</w:t>
            </w:r>
            <w:r>
              <w:rPr>
                <w:rFonts w:hint="default" w:ascii="Times New Roman" w:hAnsi="Times New Roman" w:cs="Times New Roman"/>
                <w:color w:val="auto"/>
              </w:rPr>
              <w:t>技术改造</w:t>
            </w:r>
          </w:p>
        </w:tc>
        <w:tc>
          <w:tcPr>
            <w:tcW w:w="2112" w:type="dxa"/>
            <w:vAlign w:val="center"/>
          </w:tcPr>
          <w:p w14:paraId="03D3272E">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rPr>
              <w:t>建设项目</w:t>
            </w:r>
          </w:p>
          <w:p w14:paraId="5E601484">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rPr>
              <w:t>申报情形</w:t>
            </w:r>
          </w:p>
        </w:tc>
        <w:tc>
          <w:tcPr>
            <w:tcW w:w="2519" w:type="dxa"/>
            <w:vAlign w:val="center"/>
          </w:tcPr>
          <w:p w14:paraId="6EFD0615">
            <w:pPr>
              <w:spacing w:line="420" w:lineRule="exact"/>
              <w:jc w:val="left"/>
              <w:rPr>
                <w:rFonts w:hint="default" w:ascii="Times New Roman" w:hAnsi="Times New Roman" w:cs="Times New Roman"/>
                <w:color w:val="auto"/>
              </w:rPr>
            </w:pPr>
            <w:r>
              <w:rPr>
                <w:rFonts w:hint="default" w:ascii="Times New Roman" w:hAnsi="Times New Roman" w:cs="Times New Roman"/>
                <w:color w:val="auto"/>
              </w:rPr>
              <w:t xml:space="preserve">√首次申报项目             </w:t>
            </w:r>
          </w:p>
          <w:p w14:paraId="0F5BA1AE">
            <w:pPr>
              <w:spacing w:line="420" w:lineRule="exact"/>
              <w:jc w:val="left"/>
              <w:rPr>
                <w:rFonts w:hint="default" w:ascii="Times New Roman" w:hAnsi="Times New Roman" w:cs="Times New Roman"/>
                <w:color w:val="auto"/>
              </w:rPr>
            </w:pPr>
            <w:r>
              <w:rPr>
                <w:rFonts w:hint="eastAsia" w:cs="Times New Roman"/>
                <w:color w:val="auto"/>
                <w:lang w:val="en-US" w:eastAsia="zh-CN"/>
              </w:rPr>
              <w:t>□</w:t>
            </w:r>
            <w:r>
              <w:rPr>
                <w:rFonts w:hint="default" w:ascii="Times New Roman" w:hAnsi="Times New Roman" w:cs="Times New Roman"/>
                <w:color w:val="auto"/>
              </w:rPr>
              <w:t>不予批准后再次申报项</w:t>
            </w:r>
          </w:p>
          <w:p w14:paraId="1F463546">
            <w:pPr>
              <w:spacing w:line="420" w:lineRule="exact"/>
              <w:jc w:val="left"/>
              <w:rPr>
                <w:rFonts w:hint="default" w:ascii="Times New Roman" w:hAnsi="Times New Roman" w:cs="Times New Roman"/>
                <w:color w:val="auto"/>
              </w:rPr>
            </w:pPr>
            <w:r>
              <w:rPr>
                <w:rFonts w:hint="eastAsia" w:cs="Times New Roman"/>
                <w:color w:val="auto"/>
                <w:lang w:val="en-US" w:eastAsia="zh-CN"/>
              </w:rPr>
              <w:t>□</w:t>
            </w:r>
            <w:r>
              <w:rPr>
                <w:rFonts w:hint="default" w:ascii="Times New Roman" w:hAnsi="Times New Roman" w:cs="Times New Roman"/>
                <w:color w:val="auto"/>
              </w:rPr>
              <w:t xml:space="preserve">超五年重新审核项目     </w:t>
            </w:r>
          </w:p>
          <w:p w14:paraId="111BC0B1">
            <w:pPr>
              <w:spacing w:line="420" w:lineRule="exact"/>
              <w:jc w:val="left"/>
              <w:rPr>
                <w:rFonts w:hint="default" w:ascii="Times New Roman" w:hAnsi="Times New Roman" w:cs="Times New Roman"/>
                <w:color w:val="auto"/>
              </w:rPr>
            </w:pPr>
            <w:r>
              <w:rPr>
                <w:rFonts w:hint="eastAsia" w:cs="Times New Roman"/>
                <w:color w:val="auto"/>
                <w:lang w:val="en-US" w:eastAsia="zh-CN"/>
              </w:rPr>
              <w:t>□</w:t>
            </w:r>
            <w:r>
              <w:rPr>
                <w:rFonts w:hint="default" w:ascii="Times New Roman" w:hAnsi="Times New Roman" w:cs="Times New Roman"/>
                <w:color w:val="auto"/>
              </w:rPr>
              <w:t>重大变动重新报批项目</w:t>
            </w:r>
          </w:p>
        </w:tc>
      </w:tr>
      <w:tr w14:paraId="337615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964" w:type="dxa"/>
            <w:gridSpan w:val="3"/>
            <w:tcMar>
              <w:top w:w="16" w:type="dxa"/>
              <w:left w:w="16" w:type="dxa"/>
              <w:right w:w="16" w:type="dxa"/>
            </w:tcMar>
            <w:vAlign w:val="center"/>
          </w:tcPr>
          <w:p w14:paraId="56F5B6E9">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rPr>
              <w:t>项目备案部门</w:t>
            </w:r>
          </w:p>
        </w:tc>
        <w:tc>
          <w:tcPr>
            <w:tcW w:w="2275" w:type="dxa"/>
            <w:vAlign w:val="center"/>
          </w:tcPr>
          <w:p w14:paraId="13636833">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rPr>
              <w:t>淄川区行政审批服务局</w:t>
            </w:r>
          </w:p>
        </w:tc>
        <w:tc>
          <w:tcPr>
            <w:tcW w:w="2112" w:type="dxa"/>
            <w:vAlign w:val="center"/>
          </w:tcPr>
          <w:p w14:paraId="04517FE3">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rPr>
              <w:t>项目备案文号</w:t>
            </w:r>
          </w:p>
        </w:tc>
        <w:tc>
          <w:tcPr>
            <w:tcW w:w="2519" w:type="dxa"/>
            <w:vAlign w:val="center"/>
          </w:tcPr>
          <w:p w14:paraId="73B7943A">
            <w:pPr>
              <w:adjustRightInd w:val="0"/>
              <w:snapToGrid w:val="0"/>
              <w:spacing w:line="420" w:lineRule="exact"/>
              <w:jc w:val="center"/>
              <w:rPr>
                <w:rFonts w:hint="default" w:ascii="Times New Roman" w:hAnsi="Times New Roman" w:eastAsia="宋体" w:cs="Times New Roman"/>
                <w:color w:val="auto"/>
                <w:lang w:eastAsia="zh-CN"/>
              </w:rPr>
            </w:pPr>
            <w:r>
              <w:rPr>
                <w:rFonts w:hint="eastAsia" w:cs="Times New Roman"/>
                <w:color w:val="auto"/>
                <w:highlight w:val="none"/>
                <w:lang w:eastAsia="zh-CN"/>
              </w:rPr>
              <w:t>2308-370302-89-01-145088</w:t>
            </w:r>
          </w:p>
        </w:tc>
      </w:tr>
      <w:tr w14:paraId="7EF683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3"/>
            <w:tcMar>
              <w:top w:w="16" w:type="dxa"/>
              <w:left w:w="16" w:type="dxa"/>
              <w:right w:w="16" w:type="dxa"/>
            </w:tcMar>
            <w:vAlign w:val="center"/>
          </w:tcPr>
          <w:p w14:paraId="4FC3007E">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rPr>
              <w:t>总投资（万元）</w:t>
            </w:r>
          </w:p>
        </w:tc>
        <w:tc>
          <w:tcPr>
            <w:tcW w:w="2275" w:type="dxa"/>
            <w:vAlign w:val="center"/>
          </w:tcPr>
          <w:p w14:paraId="2D0C7141">
            <w:pPr>
              <w:adjustRightInd w:val="0"/>
              <w:snapToGrid w:val="0"/>
              <w:spacing w:line="420" w:lineRule="exact"/>
              <w:jc w:val="center"/>
              <w:rPr>
                <w:rFonts w:hint="default" w:ascii="Times New Roman" w:hAnsi="Times New Roman" w:cs="Times New Roman"/>
                <w:color w:val="auto"/>
                <w:lang w:val="en-US"/>
              </w:rPr>
            </w:pPr>
            <w:r>
              <w:rPr>
                <w:rFonts w:hint="eastAsia" w:cs="Times New Roman"/>
                <w:color w:val="auto"/>
                <w:lang w:val="en-US" w:eastAsia="zh-CN"/>
              </w:rPr>
              <w:t>总投资25000（其中一期15000）</w:t>
            </w:r>
          </w:p>
        </w:tc>
        <w:tc>
          <w:tcPr>
            <w:tcW w:w="2112" w:type="dxa"/>
            <w:tcMar>
              <w:top w:w="16" w:type="dxa"/>
              <w:left w:w="16" w:type="dxa"/>
              <w:right w:w="16" w:type="dxa"/>
            </w:tcMar>
            <w:vAlign w:val="center"/>
          </w:tcPr>
          <w:p w14:paraId="13A812FF">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rPr>
              <w:t>环保投资（万元）</w:t>
            </w:r>
          </w:p>
        </w:tc>
        <w:tc>
          <w:tcPr>
            <w:tcW w:w="2519" w:type="dxa"/>
            <w:vAlign w:val="center"/>
          </w:tcPr>
          <w:p w14:paraId="38B16B6C">
            <w:pPr>
              <w:adjustRightInd w:val="0"/>
              <w:snapToGrid w:val="0"/>
              <w:spacing w:line="420" w:lineRule="exact"/>
              <w:jc w:val="center"/>
              <w:rPr>
                <w:rFonts w:hint="default" w:ascii="Times New Roman" w:hAnsi="Times New Roman" w:eastAsia="宋体" w:cs="Times New Roman"/>
                <w:color w:val="auto"/>
                <w:lang w:val="en-US" w:eastAsia="zh-CN"/>
              </w:rPr>
            </w:pPr>
            <w:r>
              <w:rPr>
                <w:rFonts w:hint="eastAsia" w:cs="Times New Roman"/>
                <w:color w:val="auto"/>
                <w:lang w:val="en-US" w:eastAsia="zh-CN"/>
              </w:rPr>
              <w:t>2</w:t>
            </w:r>
            <w:r>
              <w:rPr>
                <w:rFonts w:hint="default" w:ascii="Times New Roman" w:hAnsi="Times New Roman" w:cs="Times New Roman"/>
                <w:color w:val="auto"/>
                <w:lang w:val="en-US" w:eastAsia="zh-CN"/>
              </w:rPr>
              <w:t>0</w:t>
            </w:r>
            <w:r>
              <w:rPr>
                <w:rFonts w:hint="eastAsia" w:cs="Times New Roman"/>
                <w:color w:val="auto"/>
                <w:lang w:val="en-US" w:eastAsia="zh-CN"/>
              </w:rPr>
              <w:t>0</w:t>
            </w:r>
          </w:p>
        </w:tc>
      </w:tr>
      <w:tr w14:paraId="144C94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3"/>
            <w:tcMar>
              <w:top w:w="16" w:type="dxa"/>
              <w:left w:w="16" w:type="dxa"/>
              <w:right w:w="16" w:type="dxa"/>
            </w:tcMar>
            <w:vAlign w:val="center"/>
          </w:tcPr>
          <w:p w14:paraId="3FFE2BBF">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rPr>
              <w:t>环保投资占比（%）</w:t>
            </w:r>
          </w:p>
        </w:tc>
        <w:tc>
          <w:tcPr>
            <w:tcW w:w="2275" w:type="dxa"/>
            <w:vAlign w:val="center"/>
          </w:tcPr>
          <w:p w14:paraId="5EA78336">
            <w:pPr>
              <w:adjustRightInd w:val="0"/>
              <w:snapToGrid w:val="0"/>
              <w:spacing w:line="420" w:lineRule="exact"/>
              <w:jc w:val="center"/>
              <w:rPr>
                <w:rFonts w:hint="default" w:ascii="Times New Roman" w:hAnsi="Times New Roman" w:eastAsia="宋体" w:cs="Times New Roman"/>
                <w:color w:val="auto"/>
                <w:lang w:val="en-US" w:eastAsia="zh-CN"/>
              </w:rPr>
            </w:pPr>
            <w:r>
              <w:rPr>
                <w:rFonts w:hint="eastAsia" w:cs="Times New Roman"/>
                <w:color w:val="auto"/>
                <w:lang w:val="en-US" w:eastAsia="zh-CN"/>
              </w:rPr>
              <w:t>1.33</w:t>
            </w:r>
          </w:p>
        </w:tc>
        <w:tc>
          <w:tcPr>
            <w:tcW w:w="2112" w:type="dxa"/>
            <w:tcMar>
              <w:top w:w="16" w:type="dxa"/>
              <w:left w:w="16" w:type="dxa"/>
              <w:right w:w="16" w:type="dxa"/>
            </w:tcMar>
            <w:vAlign w:val="center"/>
          </w:tcPr>
          <w:p w14:paraId="15E2E849">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rPr>
              <w:t>施工工期</w:t>
            </w:r>
          </w:p>
        </w:tc>
        <w:tc>
          <w:tcPr>
            <w:tcW w:w="2519" w:type="dxa"/>
            <w:vAlign w:val="center"/>
          </w:tcPr>
          <w:p w14:paraId="6A66FABE">
            <w:pPr>
              <w:adjustRightInd w:val="0"/>
              <w:snapToGrid w:val="0"/>
              <w:spacing w:line="420" w:lineRule="exact"/>
              <w:jc w:val="center"/>
              <w:rPr>
                <w:rFonts w:hint="default" w:ascii="Times New Roman" w:hAnsi="Times New Roman" w:cs="Times New Roman"/>
                <w:color w:val="auto"/>
              </w:rPr>
            </w:pPr>
            <w:r>
              <w:rPr>
                <w:rFonts w:hint="eastAsia" w:cs="Times New Roman"/>
                <w:color w:val="auto"/>
                <w:highlight w:val="none"/>
                <w:lang w:val="en-US" w:eastAsia="zh-CN"/>
              </w:rPr>
              <w:t>3</w:t>
            </w:r>
            <w:r>
              <w:rPr>
                <w:rFonts w:hint="default" w:ascii="Times New Roman" w:hAnsi="Times New Roman" w:cs="Times New Roman"/>
                <w:color w:val="auto"/>
                <w:highlight w:val="none"/>
              </w:rPr>
              <w:t>个月</w:t>
            </w:r>
          </w:p>
        </w:tc>
      </w:tr>
      <w:tr w14:paraId="39A154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3"/>
            <w:tcMar>
              <w:top w:w="16" w:type="dxa"/>
              <w:left w:w="16" w:type="dxa"/>
              <w:right w:w="16" w:type="dxa"/>
            </w:tcMar>
            <w:vAlign w:val="center"/>
          </w:tcPr>
          <w:p w14:paraId="1AA5DDE0">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rPr>
              <w:t>是否开工建设</w:t>
            </w:r>
          </w:p>
        </w:tc>
        <w:tc>
          <w:tcPr>
            <w:tcW w:w="2275" w:type="dxa"/>
            <w:vAlign w:val="center"/>
          </w:tcPr>
          <w:p w14:paraId="11F3AA6A">
            <w:pPr>
              <w:adjustRightInd w:val="0"/>
              <w:snapToGrid w:val="0"/>
              <w:spacing w:line="420" w:lineRule="exact"/>
              <w:rPr>
                <w:rFonts w:hint="default" w:ascii="Times New Roman" w:hAnsi="Times New Roman" w:cs="Times New Roman"/>
                <w:color w:val="auto"/>
              </w:rPr>
            </w:pPr>
            <w:r>
              <w:rPr>
                <w:rFonts w:hint="default" w:ascii="Times New Roman" w:hAnsi="Times New Roman" w:cs="Times New Roman"/>
                <w:color w:val="auto"/>
              </w:rPr>
              <w:t>√否</w:t>
            </w:r>
          </w:p>
          <w:p w14:paraId="34E79076">
            <w:pPr>
              <w:adjustRightInd w:val="0"/>
              <w:snapToGrid w:val="0"/>
              <w:spacing w:line="420" w:lineRule="exact"/>
              <w:rPr>
                <w:rFonts w:hint="default" w:ascii="Times New Roman" w:hAnsi="Times New Roman" w:cs="Times New Roman"/>
                <w:color w:val="auto"/>
              </w:rPr>
            </w:pPr>
            <w:r>
              <w:rPr>
                <w:rFonts w:hint="eastAsia" w:cs="Times New Roman"/>
                <w:color w:val="auto"/>
                <w:lang w:val="en-US" w:eastAsia="zh-CN"/>
              </w:rPr>
              <w:t>□</w:t>
            </w:r>
            <w:r>
              <w:rPr>
                <w:rFonts w:hint="default" w:ascii="Times New Roman" w:hAnsi="Times New Roman" w:cs="Times New Roman"/>
                <w:color w:val="auto"/>
              </w:rPr>
              <w:t>是：</w:t>
            </w:r>
            <w:r>
              <w:rPr>
                <w:rFonts w:hint="default" w:ascii="Times New Roman" w:hAnsi="Times New Roman" w:cs="Times New Roman"/>
                <w:color w:val="auto"/>
                <w:u w:val="single"/>
              </w:rPr>
              <w:t xml:space="preserve">             </w:t>
            </w:r>
          </w:p>
        </w:tc>
        <w:tc>
          <w:tcPr>
            <w:tcW w:w="2112" w:type="dxa"/>
            <w:tcMar>
              <w:top w:w="16" w:type="dxa"/>
              <w:left w:w="16" w:type="dxa"/>
              <w:right w:w="16" w:type="dxa"/>
            </w:tcMar>
            <w:vAlign w:val="center"/>
          </w:tcPr>
          <w:p w14:paraId="4EA3670D">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color w:val="auto"/>
                <w:spacing w:val="-6"/>
              </w:rPr>
              <w:t>用地面积（m</w:t>
            </w:r>
            <w:r>
              <w:rPr>
                <w:rFonts w:hint="default" w:ascii="Times New Roman" w:hAnsi="Times New Roman" w:cs="Times New Roman"/>
                <w:color w:val="auto"/>
                <w:spacing w:val="-6"/>
                <w:vertAlign w:val="superscript"/>
              </w:rPr>
              <w:t>2</w:t>
            </w:r>
            <w:r>
              <w:rPr>
                <w:rFonts w:hint="default" w:ascii="Times New Roman" w:hAnsi="Times New Roman" w:cs="Times New Roman"/>
                <w:color w:val="auto"/>
                <w:spacing w:val="-6"/>
              </w:rPr>
              <w:t>）</w:t>
            </w:r>
          </w:p>
        </w:tc>
        <w:tc>
          <w:tcPr>
            <w:tcW w:w="2519" w:type="dxa"/>
            <w:vAlign w:val="center"/>
          </w:tcPr>
          <w:p w14:paraId="538EF420">
            <w:pPr>
              <w:adjustRightInd w:val="0"/>
              <w:snapToGrid w:val="0"/>
              <w:spacing w:line="420" w:lineRule="exact"/>
              <w:jc w:val="center"/>
              <w:rPr>
                <w:rFonts w:hint="default" w:ascii="Times New Roman" w:hAnsi="Times New Roman" w:eastAsia="宋体" w:cs="Times New Roman"/>
                <w:color w:val="FF0000"/>
                <w:lang w:val="en-US" w:eastAsia="zh-CN"/>
              </w:rPr>
            </w:pPr>
            <w:r>
              <w:rPr>
                <w:rFonts w:hint="eastAsia" w:cs="Times New Roman"/>
                <w:color w:val="auto"/>
                <w:highlight w:val="none"/>
                <w:lang w:val="en-US" w:eastAsia="zh-CN"/>
              </w:rPr>
              <w:t>34632</w:t>
            </w:r>
          </w:p>
        </w:tc>
      </w:tr>
      <w:tr w14:paraId="1023A4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1964" w:type="dxa"/>
            <w:gridSpan w:val="3"/>
            <w:vAlign w:val="center"/>
          </w:tcPr>
          <w:p w14:paraId="5EB043D4">
            <w:pPr>
              <w:autoSpaceDE w:val="0"/>
              <w:autoSpaceDN w:val="0"/>
              <w:adjustRightInd w:val="0"/>
              <w:snapToGrid w:val="0"/>
              <w:spacing w:line="420" w:lineRule="exact"/>
              <w:jc w:val="center"/>
              <w:rPr>
                <w:rFonts w:hint="default" w:ascii="Times New Roman" w:hAnsi="Times New Roman" w:cs="Times New Roman"/>
                <w:color w:val="FF0000"/>
                <w:kern w:val="0"/>
              </w:rPr>
            </w:pPr>
            <w:r>
              <w:rPr>
                <w:rFonts w:hint="default" w:ascii="Times New Roman" w:hAnsi="Times New Roman" w:cs="Times New Roman"/>
                <w:color w:val="auto"/>
                <w:kern w:val="0"/>
              </w:rPr>
              <w:t>专项评价设置情况</w:t>
            </w:r>
          </w:p>
        </w:tc>
        <w:tc>
          <w:tcPr>
            <w:tcW w:w="6906" w:type="dxa"/>
            <w:gridSpan w:val="3"/>
            <w:vAlign w:val="center"/>
          </w:tcPr>
          <w:p w14:paraId="46B7405A">
            <w:pPr>
              <w:spacing w:before="120" w:beforeLines="50"/>
              <w:jc w:val="center"/>
              <w:textAlignment w:val="baseline"/>
              <w:rPr>
                <w:rFonts w:hint="default" w:ascii="Times New Roman" w:hAnsi="Times New Roman" w:cs="Times New Roman"/>
                <w:b/>
                <w:color w:val="auto"/>
              </w:rPr>
            </w:pPr>
            <w:r>
              <w:rPr>
                <w:rFonts w:hint="default" w:ascii="Times New Roman" w:hAnsi="Times New Roman" w:cs="Times New Roman"/>
                <w:b/>
                <w:color w:val="auto"/>
              </w:rPr>
              <w:t>表1-1  专项评价设置情况判定表</w:t>
            </w:r>
          </w:p>
          <w:tbl>
            <w:tblPr>
              <w:tblStyle w:val="8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3012"/>
              <w:gridCol w:w="1790"/>
              <w:gridCol w:w="744"/>
            </w:tblGrid>
            <w:tr w14:paraId="0EF7C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9" w:type="dxa"/>
                  <w:vAlign w:val="center"/>
                </w:tcPr>
                <w:p w14:paraId="5A7E15B7">
                  <w:pPr>
                    <w:jc w:val="center"/>
                    <w:textAlignment w:val="baseline"/>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专项评价的类别</w:t>
                  </w:r>
                </w:p>
              </w:tc>
              <w:tc>
                <w:tcPr>
                  <w:tcW w:w="3150" w:type="dxa"/>
                  <w:vAlign w:val="center"/>
                </w:tcPr>
                <w:p w14:paraId="09137B3E">
                  <w:pPr>
                    <w:jc w:val="center"/>
                    <w:textAlignment w:val="baseline"/>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设置原则</w:t>
                  </w:r>
                </w:p>
              </w:tc>
              <w:tc>
                <w:tcPr>
                  <w:tcW w:w="1854" w:type="dxa"/>
                  <w:vAlign w:val="center"/>
                </w:tcPr>
                <w:p w14:paraId="131F8F80">
                  <w:pPr>
                    <w:jc w:val="center"/>
                    <w:textAlignment w:val="baseline"/>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项目情况</w:t>
                  </w:r>
                </w:p>
              </w:tc>
              <w:tc>
                <w:tcPr>
                  <w:tcW w:w="765" w:type="dxa"/>
                  <w:vAlign w:val="center"/>
                </w:tcPr>
                <w:p w14:paraId="1B767870">
                  <w:pPr>
                    <w:jc w:val="center"/>
                    <w:textAlignment w:val="baseline"/>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是否设置</w:t>
                  </w:r>
                </w:p>
              </w:tc>
            </w:tr>
            <w:tr w14:paraId="74866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9" w:type="dxa"/>
                  <w:vAlign w:val="center"/>
                </w:tcPr>
                <w:p w14:paraId="0794AE17">
                  <w:pPr>
                    <w:jc w:val="center"/>
                    <w:textAlignment w:val="baseline"/>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大气</w:t>
                  </w:r>
                </w:p>
              </w:tc>
              <w:tc>
                <w:tcPr>
                  <w:tcW w:w="3150" w:type="dxa"/>
                  <w:vAlign w:val="center"/>
                </w:tcPr>
                <w:p w14:paraId="549FD726">
                  <w:pPr>
                    <w:jc w:val="center"/>
                    <w:textAlignment w:val="baseline"/>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排放废气含有毒有害污染物、二噁英、苯并[a]芘、氰化物、</w:t>
                  </w:r>
                  <w:r>
                    <w:rPr>
                      <w:rFonts w:hint="eastAsia" w:cs="Times New Roman"/>
                      <w:bCs/>
                      <w:color w:val="auto"/>
                      <w:sz w:val="18"/>
                      <w:szCs w:val="18"/>
                      <w:lang w:val="en-US" w:eastAsia="zh-CN"/>
                    </w:rPr>
                    <w:t>氯气</w:t>
                  </w:r>
                  <w:r>
                    <w:rPr>
                      <w:rFonts w:hint="default" w:ascii="Times New Roman" w:hAnsi="Times New Roman" w:cs="Times New Roman"/>
                      <w:bCs/>
                      <w:color w:val="auto"/>
                      <w:sz w:val="18"/>
                      <w:szCs w:val="18"/>
                    </w:rPr>
                    <w:t>且厂界外500米范围内有环境空气保护目标的建设项目</w:t>
                  </w:r>
                </w:p>
              </w:tc>
              <w:tc>
                <w:tcPr>
                  <w:tcW w:w="1854" w:type="dxa"/>
                  <w:vAlign w:val="center"/>
                </w:tcPr>
                <w:p w14:paraId="52819852">
                  <w:pPr>
                    <w:jc w:val="center"/>
                    <w:textAlignment w:val="baseline"/>
                    <w:rPr>
                      <w:rFonts w:hint="default" w:ascii="Times New Roman" w:hAnsi="Times New Roman" w:cs="Times New Roman"/>
                      <w:bCs/>
                      <w:color w:val="auto"/>
                      <w:sz w:val="18"/>
                      <w:szCs w:val="18"/>
                    </w:rPr>
                  </w:pPr>
                  <w:r>
                    <w:rPr>
                      <w:rFonts w:hint="eastAsia" w:cs="Times New Roman"/>
                      <w:bCs/>
                      <w:color w:val="auto"/>
                      <w:sz w:val="18"/>
                      <w:szCs w:val="18"/>
                      <w:lang w:eastAsia="zh-CN"/>
                    </w:rPr>
                    <w:t>项目</w:t>
                  </w:r>
                  <w:r>
                    <w:rPr>
                      <w:rFonts w:hint="default" w:ascii="Times New Roman" w:hAnsi="Times New Roman" w:cs="Times New Roman"/>
                      <w:bCs/>
                      <w:color w:val="auto"/>
                      <w:sz w:val="18"/>
                      <w:szCs w:val="18"/>
                    </w:rPr>
                    <w:t>废气</w:t>
                  </w:r>
                  <w:r>
                    <w:rPr>
                      <w:rFonts w:hint="default" w:ascii="Times New Roman" w:hAnsi="Times New Roman" w:cs="Times New Roman"/>
                      <w:bCs/>
                      <w:color w:val="auto"/>
                      <w:sz w:val="18"/>
                      <w:szCs w:val="18"/>
                      <w:lang w:val="en-US" w:eastAsia="zh-CN"/>
                    </w:rPr>
                    <w:t>主要为颗粒物</w:t>
                  </w:r>
                  <w:r>
                    <w:rPr>
                      <w:rFonts w:hint="eastAsia" w:cs="Times New Roman"/>
                      <w:bCs/>
                      <w:color w:val="auto"/>
                      <w:sz w:val="18"/>
                      <w:szCs w:val="18"/>
                      <w:lang w:val="en-US" w:eastAsia="zh-CN"/>
                    </w:rPr>
                    <w:t>、SO</w:t>
                  </w:r>
                  <w:r>
                    <w:rPr>
                      <w:rFonts w:hint="eastAsia" w:cs="Times New Roman"/>
                      <w:bCs/>
                      <w:color w:val="auto"/>
                      <w:sz w:val="18"/>
                      <w:szCs w:val="18"/>
                      <w:vertAlign w:val="subscript"/>
                      <w:lang w:val="en-US" w:eastAsia="zh-CN"/>
                    </w:rPr>
                    <w:t>2</w:t>
                  </w:r>
                  <w:r>
                    <w:rPr>
                      <w:rFonts w:hint="eastAsia" w:cs="Times New Roman"/>
                      <w:bCs/>
                      <w:color w:val="auto"/>
                      <w:sz w:val="18"/>
                      <w:szCs w:val="18"/>
                      <w:lang w:val="en-US" w:eastAsia="zh-CN"/>
                    </w:rPr>
                    <w:t>、NOx、烟气黑度、氨气、臭气浓度</w:t>
                  </w:r>
                  <w:r>
                    <w:rPr>
                      <w:rFonts w:hint="default" w:ascii="Times New Roman" w:hAnsi="Times New Roman" w:cs="Times New Roman"/>
                      <w:bCs/>
                      <w:color w:val="auto"/>
                      <w:sz w:val="18"/>
                      <w:szCs w:val="18"/>
                      <w:lang w:val="en-US" w:eastAsia="zh-CN"/>
                    </w:rPr>
                    <w:t>，</w:t>
                  </w:r>
                  <w:r>
                    <w:rPr>
                      <w:rFonts w:hint="default" w:ascii="Times New Roman" w:hAnsi="Times New Roman" w:cs="Times New Roman"/>
                      <w:bCs/>
                      <w:color w:val="auto"/>
                      <w:sz w:val="18"/>
                      <w:szCs w:val="18"/>
                    </w:rPr>
                    <w:t>不涉及前述污染物</w:t>
                  </w:r>
                </w:p>
              </w:tc>
              <w:tc>
                <w:tcPr>
                  <w:tcW w:w="765" w:type="dxa"/>
                  <w:vAlign w:val="center"/>
                </w:tcPr>
                <w:p w14:paraId="34EDA478">
                  <w:pPr>
                    <w:jc w:val="center"/>
                    <w:textAlignment w:val="baseline"/>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否</w:t>
                  </w:r>
                </w:p>
              </w:tc>
            </w:tr>
            <w:tr w14:paraId="33899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9" w:type="dxa"/>
                  <w:vAlign w:val="center"/>
                </w:tcPr>
                <w:p w14:paraId="678C9E61">
                  <w:pPr>
                    <w:jc w:val="center"/>
                    <w:textAlignment w:val="baseline"/>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地表水</w:t>
                  </w:r>
                </w:p>
              </w:tc>
              <w:tc>
                <w:tcPr>
                  <w:tcW w:w="3150" w:type="dxa"/>
                  <w:vAlign w:val="center"/>
                </w:tcPr>
                <w:p w14:paraId="5A22909C">
                  <w:pPr>
                    <w:jc w:val="center"/>
                    <w:textAlignment w:val="baseline"/>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新增工业废水直排建设项目（槽罐车外送污水处理厂的除外）；新增废水直排的污水集中处理厂</w:t>
                  </w:r>
                </w:p>
              </w:tc>
              <w:tc>
                <w:tcPr>
                  <w:tcW w:w="1854" w:type="dxa"/>
                  <w:vAlign w:val="center"/>
                </w:tcPr>
                <w:p w14:paraId="01C19BB4">
                  <w:pPr>
                    <w:jc w:val="center"/>
                    <w:textAlignment w:val="baseline"/>
                    <w:rPr>
                      <w:rFonts w:hint="default" w:ascii="Times New Roman" w:hAnsi="Times New Roman" w:eastAsia="宋体" w:cs="Times New Roman"/>
                      <w:bCs/>
                      <w:color w:val="auto"/>
                      <w:sz w:val="18"/>
                      <w:szCs w:val="18"/>
                      <w:lang w:eastAsia="zh-CN"/>
                    </w:rPr>
                  </w:pPr>
                  <w:r>
                    <w:rPr>
                      <w:rFonts w:hint="eastAsia" w:cs="Times New Roman"/>
                      <w:bCs/>
                      <w:color w:val="auto"/>
                      <w:sz w:val="18"/>
                      <w:szCs w:val="18"/>
                      <w:lang w:eastAsia="zh-CN"/>
                    </w:rPr>
                    <w:t>项目</w:t>
                  </w:r>
                  <w:r>
                    <w:rPr>
                      <w:rFonts w:hint="eastAsia" w:cs="Times New Roman"/>
                      <w:bCs/>
                      <w:color w:val="auto"/>
                      <w:sz w:val="18"/>
                      <w:szCs w:val="18"/>
                      <w:lang w:val="en-US" w:eastAsia="zh-CN"/>
                    </w:rPr>
                    <w:t>水喷淋废水用于造粒用水，</w:t>
                  </w:r>
                  <w:r>
                    <w:rPr>
                      <w:rFonts w:hint="default" w:ascii="Times New Roman" w:hAnsi="Times New Roman" w:cs="Times New Roman"/>
                      <w:bCs/>
                      <w:color w:val="auto"/>
                      <w:sz w:val="18"/>
                      <w:szCs w:val="18"/>
                      <w:lang w:val="en-US" w:eastAsia="zh-CN"/>
                    </w:rPr>
                    <w:t>车间洒水降尘用水、厂区道路洒水降尘用水、造粒用水全部蒸发损耗</w:t>
                  </w:r>
                  <w:r>
                    <w:rPr>
                      <w:rFonts w:hint="eastAsia" w:cs="Times New Roman"/>
                      <w:bCs/>
                      <w:color w:val="auto"/>
                      <w:sz w:val="18"/>
                      <w:szCs w:val="18"/>
                      <w:lang w:val="en-US" w:eastAsia="zh-CN"/>
                    </w:rPr>
                    <w:t>，</w:t>
                  </w:r>
                  <w:r>
                    <w:rPr>
                      <w:rFonts w:hint="default" w:ascii="Times New Roman" w:hAnsi="Times New Roman" w:cs="Times New Roman"/>
                      <w:bCs/>
                      <w:color w:val="auto"/>
                      <w:sz w:val="18"/>
                      <w:szCs w:val="18"/>
                      <w:lang w:eastAsia="zh-CN"/>
                    </w:rPr>
                    <w:t>无</w:t>
                  </w:r>
                  <w:r>
                    <w:rPr>
                      <w:rFonts w:hint="default" w:ascii="Times New Roman" w:hAnsi="Times New Roman" w:cs="Times New Roman"/>
                      <w:bCs/>
                      <w:color w:val="auto"/>
                      <w:sz w:val="18"/>
                      <w:szCs w:val="18"/>
                    </w:rPr>
                    <w:t>废水</w:t>
                  </w:r>
                  <w:r>
                    <w:rPr>
                      <w:rFonts w:hint="default" w:ascii="Times New Roman" w:hAnsi="Times New Roman" w:cs="Times New Roman"/>
                      <w:bCs/>
                      <w:color w:val="auto"/>
                      <w:sz w:val="18"/>
                      <w:szCs w:val="18"/>
                      <w:lang w:eastAsia="zh-CN"/>
                    </w:rPr>
                    <w:t>外排</w:t>
                  </w:r>
                </w:p>
              </w:tc>
              <w:tc>
                <w:tcPr>
                  <w:tcW w:w="765" w:type="dxa"/>
                  <w:vAlign w:val="center"/>
                </w:tcPr>
                <w:p w14:paraId="287CE3E0">
                  <w:pPr>
                    <w:jc w:val="center"/>
                    <w:textAlignment w:val="baseline"/>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否</w:t>
                  </w:r>
                </w:p>
              </w:tc>
            </w:tr>
            <w:tr w14:paraId="484D1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9" w:type="dxa"/>
                  <w:vAlign w:val="center"/>
                </w:tcPr>
                <w:p w14:paraId="1FB575AE">
                  <w:pPr>
                    <w:jc w:val="center"/>
                    <w:textAlignment w:val="baseline"/>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环境风险</w:t>
                  </w:r>
                </w:p>
              </w:tc>
              <w:tc>
                <w:tcPr>
                  <w:tcW w:w="3150" w:type="dxa"/>
                  <w:vAlign w:val="center"/>
                </w:tcPr>
                <w:p w14:paraId="6F4AF3B3">
                  <w:pPr>
                    <w:jc w:val="center"/>
                    <w:textAlignment w:val="baseline"/>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有毒有害和易燃易爆危险物质存储量超过临界量的建设项目</w:t>
                  </w:r>
                </w:p>
              </w:tc>
              <w:tc>
                <w:tcPr>
                  <w:tcW w:w="1854" w:type="dxa"/>
                  <w:vAlign w:val="center"/>
                </w:tcPr>
                <w:p w14:paraId="1872D761">
                  <w:pPr>
                    <w:jc w:val="center"/>
                    <w:textAlignment w:val="baseline"/>
                    <w:rPr>
                      <w:rFonts w:hint="default" w:ascii="Times New Roman" w:hAnsi="Times New Roman" w:cs="Times New Roman"/>
                      <w:bCs/>
                      <w:color w:val="auto"/>
                      <w:sz w:val="18"/>
                      <w:szCs w:val="18"/>
                    </w:rPr>
                  </w:pPr>
                  <w:r>
                    <w:rPr>
                      <w:rFonts w:hint="eastAsia" w:cs="Times New Roman"/>
                      <w:bCs/>
                      <w:color w:val="auto"/>
                      <w:sz w:val="18"/>
                      <w:szCs w:val="18"/>
                      <w:lang w:eastAsia="zh-CN"/>
                    </w:rPr>
                    <w:t>项目</w:t>
                  </w:r>
                  <w:r>
                    <w:rPr>
                      <w:rFonts w:hint="default" w:ascii="Times New Roman" w:hAnsi="Times New Roman" w:cs="Times New Roman"/>
                      <w:bCs/>
                      <w:color w:val="auto"/>
                      <w:sz w:val="18"/>
                      <w:szCs w:val="18"/>
                    </w:rPr>
                    <w:t>涉及</w:t>
                  </w:r>
                  <w:r>
                    <w:rPr>
                      <w:rFonts w:hint="default" w:ascii="Times New Roman" w:hAnsi="Times New Roman" w:cs="Times New Roman"/>
                      <w:bCs/>
                      <w:color w:val="auto"/>
                      <w:sz w:val="18"/>
                      <w:szCs w:val="18"/>
                      <w:lang w:eastAsia="zh-CN"/>
                    </w:rPr>
                    <w:t>危险</w:t>
                  </w:r>
                  <w:r>
                    <w:rPr>
                      <w:rFonts w:hint="eastAsia" w:cs="Times New Roman"/>
                      <w:bCs/>
                      <w:color w:val="auto"/>
                      <w:sz w:val="18"/>
                      <w:szCs w:val="18"/>
                      <w:lang w:val="en-US" w:eastAsia="zh-CN"/>
                    </w:rPr>
                    <w:t>物质主要为硫酸铵、天然气、液压油、水喷淋废水，</w:t>
                  </w:r>
                  <w:r>
                    <w:rPr>
                      <w:rFonts w:hint="default" w:ascii="Times New Roman" w:hAnsi="Times New Roman" w:cs="Times New Roman"/>
                      <w:bCs/>
                      <w:color w:val="auto"/>
                      <w:sz w:val="18"/>
                      <w:szCs w:val="18"/>
                    </w:rPr>
                    <w:t>储存量超过临界量</w:t>
                  </w:r>
                </w:p>
              </w:tc>
              <w:tc>
                <w:tcPr>
                  <w:tcW w:w="765" w:type="dxa"/>
                  <w:vAlign w:val="center"/>
                </w:tcPr>
                <w:p w14:paraId="5568731D">
                  <w:pPr>
                    <w:jc w:val="center"/>
                    <w:textAlignment w:val="baseline"/>
                    <w:rPr>
                      <w:rFonts w:hint="eastAsia" w:ascii="Times New Roman" w:hAnsi="Times New Roman" w:eastAsia="宋体" w:cs="Times New Roman"/>
                      <w:bCs/>
                      <w:color w:val="auto"/>
                      <w:sz w:val="18"/>
                      <w:szCs w:val="18"/>
                      <w:lang w:eastAsia="zh-CN"/>
                    </w:rPr>
                  </w:pPr>
                  <w:r>
                    <w:rPr>
                      <w:rFonts w:hint="eastAsia" w:cs="Times New Roman"/>
                      <w:bCs/>
                      <w:color w:val="auto"/>
                      <w:sz w:val="18"/>
                      <w:szCs w:val="18"/>
                      <w:lang w:val="en-US" w:eastAsia="zh-CN"/>
                    </w:rPr>
                    <w:t>是</w:t>
                  </w:r>
                </w:p>
              </w:tc>
            </w:tr>
            <w:tr w14:paraId="429F9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9" w:type="dxa"/>
                  <w:vAlign w:val="center"/>
                </w:tcPr>
                <w:p w14:paraId="1CB9EBE9">
                  <w:pPr>
                    <w:jc w:val="center"/>
                    <w:textAlignment w:val="baseline"/>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生态</w:t>
                  </w:r>
                </w:p>
              </w:tc>
              <w:tc>
                <w:tcPr>
                  <w:tcW w:w="3150" w:type="dxa"/>
                  <w:vAlign w:val="center"/>
                </w:tcPr>
                <w:p w14:paraId="3DCC1389">
                  <w:pPr>
                    <w:jc w:val="center"/>
                    <w:textAlignment w:val="baseline"/>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取水口下游500米范围内有重要水生生物的自然产卵场、索饵场、越冬场和洄游通道的新增河道取水的污染类建设项目</w:t>
                  </w:r>
                </w:p>
              </w:tc>
              <w:tc>
                <w:tcPr>
                  <w:tcW w:w="1854" w:type="dxa"/>
                  <w:vAlign w:val="center"/>
                </w:tcPr>
                <w:p w14:paraId="4CD4C08A">
                  <w:pPr>
                    <w:jc w:val="center"/>
                    <w:textAlignment w:val="baseline"/>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不涉及</w:t>
                  </w:r>
                </w:p>
              </w:tc>
              <w:tc>
                <w:tcPr>
                  <w:tcW w:w="765" w:type="dxa"/>
                  <w:vAlign w:val="center"/>
                </w:tcPr>
                <w:p w14:paraId="2CD17F02">
                  <w:pPr>
                    <w:jc w:val="center"/>
                    <w:textAlignment w:val="baseline"/>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否</w:t>
                  </w:r>
                </w:p>
              </w:tc>
            </w:tr>
            <w:tr w14:paraId="40BAC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9" w:type="dxa"/>
                  <w:vAlign w:val="center"/>
                </w:tcPr>
                <w:p w14:paraId="129736D1">
                  <w:pPr>
                    <w:jc w:val="center"/>
                    <w:textAlignment w:val="baseline"/>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海洋</w:t>
                  </w:r>
                </w:p>
              </w:tc>
              <w:tc>
                <w:tcPr>
                  <w:tcW w:w="3150" w:type="dxa"/>
                  <w:vAlign w:val="center"/>
                </w:tcPr>
                <w:p w14:paraId="129E7A7B">
                  <w:pPr>
                    <w:jc w:val="center"/>
                    <w:textAlignment w:val="baseline"/>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直接向海排放污染物的海洋工程建设项目</w:t>
                  </w:r>
                </w:p>
              </w:tc>
              <w:tc>
                <w:tcPr>
                  <w:tcW w:w="1854" w:type="dxa"/>
                  <w:vAlign w:val="center"/>
                </w:tcPr>
                <w:p w14:paraId="20D6A0A8">
                  <w:pPr>
                    <w:jc w:val="center"/>
                    <w:textAlignment w:val="baseline"/>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不涉及</w:t>
                  </w:r>
                </w:p>
              </w:tc>
              <w:tc>
                <w:tcPr>
                  <w:tcW w:w="765" w:type="dxa"/>
                  <w:vAlign w:val="center"/>
                </w:tcPr>
                <w:p w14:paraId="49835294">
                  <w:pPr>
                    <w:jc w:val="center"/>
                    <w:textAlignment w:val="baseline"/>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否</w:t>
                  </w:r>
                </w:p>
              </w:tc>
            </w:tr>
          </w:tbl>
          <w:p w14:paraId="0B0413A4">
            <w:pPr>
              <w:autoSpaceDE w:val="0"/>
              <w:autoSpaceDN w:val="0"/>
              <w:adjustRightInd w:val="0"/>
              <w:snapToGrid w:val="0"/>
              <w:jc w:val="center"/>
              <w:rPr>
                <w:rFonts w:hint="default" w:ascii="Times New Roman" w:hAnsi="Times New Roman" w:cs="Times New Roman"/>
                <w:color w:val="FF0000"/>
                <w:kern w:val="0"/>
              </w:rPr>
            </w:pPr>
          </w:p>
        </w:tc>
      </w:tr>
      <w:tr w14:paraId="30CC5F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2" w:hRule="atLeast"/>
          <w:jc w:val="center"/>
        </w:trPr>
        <w:tc>
          <w:tcPr>
            <w:tcW w:w="1088" w:type="dxa"/>
            <w:gridSpan w:val="2"/>
            <w:vAlign w:val="center"/>
          </w:tcPr>
          <w:p w14:paraId="5D441696">
            <w:pPr>
              <w:autoSpaceDE w:val="0"/>
              <w:autoSpaceDN w:val="0"/>
              <w:adjustRightInd w:val="0"/>
              <w:snapToGrid w:val="0"/>
              <w:spacing w:line="420" w:lineRule="exact"/>
              <w:jc w:val="center"/>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规划情况</w:t>
            </w:r>
          </w:p>
        </w:tc>
        <w:tc>
          <w:tcPr>
            <w:tcW w:w="7782" w:type="dxa"/>
            <w:gridSpan w:val="4"/>
            <w:vAlign w:val="center"/>
          </w:tcPr>
          <w:p w14:paraId="1CB4641F">
            <w:pPr>
              <w:autoSpaceDE w:val="0"/>
              <w:autoSpaceDN w:val="0"/>
              <w:adjustRightInd w:val="0"/>
              <w:snapToGrid w:val="0"/>
              <w:jc w:val="left"/>
              <w:rPr>
                <w:rFonts w:hint="eastAsia" w:ascii="Times New Roman" w:hAnsi="Times New Roman" w:eastAsia="宋体" w:cs="Times New Roman"/>
                <w:color w:val="auto"/>
                <w:kern w:val="0"/>
                <w:highlight w:val="none"/>
                <w:lang w:val="en-US" w:eastAsia="zh-CN"/>
              </w:rPr>
            </w:pPr>
            <w:r>
              <w:rPr>
                <w:rFonts w:hint="eastAsia" w:cs="Times New Roman"/>
                <w:color w:val="auto"/>
                <w:kern w:val="0"/>
                <w:highlight w:val="none"/>
                <w:lang w:val="en-US" w:eastAsia="zh-CN"/>
              </w:rPr>
              <w:t>1、</w:t>
            </w:r>
            <w:r>
              <w:rPr>
                <w:rFonts w:hint="eastAsia" w:ascii="Times New Roman" w:hAnsi="Times New Roman" w:eastAsia="宋体" w:cs="Times New Roman"/>
                <w:color w:val="auto"/>
                <w:kern w:val="0"/>
                <w:highlight w:val="none"/>
                <w:lang w:val="en-US" w:eastAsia="zh-CN"/>
              </w:rPr>
              <w:t>规划名称：《淄博市淄川区双杨镇总体规划（2017-2035年）》；</w:t>
            </w:r>
          </w:p>
          <w:p w14:paraId="57F07236">
            <w:pPr>
              <w:autoSpaceDE w:val="0"/>
              <w:autoSpaceDN w:val="0"/>
              <w:adjustRightInd w:val="0"/>
              <w:snapToGrid w:val="0"/>
              <w:jc w:val="left"/>
              <w:rPr>
                <w:rFonts w:hint="eastAsia" w:ascii="Times New Roman" w:hAnsi="Times New Roman" w:eastAsia="宋体" w:cs="Times New Roman"/>
                <w:color w:val="auto"/>
                <w:kern w:val="0"/>
                <w:highlight w:val="none"/>
                <w:lang w:val="en-US" w:eastAsia="zh-CN"/>
              </w:rPr>
            </w:pPr>
            <w:r>
              <w:rPr>
                <w:rFonts w:hint="eastAsia" w:ascii="Times New Roman" w:hAnsi="Times New Roman" w:eastAsia="宋体" w:cs="Times New Roman"/>
                <w:color w:val="auto"/>
                <w:kern w:val="0"/>
                <w:highlight w:val="none"/>
                <w:lang w:val="en-US" w:eastAsia="zh-CN"/>
              </w:rPr>
              <w:t>审批机关：淄博市人民政府；</w:t>
            </w:r>
          </w:p>
          <w:p w14:paraId="7A719840">
            <w:pPr>
              <w:autoSpaceDE w:val="0"/>
              <w:autoSpaceDN w:val="0"/>
              <w:adjustRightInd w:val="0"/>
              <w:snapToGrid w:val="0"/>
              <w:jc w:val="left"/>
              <w:rPr>
                <w:rFonts w:hint="eastAsia" w:cs="Times New Roman"/>
                <w:color w:val="auto"/>
                <w:kern w:val="0"/>
                <w:highlight w:val="none"/>
                <w:lang w:val="en-US" w:eastAsia="zh-CN"/>
              </w:rPr>
            </w:pPr>
            <w:r>
              <w:rPr>
                <w:rFonts w:hint="eastAsia" w:ascii="Times New Roman" w:hAnsi="Times New Roman" w:eastAsia="宋体" w:cs="Times New Roman"/>
                <w:color w:val="auto"/>
                <w:kern w:val="0"/>
                <w:highlight w:val="none"/>
                <w:lang w:val="en-US" w:eastAsia="zh-CN"/>
              </w:rPr>
              <w:t>审批文件名称及文号：《淄博市人民政府关于&lt;淄博市淄川区双杨镇总体规划（2017-2035年）&gt;的批复》（淄政字[2018]65号）</w:t>
            </w:r>
          </w:p>
          <w:p w14:paraId="3E5A8480">
            <w:pPr>
              <w:autoSpaceDE w:val="0"/>
              <w:autoSpaceDN w:val="0"/>
              <w:adjustRightInd w:val="0"/>
              <w:snapToGrid w:val="0"/>
              <w:jc w:val="left"/>
              <w:rPr>
                <w:rFonts w:hint="eastAsia" w:ascii="Times New Roman" w:hAnsi="Times New Roman" w:eastAsia="宋体" w:cs="Times New Roman"/>
                <w:color w:val="auto"/>
                <w:kern w:val="0"/>
                <w:highlight w:val="none"/>
                <w:lang w:val="en-US" w:eastAsia="zh-CN"/>
              </w:rPr>
            </w:pPr>
            <w:r>
              <w:rPr>
                <w:rFonts w:hint="eastAsia" w:cs="Times New Roman"/>
                <w:color w:val="auto"/>
                <w:kern w:val="0"/>
                <w:highlight w:val="none"/>
                <w:lang w:val="en-US" w:eastAsia="zh-CN"/>
              </w:rPr>
              <w:t>2、</w:t>
            </w:r>
            <w:r>
              <w:rPr>
                <w:rFonts w:hint="eastAsia" w:ascii="Times New Roman" w:hAnsi="Times New Roman" w:eastAsia="宋体" w:cs="Times New Roman"/>
                <w:color w:val="auto"/>
                <w:kern w:val="0"/>
                <w:highlight w:val="none"/>
                <w:lang w:val="en-US" w:eastAsia="zh-CN"/>
              </w:rPr>
              <w:t>规划名称：《淄博市淄川区双杨镇总体规划（2017-2035年）局部调整》；</w:t>
            </w:r>
          </w:p>
          <w:p w14:paraId="3C053C07">
            <w:pPr>
              <w:autoSpaceDE w:val="0"/>
              <w:autoSpaceDN w:val="0"/>
              <w:adjustRightInd w:val="0"/>
              <w:snapToGrid w:val="0"/>
              <w:jc w:val="left"/>
              <w:rPr>
                <w:rFonts w:hint="eastAsia" w:ascii="Times New Roman" w:hAnsi="Times New Roman" w:eastAsia="宋体" w:cs="Times New Roman"/>
                <w:color w:val="auto"/>
                <w:kern w:val="0"/>
                <w:highlight w:val="none"/>
                <w:lang w:val="en-US" w:eastAsia="zh-CN"/>
              </w:rPr>
            </w:pPr>
            <w:r>
              <w:rPr>
                <w:rFonts w:hint="eastAsia" w:ascii="Times New Roman" w:hAnsi="Times New Roman" w:eastAsia="宋体" w:cs="Times New Roman"/>
                <w:color w:val="auto"/>
                <w:kern w:val="0"/>
                <w:highlight w:val="none"/>
                <w:lang w:val="en-US" w:eastAsia="zh-CN"/>
              </w:rPr>
              <w:t>审批机关：淄博市人民政府；</w:t>
            </w:r>
          </w:p>
          <w:p w14:paraId="79E8EEF9">
            <w:pPr>
              <w:autoSpaceDE w:val="0"/>
              <w:autoSpaceDN w:val="0"/>
              <w:adjustRightInd w:val="0"/>
              <w:snapToGrid w:val="0"/>
              <w:jc w:val="left"/>
              <w:rPr>
                <w:rFonts w:hint="eastAsia" w:ascii="Times New Roman" w:hAnsi="Times New Roman" w:eastAsia="宋体" w:cs="Times New Roman"/>
                <w:color w:val="auto"/>
                <w:kern w:val="0"/>
                <w:highlight w:val="none"/>
                <w:lang w:val="en-US" w:eastAsia="zh-CN"/>
              </w:rPr>
            </w:pPr>
            <w:r>
              <w:rPr>
                <w:rFonts w:hint="eastAsia" w:ascii="Times New Roman" w:hAnsi="Times New Roman" w:eastAsia="宋体" w:cs="Times New Roman"/>
                <w:color w:val="auto"/>
                <w:kern w:val="0"/>
                <w:highlight w:val="none"/>
                <w:lang w:val="en-US" w:eastAsia="zh-CN"/>
              </w:rPr>
              <w:t>审批文件名称及文号：《淄博市人民政府关于&lt;淄博市淄川区双杨镇总体规划（2017-2035年）局部调整&gt;的批复》（淄政字〔2022〕82号）</w:t>
            </w:r>
          </w:p>
        </w:tc>
      </w:tr>
      <w:tr w14:paraId="48FA70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1088" w:type="dxa"/>
            <w:gridSpan w:val="2"/>
            <w:vAlign w:val="center"/>
          </w:tcPr>
          <w:p w14:paraId="20B20BB6">
            <w:pPr>
              <w:adjustRightInd w:val="0"/>
              <w:snapToGrid w:val="0"/>
              <w:spacing w:line="4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规划环境影响</w:t>
            </w:r>
          </w:p>
          <w:p w14:paraId="77317C3F">
            <w:pPr>
              <w:adjustRightInd w:val="0"/>
              <w:snapToGrid w:val="0"/>
              <w:spacing w:line="420" w:lineRule="exact"/>
              <w:jc w:val="center"/>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评价情况</w:t>
            </w:r>
          </w:p>
        </w:tc>
        <w:tc>
          <w:tcPr>
            <w:tcW w:w="7782" w:type="dxa"/>
            <w:gridSpan w:val="4"/>
            <w:vAlign w:val="center"/>
          </w:tcPr>
          <w:p w14:paraId="57F06DD6">
            <w:pPr>
              <w:autoSpaceDE w:val="0"/>
              <w:autoSpaceDN w:val="0"/>
              <w:adjustRightInd w:val="0"/>
              <w:snapToGrid w:val="0"/>
              <w:spacing w:line="360" w:lineRule="auto"/>
              <w:jc w:val="center"/>
              <w:rPr>
                <w:rFonts w:hint="default" w:ascii="Times New Roman" w:hAnsi="Times New Roman" w:cs="Times New Roman"/>
                <w:color w:val="auto"/>
                <w:kern w:val="0"/>
                <w:highlight w:val="none"/>
              </w:rPr>
            </w:pPr>
            <w:r>
              <w:rPr>
                <w:rFonts w:hint="eastAsia" w:cs="Times New Roman"/>
                <w:color w:val="auto"/>
                <w:kern w:val="0"/>
                <w:highlight w:val="none"/>
                <w:lang w:val="en-US" w:eastAsia="zh-CN"/>
              </w:rPr>
              <w:t>/</w:t>
            </w:r>
          </w:p>
        </w:tc>
      </w:tr>
      <w:tr w14:paraId="51762B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9" w:hRule="atLeast"/>
          <w:jc w:val="center"/>
        </w:trPr>
        <w:tc>
          <w:tcPr>
            <w:tcW w:w="1088" w:type="dxa"/>
            <w:gridSpan w:val="2"/>
            <w:vAlign w:val="center"/>
          </w:tcPr>
          <w:p w14:paraId="0E35E0BA">
            <w:pPr>
              <w:adjustRightInd w:val="0"/>
              <w:snapToGrid w:val="0"/>
              <w:spacing w:line="420" w:lineRule="exact"/>
              <w:jc w:val="center"/>
              <w:rPr>
                <w:rFonts w:hint="default" w:ascii="Times New Roman" w:hAnsi="Times New Roman" w:cs="Times New Roman"/>
                <w:color w:val="auto"/>
                <w:kern w:val="0"/>
              </w:rPr>
            </w:pPr>
            <w:r>
              <w:rPr>
                <w:rFonts w:hint="default" w:ascii="Times New Roman" w:hAnsi="Times New Roman" w:cs="Times New Roman"/>
                <w:color w:val="auto"/>
                <w:kern w:val="0"/>
              </w:rPr>
              <w:t>规划及规划</w:t>
            </w:r>
            <w:r>
              <w:rPr>
                <w:rFonts w:hint="default" w:ascii="Times New Roman" w:hAnsi="Times New Roman" w:cs="Times New Roman"/>
                <w:color w:val="auto"/>
              </w:rPr>
              <w:t>环境</w:t>
            </w:r>
          </w:p>
          <w:p w14:paraId="44900D14">
            <w:pPr>
              <w:autoSpaceDE w:val="0"/>
              <w:autoSpaceDN w:val="0"/>
              <w:adjustRightInd w:val="0"/>
              <w:snapToGrid w:val="0"/>
              <w:spacing w:line="420" w:lineRule="exact"/>
              <w:ind w:left="-34" w:leftChars="-16" w:right="-109" w:rightChars="-52"/>
              <w:jc w:val="center"/>
              <w:rPr>
                <w:rFonts w:hint="default" w:ascii="Times New Roman" w:hAnsi="Times New Roman" w:cs="Times New Roman"/>
                <w:color w:val="auto"/>
                <w:kern w:val="0"/>
              </w:rPr>
            </w:pPr>
            <w:r>
              <w:rPr>
                <w:rFonts w:hint="default" w:ascii="Times New Roman" w:hAnsi="Times New Roman" w:cs="Times New Roman"/>
                <w:color w:val="auto"/>
                <w:kern w:val="0"/>
              </w:rPr>
              <w:t>影响评价符合性分析</w:t>
            </w:r>
          </w:p>
        </w:tc>
        <w:tc>
          <w:tcPr>
            <w:tcW w:w="7782" w:type="dxa"/>
            <w:gridSpan w:val="4"/>
            <w:vAlign w:val="center"/>
          </w:tcPr>
          <w:p w14:paraId="55BF2CB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rPr>
            </w:pPr>
            <w:r>
              <w:rPr>
                <w:rFonts w:hint="eastAsia" w:cs="Times New Roman"/>
                <w:color w:val="auto"/>
                <w:lang w:eastAsia="zh-CN"/>
              </w:rPr>
              <w:t>项目</w:t>
            </w:r>
            <w:r>
              <w:rPr>
                <w:rFonts w:hint="default" w:ascii="Times New Roman" w:hAnsi="Times New Roman" w:cs="Times New Roman"/>
                <w:color w:val="auto"/>
              </w:rPr>
              <w:t>与</w:t>
            </w:r>
            <w:r>
              <w:rPr>
                <w:rFonts w:hint="eastAsia" w:cs="Times New Roman"/>
                <w:color w:val="auto"/>
                <w:lang w:eastAsia="zh-CN"/>
              </w:rPr>
              <w:t>《</w:t>
            </w:r>
            <w:r>
              <w:rPr>
                <w:rFonts w:hint="default" w:ascii="Times New Roman" w:hAnsi="Times New Roman" w:cs="Times New Roman"/>
                <w:color w:val="auto"/>
              </w:rPr>
              <w:t>淄博市淄川区双杨镇总体规划（2017-2035年）</w:t>
            </w:r>
            <w:r>
              <w:rPr>
                <w:rFonts w:hint="eastAsia" w:cs="Times New Roman"/>
                <w:color w:val="auto"/>
                <w:lang w:eastAsia="zh-CN"/>
              </w:rPr>
              <w:t>》</w:t>
            </w:r>
            <w:r>
              <w:rPr>
                <w:rFonts w:hint="default" w:ascii="Times New Roman" w:hAnsi="Times New Roman" w:cs="Times New Roman"/>
                <w:color w:val="auto"/>
              </w:rPr>
              <w:t>符合性分析</w:t>
            </w:r>
          </w:p>
          <w:p w14:paraId="4E2D7529">
            <w:pPr>
              <w:keepNext w:val="0"/>
              <w:keepLines w:val="0"/>
              <w:pageBreakBefore w:val="0"/>
              <w:widowControl/>
              <w:kinsoku/>
              <w:wordWrap/>
              <w:overflowPunct/>
              <w:topLinePunct w:val="0"/>
              <w:autoSpaceDE/>
              <w:autoSpaceDN/>
              <w:bidi w:val="0"/>
              <w:adjustRightInd/>
              <w:snapToGrid/>
              <w:spacing w:before="120" w:beforeLines="50" w:line="240" w:lineRule="auto"/>
              <w:jc w:val="center"/>
              <w:textAlignment w:val="baseline"/>
              <w:rPr>
                <w:rFonts w:hint="default" w:ascii="Times New Roman" w:hAnsi="Times New Roman" w:cs="Times New Roman"/>
                <w:b/>
                <w:color w:val="auto"/>
              </w:rPr>
            </w:pPr>
            <w:r>
              <w:rPr>
                <w:rFonts w:hint="default" w:ascii="Times New Roman" w:hAnsi="Times New Roman" w:cs="Times New Roman"/>
                <w:b/>
                <w:color w:val="auto"/>
              </w:rPr>
              <w:t xml:space="preserve">表1-2 </w:t>
            </w:r>
            <w:r>
              <w:rPr>
                <w:rFonts w:hint="eastAsia" w:cs="Times New Roman"/>
                <w:b/>
                <w:color w:val="auto"/>
                <w:lang w:eastAsia="zh-CN"/>
              </w:rPr>
              <w:t>项目</w:t>
            </w:r>
            <w:r>
              <w:rPr>
                <w:rFonts w:hint="default" w:ascii="Times New Roman" w:hAnsi="Times New Roman" w:cs="Times New Roman"/>
                <w:b/>
                <w:color w:val="auto"/>
              </w:rPr>
              <w:t>与</w:t>
            </w:r>
            <w:r>
              <w:rPr>
                <w:rFonts w:hint="default" w:ascii="Times New Roman" w:hAnsi="Times New Roman" w:cs="Times New Roman"/>
                <w:b/>
                <w:color w:val="auto"/>
                <w:lang w:eastAsia="zh-CN"/>
              </w:rPr>
              <w:t>《</w:t>
            </w:r>
            <w:r>
              <w:rPr>
                <w:rFonts w:hint="default" w:ascii="Times New Roman" w:hAnsi="Times New Roman" w:cs="Times New Roman"/>
                <w:b/>
                <w:color w:val="auto"/>
              </w:rPr>
              <w:t>淄博市淄川区双杨镇总体规划（2017-2035年）</w:t>
            </w:r>
            <w:r>
              <w:rPr>
                <w:rFonts w:hint="default" w:ascii="Times New Roman" w:hAnsi="Times New Roman" w:cs="Times New Roman"/>
                <w:b/>
                <w:color w:val="auto"/>
                <w:lang w:eastAsia="zh-CN"/>
              </w:rPr>
              <w:t>》</w:t>
            </w:r>
            <w:r>
              <w:rPr>
                <w:rFonts w:hint="default" w:ascii="Times New Roman" w:hAnsi="Times New Roman" w:cs="Times New Roman"/>
                <w:b/>
                <w:color w:val="auto"/>
              </w:rPr>
              <w:t>符合性分析</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3"/>
              <w:gridCol w:w="3784"/>
              <w:gridCol w:w="2829"/>
            </w:tblGrid>
            <w:tr w14:paraId="24CDD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3" w:type="dxa"/>
                  <w:tcBorders>
                    <w:top w:val="single" w:color="auto" w:sz="4" w:space="0"/>
                    <w:left w:val="single" w:color="auto" w:sz="4" w:space="0"/>
                    <w:bottom w:val="single" w:color="auto" w:sz="4" w:space="0"/>
                    <w:right w:val="single" w:color="auto" w:sz="4" w:space="0"/>
                  </w:tcBorders>
                  <w:noWrap w:val="0"/>
                  <w:vAlign w:val="center"/>
                </w:tcPr>
                <w:p w14:paraId="4B48F135">
                  <w:pPr>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规划</w:t>
                  </w:r>
                </w:p>
              </w:tc>
              <w:tc>
                <w:tcPr>
                  <w:tcW w:w="3784" w:type="dxa"/>
                  <w:tcBorders>
                    <w:top w:val="single" w:color="auto" w:sz="4" w:space="0"/>
                    <w:left w:val="nil"/>
                    <w:bottom w:val="single" w:color="auto" w:sz="4" w:space="0"/>
                    <w:right w:val="single" w:color="auto" w:sz="4" w:space="0"/>
                  </w:tcBorders>
                  <w:noWrap w:val="0"/>
                  <w:vAlign w:val="center"/>
                </w:tcPr>
                <w:p w14:paraId="445A9236">
                  <w:pPr>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规划要求</w:t>
                  </w:r>
                </w:p>
              </w:tc>
              <w:tc>
                <w:tcPr>
                  <w:tcW w:w="2829" w:type="dxa"/>
                  <w:tcBorders>
                    <w:top w:val="single" w:color="auto" w:sz="4" w:space="0"/>
                    <w:left w:val="nil"/>
                    <w:bottom w:val="single" w:color="auto" w:sz="4" w:space="0"/>
                    <w:right w:val="single" w:color="auto" w:sz="4" w:space="0"/>
                  </w:tcBorders>
                  <w:noWrap w:val="0"/>
                  <w:vAlign w:val="center"/>
                </w:tcPr>
                <w:p w14:paraId="0A006D71">
                  <w:pPr>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符合性分析</w:t>
                  </w:r>
                </w:p>
              </w:tc>
            </w:tr>
            <w:tr w14:paraId="4B230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943" w:type="dxa"/>
                  <w:tcBorders>
                    <w:top w:val="single" w:color="auto" w:sz="4" w:space="0"/>
                    <w:left w:val="single" w:color="auto" w:sz="4" w:space="0"/>
                    <w:bottom w:val="single" w:color="auto" w:sz="4" w:space="0"/>
                    <w:right w:val="single" w:color="auto" w:sz="4" w:space="0"/>
                  </w:tcBorders>
                  <w:noWrap w:val="0"/>
                  <w:vAlign w:val="center"/>
                </w:tcPr>
                <w:p w14:paraId="44DCEE47">
                  <w:pPr>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产业定位</w:t>
                  </w:r>
                </w:p>
              </w:tc>
              <w:tc>
                <w:tcPr>
                  <w:tcW w:w="3784" w:type="dxa"/>
                  <w:tcBorders>
                    <w:top w:val="single" w:color="auto" w:sz="4" w:space="0"/>
                    <w:left w:val="nil"/>
                    <w:bottom w:val="single" w:color="auto" w:sz="4" w:space="0"/>
                    <w:right w:val="single" w:color="auto" w:sz="4" w:space="0"/>
                  </w:tcBorders>
                  <w:noWrap w:val="0"/>
                  <w:vAlign w:val="center"/>
                </w:tcPr>
                <w:p w14:paraId="2E2EFEAF">
                  <w:pPr>
                    <w:jc w:val="both"/>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以发展高档建陶、新材料、新医药绿色产业为主，以发展商贸物流、商务办公、文化创意等现代服务业为辅。</w:t>
                  </w:r>
                </w:p>
              </w:tc>
              <w:tc>
                <w:tcPr>
                  <w:tcW w:w="2829" w:type="dxa"/>
                  <w:vMerge w:val="restart"/>
                  <w:tcBorders>
                    <w:top w:val="single" w:color="auto" w:sz="4" w:space="0"/>
                    <w:left w:val="nil"/>
                    <w:right w:val="single" w:color="auto" w:sz="4" w:space="0"/>
                  </w:tcBorders>
                  <w:noWrap w:val="0"/>
                  <w:vAlign w:val="center"/>
                </w:tcPr>
                <w:p w14:paraId="203B4188">
                  <w:pPr>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eastAsia="zh-CN"/>
                    </w:rPr>
                    <w:t>项目</w:t>
                  </w:r>
                  <w:r>
                    <w:rPr>
                      <w:rFonts w:hint="eastAsia" w:ascii="Times New Roman" w:hAnsi="Times New Roman" w:eastAsia="宋体" w:cs="Times New Roman"/>
                      <w:color w:val="auto"/>
                      <w:sz w:val="18"/>
                      <w:szCs w:val="18"/>
                      <w:highlight w:val="none"/>
                      <w:lang w:val="en-US" w:eastAsia="zh-CN"/>
                    </w:rPr>
                    <w:t>属于C2624复混肥料制造，产品为复混肥料，主要为农业产品提供服务</w:t>
                  </w:r>
                  <w:r>
                    <w:rPr>
                      <w:rFonts w:hint="default" w:ascii="Times New Roman" w:hAnsi="Times New Roman" w:eastAsia="宋体" w:cs="Times New Roman"/>
                      <w:color w:val="auto"/>
                      <w:sz w:val="18"/>
                      <w:szCs w:val="18"/>
                      <w:highlight w:val="none"/>
                    </w:rPr>
                    <w:t>，符合规划。</w:t>
                  </w:r>
                </w:p>
                <w:p w14:paraId="392B5155">
                  <w:pPr>
                    <w:jc w:val="center"/>
                    <w:rPr>
                      <w:rFonts w:hint="default" w:ascii="Times New Roman" w:hAnsi="Times New Roman" w:eastAsia="宋体" w:cs="Times New Roman"/>
                      <w:color w:val="auto"/>
                      <w:sz w:val="18"/>
                      <w:szCs w:val="18"/>
                      <w:highlight w:val="none"/>
                    </w:rPr>
                  </w:pPr>
                </w:p>
              </w:tc>
            </w:tr>
            <w:tr w14:paraId="73E69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943" w:type="dxa"/>
                  <w:tcBorders>
                    <w:top w:val="single" w:color="auto" w:sz="4" w:space="0"/>
                    <w:left w:val="single" w:color="auto" w:sz="4" w:space="0"/>
                    <w:bottom w:val="single" w:color="auto" w:sz="4" w:space="0"/>
                    <w:right w:val="single" w:color="auto" w:sz="4" w:space="0"/>
                  </w:tcBorders>
                  <w:noWrap w:val="0"/>
                  <w:vAlign w:val="center"/>
                </w:tcPr>
                <w:p w14:paraId="31F56289">
                  <w:pPr>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产业发展战略</w:t>
                  </w:r>
                </w:p>
              </w:tc>
              <w:tc>
                <w:tcPr>
                  <w:tcW w:w="3784" w:type="dxa"/>
                  <w:tcBorders>
                    <w:top w:val="single" w:color="auto" w:sz="4" w:space="0"/>
                    <w:left w:val="nil"/>
                    <w:bottom w:val="single" w:color="auto" w:sz="4" w:space="0"/>
                    <w:right w:val="single" w:color="auto" w:sz="4" w:space="0"/>
                  </w:tcBorders>
                  <w:noWrap w:val="0"/>
                  <w:vAlign w:val="center"/>
                </w:tcPr>
                <w:p w14:paraId="4D85429A">
                  <w:pPr>
                    <w:jc w:val="lef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（1）工业集群化发展</w:t>
                  </w:r>
                </w:p>
                <w:p w14:paraId="34FC12A4">
                  <w:pPr>
                    <w:jc w:val="lef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未来应依托建陶产业片区和新材料、新医药产业片区，引导企业向园区集中。在这一基础上，延伸产业链，提高上下游产业合作，达到集群化发展的目的。</w:t>
                  </w:r>
                </w:p>
                <w:p w14:paraId="73A4E80C">
                  <w:pPr>
                    <w:jc w:val="lef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（2）服务业高端化发展</w:t>
                  </w:r>
                </w:p>
                <w:p w14:paraId="389C93FA">
                  <w:pPr>
                    <w:jc w:val="lef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双杨镇经济实力较强，正面临产业转型，具有承接服务业产业转移的条件。依托两个大型产业集聚区、利用便捷的交通优势，大力发展现代服务业，形成各类集贸交易市场及特色商业中心，发展商贸物流业；同时依托孝妇河景观水系资源，发展高端商务、文化创意等现代服务业，整体做大做强双杨镇服务业。</w:t>
                  </w:r>
                </w:p>
                <w:p w14:paraId="35001A0C">
                  <w:pPr>
                    <w:jc w:val="lef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（3）农业特色化发展</w:t>
                  </w:r>
                </w:p>
                <w:p w14:paraId="3608568E">
                  <w:pPr>
                    <w:jc w:val="lef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以“造特色，突出体现，优质高产”原则，深度挖掘双杨镇自身的特色农业产品。</w:t>
                  </w:r>
                </w:p>
              </w:tc>
              <w:tc>
                <w:tcPr>
                  <w:tcW w:w="2829" w:type="dxa"/>
                  <w:vMerge w:val="continue"/>
                  <w:tcBorders>
                    <w:left w:val="nil"/>
                    <w:bottom w:val="single" w:color="auto" w:sz="4" w:space="0"/>
                    <w:right w:val="single" w:color="auto" w:sz="4" w:space="0"/>
                  </w:tcBorders>
                  <w:noWrap w:val="0"/>
                  <w:vAlign w:val="center"/>
                </w:tcPr>
                <w:p w14:paraId="2B61A6E4">
                  <w:pPr>
                    <w:jc w:val="center"/>
                    <w:rPr>
                      <w:rFonts w:hint="default" w:ascii="Times New Roman" w:hAnsi="Times New Roman" w:eastAsia="宋体" w:cs="Times New Roman"/>
                      <w:color w:val="auto"/>
                      <w:sz w:val="18"/>
                      <w:szCs w:val="18"/>
                      <w:highlight w:val="none"/>
                    </w:rPr>
                  </w:pPr>
                </w:p>
              </w:tc>
            </w:tr>
          </w:tbl>
          <w:p w14:paraId="6A46849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lang w:eastAsia="zh-CN"/>
              </w:rPr>
            </w:pPr>
            <w:r>
              <w:rPr>
                <w:rFonts w:hint="default" w:ascii="Times New Roman" w:hAnsi="Times New Roman" w:cs="Times New Roman"/>
                <w:color w:val="auto"/>
                <w:kern w:val="0"/>
                <w:sz w:val="21"/>
                <w:szCs w:val="21"/>
              </w:rPr>
              <w:t>由上表可见，项目符合《淄博市淄川区双杨镇总体规划（2017-2035年）》要求</w:t>
            </w:r>
            <w:r>
              <w:rPr>
                <w:rFonts w:hint="eastAsia" w:cs="Times New Roman"/>
                <w:color w:val="auto"/>
                <w:lang w:eastAsia="zh-CN"/>
              </w:rPr>
              <w:t>。</w:t>
            </w:r>
          </w:p>
        </w:tc>
      </w:tr>
      <w:tr w14:paraId="427F14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492" w:type="dxa"/>
            <w:vAlign w:val="center"/>
          </w:tcPr>
          <w:p w14:paraId="33DDE3AD">
            <w:pPr>
              <w:autoSpaceDE w:val="0"/>
              <w:autoSpaceDN w:val="0"/>
              <w:adjustRightInd w:val="0"/>
              <w:snapToGrid w:val="0"/>
              <w:spacing w:line="420" w:lineRule="exact"/>
              <w:jc w:val="center"/>
              <w:rPr>
                <w:rFonts w:hint="default" w:ascii="Times New Roman" w:hAnsi="Times New Roman" w:cs="Times New Roman"/>
                <w:color w:val="FF0000"/>
                <w:kern w:val="0"/>
              </w:rPr>
            </w:pPr>
            <w:r>
              <w:rPr>
                <w:rFonts w:hint="default" w:ascii="Times New Roman" w:hAnsi="Times New Roman" w:cs="Times New Roman"/>
                <w:color w:val="auto"/>
                <w:kern w:val="0"/>
              </w:rPr>
              <w:t>其他符合性分析</w:t>
            </w:r>
          </w:p>
        </w:tc>
        <w:tc>
          <w:tcPr>
            <w:tcW w:w="8378" w:type="dxa"/>
            <w:gridSpan w:val="5"/>
            <w:vAlign w:val="center"/>
          </w:tcPr>
          <w:p w14:paraId="0F261CE6">
            <w:pPr>
              <w:autoSpaceDE w:val="0"/>
              <w:autoSpaceDN w:val="0"/>
              <w:adjustRightInd w:val="0"/>
              <w:snapToGrid w:val="0"/>
              <w:spacing w:line="360" w:lineRule="auto"/>
              <w:rPr>
                <w:rFonts w:hint="default" w:ascii="Times New Roman" w:hAnsi="Times New Roman" w:cs="Times New Roman"/>
                <w:b/>
                <w:color w:val="auto"/>
              </w:rPr>
            </w:pPr>
            <w:r>
              <w:rPr>
                <w:rFonts w:hint="default" w:ascii="Times New Roman" w:hAnsi="Times New Roman" w:cs="Times New Roman"/>
                <w:b/>
                <w:color w:val="auto"/>
              </w:rPr>
              <w:t>一、生态环境分区管控成果符合性分析</w:t>
            </w:r>
          </w:p>
          <w:p w14:paraId="25E53174">
            <w:pPr>
              <w:autoSpaceDE w:val="0"/>
              <w:autoSpaceDN w:val="0"/>
              <w:adjustRightInd w:val="0"/>
              <w:snapToGrid w:val="0"/>
              <w:spacing w:line="360" w:lineRule="auto"/>
              <w:ind w:firstLine="42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1、与淄川区“三区三线”区划定成果分析</w:t>
            </w:r>
          </w:p>
          <w:p w14:paraId="2AA7CDBF">
            <w:pPr>
              <w:autoSpaceDE w:val="0"/>
              <w:autoSpaceDN w:val="0"/>
              <w:adjustRightInd w:val="0"/>
              <w:snapToGrid w:val="0"/>
              <w:spacing w:line="360" w:lineRule="auto"/>
              <w:ind w:firstLine="420" w:firstLineChars="200"/>
              <w:rPr>
                <w:rFonts w:hint="default" w:ascii="Times New Roman" w:hAnsi="Times New Roman" w:cs="Times New Roman"/>
                <w:bCs/>
                <w:color w:val="auto"/>
                <w:szCs w:val="21"/>
              </w:rPr>
            </w:pPr>
            <w:r>
              <w:rPr>
                <w:rFonts w:hint="default" w:ascii="Times New Roman" w:hAnsi="Times New Roman" w:cs="Times New Roman"/>
                <w:bCs/>
                <w:color w:val="auto"/>
                <w:szCs w:val="21"/>
              </w:rPr>
              <w:t>“三区三线”是根据农业空间、生态空间、城镇空间三个区域，分别对应划定的永久基本农田、城镇开发边界、生态保护红线三条控制线。</w:t>
            </w:r>
          </w:p>
          <w:p w14:paraId="0E29A8E1">
            <w:pPr>
              <w:autoSpaceDE w:val="0"/>
              <w:autoSpaceDN w:val="0"/>
              <w:adjustRightInd w:val="0"/>
              <w:snapToGrid w:val="0"/>
              <w:spacing w:line="360" w:lineRule="auto"/>
              <w:ind w:firstLine="420" w:firstLineChars="200"/>
              <w:rPr>
                <w:rFonts w:hint="eastAsia" w:cs="Times New Roman"/>
                <w:bCs/>
                <w:color w:val="auto"/>
                <w:szCs w:val="21"/>
                <w:lang w:eastAsia="zh-CN"/>
              </w:rPr>
            </w:pPr>
            <w:r>
              <w:rPr>
                <w:rFonts w:hint="default" w:ascii="Times New Roman" w:hAnsi="Times New Roman" w:cs="Times New Roman"/>
                <w:bCs/>
                <w:color w:val="auto"/>
                <w:szCs w:val="21"/>
              </w:rPr>
              <w:t>农业空间是以农业生产、农村生活为主体的区域，生态空间是指具有自然属性、以提供生态服务或生态产品为主的区域。城镇区间是以承载城镇经济、社会、政治、文化、生态等要素为主的功能空间。农业空间是主要耕地（其中可稳定利用的耕地绝大部分要划为永久基本农田）永久基本农田控制线居三条控制线之首，是优先的控制线，其次是生态保护红线、城镇开发边界。生态空间</w:t>
            </w:r>
            <w:r>
              <w:rPr>
                <w:rFonts w:hint="eastAsia" w:cs="Times New Roman"/>
                <w:bCs/>
                <w:color w:val="auto"/>
                <w:szCs w:val="21"/>
                <w:lang w:val="en-US" w:eastAsia="zh-CN"/>
              </w:rPr>
              <w:t>主要</w:t>
            </w:r>
            <w:r>
              <w:rPr>
                <w:rFonts w:hint="default" w:ascii="Times New Roman" w:hAnsi="Times New Roman" w:cs="Times New Roman"/>
                <w:bCs/>
                <w:color w:val="auto"/>
                <w:szCs w:val="21"/>
              </w:rPr>
              <w:t>保护森林、草原、湿地、河流、湖泊、滩涂、岸线、海洋、荒地、荒漠、戈壁、冰川等。生态保护红线内，自然保护地核心保护区原则上禁止人为活动，其他区域严格禁止开发性、生产性建设活动。城镇空间使人们生产、生活的区域，主要是城镇和工业区域</w:t>
            </w:r>
            <w:r>
              <w:rPr>
                <w:rFonts w:hint="eastAsia" w:cs="Times New Roman"/>
                <w:bCs/>
                <w:color w:val="auto"/>
                <w:szCs w:val="21"/>
                <w:lang w:eastAsia="zh-CN"/>
              </w:rPr>
              <w:t>。</w:t>
            </w:r>
          </w:p>
          <w:p w14:paraId="3EFECEF8">
            <w:pPr>
              <w:autoSpaceDE w:val="0"/>
              <w:autoSpaceDN w:val="0"/>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eastAsia" w:cs="Times New Roman"/>
                <w:bCs/>
                <w:color w:val="auto"/>
                <w:sz w:val="21"/>
                <w:szCs w:val="21"/>
                <w:highlight w:val="none"/>
                <w:lang w:eastAsia="zh-CN"/>
              </w:rPr>
              <w:t>一期项目</w:t>
            </w:r>
            <w:r>
              <w:rPr>
                <w:rFonts w:hint="default" w:ascii="Times New Roman" w:hAnsi="Times New Roman" w:cs="Times New Roman"/>
                <w:bCs/>
                <w:color w:val="auto"/>
                <w:sz w:val="21"/>
                <w:szCs w:val="21"/>
                <w:highlight w:val="none"/>
              </w:rPr>
              <w:t>位于</w:t>
            </w:r>
            <w:r>
              <w:rPr>
                <w:rFonts w:hint="default" w:ascii="Times New Roman" w:hAnsi="Times New Roman" w:cs="Times New Roman"/>
                <w:bCs/>
                <w:color w:val="auto"/>
                <w:sz w:val="21"/>
                <w:szCs w:val="21"/>
                <w:highlight w:val="none"/>
                <w:lang w:eastAsia="zh-CN"/>
              </w:rPr>
              <w:t>山东省淄博市淄川区双杨镇赵瓦村102省道与张博路交叉口东北200米</w:t>
            </w:r>
            <w:r>
              <w:rPr>
                <w:rFonts w:hint="default" w:ascii="Times New Roman" w:hAnsi="Times New Roman" w:cs="Times New Roman"/>
                <w:bCs/>
                <w:color w:val="auto"/>
                <w:sz w:val="21"/>
                <w:szCs w:val="21"/>
                <w:highlight w:val="none"/>
              </w:rPr>
              <w:t>（中心地理坐标为东经</w:t>
            </w:r>
            <w:r>
              <w:rPr>
                <w:rFonts w:hint="default" w:ascii="Times New Roman" w:hAnsi="Times New Roman" w:cs="Times New Roman"/>
                <w:bCs/>
                <w:color w:val="auto"/>
                <w:sz w:val="21"/>
                <w:szCs w:val="21"/>
                <w:highlight w:val="none"/>
                <w:lang w:eastAsia="zh-CN"/>
              </w:rPr>
              <w:t>118°00′17.576"</w:t>
            </w:r>
            <w:r>
              <w:rPr>
                <w:rFonts w:hint="default" w:ascii="Times New Roman" w:hAnsi="Times New Roman" w:cs="Times New Roman"/>
                <w:bCs/>
                <w:color w:val="auto"/>
                <w:sz w:val="21"/>
                <w:szCs w:val="21"/>
                <w:highlight w:val="none"/>
              </w:rPr>
              <w:t>、北纬</w:t>
            </w:r>
            <w:r>
              <w:rPr>
                <w:rFonts w:hint="default" w:ascii="Times New Roman" w:hAnsi="Times New Roman" w:cs="Times New Roman"/>
                <w:bCs/>
                <w:color w:val="auto"/>
                <w:sz w:val="21"/>
                <w:szCs w:val="21"/>
                <w:highlight w:val="none"/>
                <w:lang w:eastAsia="zh-CN"/>
              </w:rPr>
              <w:t>36°42′24.301"</w:t>
            </w:r>
            <w:r>
              <w:rPr>
                <w:rFonts w:hint="default" w:ascii="Times New Roman" w:hAnsi="Times New Roman" w:cs="Times New Roman"/>
                <w:bCs/>
                <w:color w:val="auto"/>
                <w:sz w:val="21"/>
                <w:szCs w:val="21"/>
                <w:highlight w:val="none"/>
              </w:rPr>
              <w:t>），</w:t>
            </w:r>
            <w:r>
              <w:rPr>
                <w:rFonts w:hint="default" w:ascii="Times New Roman" w:hAnsi="Times New Roman" w:cs="Times New Roman"/>
                <w:bCs/>
                <w:color w:val="auto"/>
                <w:sz w:val="21"/>
                <w:szCs w:val="21"/>
                <w:highlight w:val="none"/>
                <w:lang w:val="en-US" w:eastAsia="zh-CN"/>
              </w:rPr>
              <w:t>根据淄川区“三区三线”划定成果图可知，</w:t>
            </w:r>
            <w:r>
              <w:rPr>
                <w:rFonts w:hint="eastAsia" w:cs="Times New Roman"/>
                <w:bCs/>
                <w:color w:val="auto"/>
                <w:sz w:val="21"/>
                <w:szCs w:val="21"/>
                <w:highlight w:val="none"/>
                <w:lang w:val="en-US" w:eastAsia="zh-CN"/>
              </w:rPr>
              <w:t>项目</w:t>
            </w:r>
            <w:r>
              <w:rPr>
                <w:rFonts w:hint="default" w:ascii="Times New Roman" w:hAnsi="Times New Roman" w:cs="Times New Roman"/>
                <w:bCs/>
                <w:color w:val="auto"/>
                <w:szCs w:val="21"/>
              </w:rPr>
              <w:t>不占用生态红线以及基本农田保护区</w:t>
            </w:r>
            <w:r>
              <w:rPr>
                <w:rFonts w:hint="default" w:ascii="Times New Roman" w:hAnsi="Times New Roman" w:cs="Times New Roman"/>
                <w:bCs/>
                <w:color w:val="auto"/>
                <w:sz w:val="21"/>
                <w:szCs w:val="21"/>
                <w:highlight w:val="none"/>
                <w:lang w:val="en-US" w:eastAsia="zh-CN"/>
              </w:rPr>
              <w:t>，具体见附图1-2</w:t>
            </w:r>
            <w:r>
              <w:rPr>
                <w:rFonts w:hint="default" w:ascii="Times New Roman" w:hAnsi="Times New Roman" w:cs="Times New Roman"/>
                <w:bCs/>
                <w:color w:val="auto"/>
                <w:sz w:val="21"/>
                <w:szCs w:val="21"/>
                <w:highlight w:val="none"/>
              </w:rPr>
              <w:t>。</w:t>
            </w:r>
          </w:p>
          <w:p w14:paraId="29290F1C">
            <w:pPr>
              <w:autoSpaceDE w:val="0"/>
              <w:autoSpaceDN w:val="0"/>
              <w:adjustRightInd w:val="0"/>
              <w:snapToGrid w:val="0"/>
              <w:spacing w:line="360" w:lineRule="auto"/>
              <w:ind w:firstLine="360" w:firstLineChars="200"/>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2、资源利用上线</w:t>
            </w:r>
          </w:p>
          <w:p w14:paraId="33BD842A">
            <w:pPr>
              <w:autoSpaceDE w:val="0"/>
              <w:autoSpaceDN w:val="0"/>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目标要求：强化节约集约利用，持续提升资源能源利用效率，水资源利用、土地资源利用、能源消耗等达到省下达的总量和强度控制目标。优化调整能源结构，实施煤炭消费减量替代和能源消费总量控制，能源消费总量完成省下达任务，煤炭消费量实现负增长，进一步降低万元国内生产总值能耗，严格落实高污染燃料禁燃区管控要求，加快清洁能源、</w:t>
            </w:r>
            <w:r>
              <w:rPr>
                <w:rFonts w:hint="default" w:ascii="Times New Roman" w:hAnsi="Times New Roman" w:cs="Times New Roman"/>
                <w:bCs/>
                <w:color w:val="auto"/>
                <w:szCs w:val="21"/>
                <w:highlight w:val="none"/>
                <w:lang w:val="en-US" w:eastAsia="zh-CN"/>
              </w:rPr>
              <w:t>新能源和可再生能源推广利用。建立最严格的水资源管理制度，强化水资源刚性约束。推进各领域节约用水，农田灌溉水有效利用系数、再生水规模逐年提高，万元国内生产总值用水量、万元工业增加值用水量等用水效率指标在 2020 年基础上持续下降，确保完成用水总量控制指标；优化建设用地结构和布局，严控总量、盘活存量，控制国土空间开发强度。确保耕地保有量，从严管控非农建设占用永久基本农田，守住永久基本农田控制线。全力做好河湖岸线保护，优先实施防洪护岸、河道治理等公共安全及公众利益的建设项目，依法依规开展桥梁、码头、取水工程等项目建设。</w:t>
            </w:r>
          </w:p>
          <w:p w14:paraId="262DC163">
            <w:pPr>
              <w:autoSpaceDE w:val="0"/>
              <w:autoSpaceDN w:val="0"/>
              <w:adjustRightInd w:val="0"/>
              <w:snapToGrid w:val="0"/>
              <w:spacing w:line="360" w:lineRule="auto"/>
              <w:ind w:firstLine="420" w:firstLineChars="200"/>
              <w:rPr>
                <w:rFonts w:hint="default" w:ascii="Times New Roman" w:hAnsi="Times New Roman" w:cs="Times New Roman"/>
                <w:bCs/>
                <w:color w:val="auto"/>
                <w:highlight w:val="none"/>
              </w:rPr>
            </w:pPr>
            <w:r>
              <w:rPr>
                <w:rFonts w:hint="eastAsia" w:cs="Times New Roman"/>
                <w:bCs/>
                <w:color w:val="auto"/>
                <w:szCs w:val="21"/>
                <w:highlight w:val="none"/>
                <w:lang w:eastAsia="zh-CN"/>
              </w:rPr>
              <w:t>一期项目</w:t>
            </w:r>
            <w:r>
              <w:rPr>
                <w:rFonts w:hint="default" w:ascii="Times New Roman" w:hAnsi="Times New Roman" w:cs="Times New Roman"/>
                <w:bCs/>
                <w:color w:val="auto"/>
                <w:szCs w:val="21"/>
                <w:highlight w:val="none"/>
                <w:lang w:val="en-US" w:eastAsia="zh-CN"/>
              </w:rPr>
              <w:t>总投资</w:t>
            </w:r>
            <w:r>
              <w:rPr>
                <w:rFonts w:hint="eastAsia" w:cs="Times New Roman"/>
                <w:bCs/>
                <w:color w:val="auto"/>
                <w:szCs w:val="21"/>
                <w:highlight w:val="none"/>
                <w:lang w:val="en-US" w:eastAsia="zh-CN"/>
              </w:rPr>
              <w:t>15</w:t>
            </w:r>
            <w:r>
              <w:rPr>
                <w:rFonts w:hint="default" w:ascii="Times New Roman" w:hAnsi="Times New Roman" w:cs="Times New Roman"/>
                <w:bCs/>
                <w:color w:val="auto"/>
                <w:szCs w:val="21"/>
                <w:highlight w:val="none"/>
                <w:lang w:val="en-US" w:eastAsia="zh-CN"/>
              </w:rPr>
              <w:t>00万元，</w:t>
            </w:r>
            <w:r>
              <w:rPr>
                <w:rFonts w:hint="eastAsia" w:cs="Times New Roman"/>
                <w:bCs/>
                <w:color w:val="auto"/>
                <w:highlight w:val="none"/>
                <w:lang w:eastAsia="zh-CN"/>
              </w:rPr>
              <w:t>一期项目</w:t>
            </w:r>
            <w:r>
              <w:rPr>
                <w:rFonts w:hint="default" w:ascii="Times New Roman" w:hAnsi="Times New Roman" w:cs="Times New Roman"/>
                <w:bCs/>
                <w:color w:val="auto"/>
                <w:highlight w:val="none"/>
              </w:rPr>
              <w:t>运营过程中新增消耗水资源</w:t>
            </w:r>
            <w:r>
              <w:rPr>
                <w:rFonts w:hint="eastAsia" w:cs="Times New Roman"/>
                <w:color w:val="auto"/>
                <w:highlight w:val="none"/>
                <w:vertAlign w:val="baseline"/>
                <w:lang w:val="en-US" w:eastAsia="zh-CN"/>
              </w:rPr>
              <w:t>2832.223</w:t>
            </w:r>
            <w:r>
              <w:rPr>
                <w:rFonts w:hint="default" w:ascii="Times New Roman" w:hAnsi="Times New Roman" w:cs="Times New Roman"/>
                <w:bCs/>
                <w:color w:val="auto"/>
                <w:highlight w:val="none"/>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/a、电力</w:t>
            </w:r>
            <w:r>
              <w:rPr>
                <w:rFonts w:hint="eastAsia" w:cs="Times New Roman"/>
                <w:bCs/>
                <w:color w:val="auto"/>
                <w:highlight w:val="none"/>
                <w:lang w:val="en-US" w:eastAsia="zh-CN"/>
              </w:rPr>
              <w:t>400</w:t>
            </w:r>
            <w:r>
              <w:rPr>
                <w:rFonts w:hint="default" w:ascii="Times New Roman" w:hAnsi="Times New Roman" w:cs="Times New Roman"/>
                <w:bCs/>
                <w:color w:val="auto"/>
                <w:highlight w:val="none"/>
              </w:rPr>
              <w:t>万kWh/a</w:t>
            </w:r>
            <w:r>
              <w:rPr>
                <w:rFonts w:hint="default" w:ascii="Times New Roman" w:hAnsi="Times New Roman" w:cs="Times New Roman"/>
                <w:bCs/>
                <w:color w:val="auto"/>
                <w:highlight w:val="none"/>
                <w:lang w:eastAsia="zh-CN"/>
              </w:rPr>
              <w:t>，不使用煤炭、天然气等能源</w:t>
            </w:r>
            <w:r>
              <w:rPr>
                <w:rFonts w:hint="default" w:ascii="Times New Roman" w:hAnsi="Times New Roman" w:cs="Times New Roman"/>
                <w:bCs/>
                <w:color w:val="auto"/>
                <w:highlight w:val="none"/>
                <w:lang w:val="en-US" w:eastAsia="zh-CN"/>
              </w:rPr>
              <w:t>，</w:t>
            </w:r>
            <w:r>
              <w:rPr>
                <w:rFonts w:hint="default" w:ascii="Times New Roman" w:hAnsi="Times New Roman" w:cs="Times New Roman"/>
                <w:color w:val="auto"/>
                <w:highlight w:val="none"/>
              </w:rPr>
              <w:t>万元工业增加值新鲜水耗</w:t>
            </w:r>
            <w:r>
              <w:rPr>
                <w:rFonts w:hint="default" w:ascii="Times New Roman" w:hAnsi="Times New Roman" w:cs="Times New Roman"/>
                <w:color w:val="auto"/>
                <w:highlight w:val="none"/>
                <w:lang w:val="en-US" w:eastAsia="zh-CN"/>
              </w:rPr>
              <w:t>为</w:t>
            </w:r>
            <w:r>
              <w:rPr>
                <w:rFonts w:hint="eastAsia" w:cs="Times New Roman"/>
                <w:color w:val="auto"/>
                <w:highlight w:val="none"/>
                <w:lang w:val="en-US" w:eastAsia="zh-CN"/>
              </w:rPr>
              <w:t>1.89</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w:t>
            </w:r>
            <w:r>
              <w:rPr>
                <w:rFonts w:hint="default" w:ascii="Times New Roman" w:hAnsi="Times New Roman" w:cs="Times New Roman"/>
                <w:color w:val="auto"/>
                <w:highlight w:val="none"/>
                <w:lang w:val="en-US" w:eastAsia="zh-CN"/>
              </w:rPr>
              <w:t>万元工业增加值综合能耗为0.0</w:t>
            </w:r>
            <w:r>
              <w:rPr>
                <w:rFonts w:hint="eastAsia" w:cs="Times New Roman"/>
                <w:color w:val="auto"/>
                <w:highlight w:val="none"/>
                <w:lang w:val="en-US" w:eastAsia="zh-CN"/>
              </w:rPr>
              <w:t>33</w:t>
            </w:r>
            <w:r>
              <w:rPr>
                <w:rFonts w:hint="default" w:ascii="Times New Roman" w:hAnsi="Times New Roman" w:cs="Times New Roman"/>
                <w:color w:val="auto"/>
                <w:highlight w:val="none"/>
                <w:lang w:val="en-US" w:eastAsia="zh-CN"/>
              </w:rPr>
              <w:t>tce/万元，</w:t>
            </w:r>
            <w:r>
              <w:rPr>
                <w:rFonts w:hint="eastAsia" w:cs="Times New Roman"/>
                <w:bCs/>
                <w:color w:val="auto"/>
                <w:szCs w:val="21"/>
                <w:highlight w:val="none"/>
                <w:lang w:eastAsia="zh-CN"/>
              </w:rPr>
              <w:t>一期项目</w:t>
            </w:r>
            <w:r>
              <w:rPr>
                <w:rFonts w:hint="default" w:ascii="Times New Roman" w:hAnsi="Times New Roman" w:cs="Times New Roman"/>
                <w:bCs/>
                <w:color w:val="auto"/>
                <w:szCs w:val="21"/>
                <w:highlight w:val="none"/>
              </w:rPr>
              <w:t>相对区域资源利用总量较少，符合资源利用上</w:t>
            </w:r>
            <w:r>
              <w:rPr>
                <w:rFonts w:hint="default" w:ascii="Times New Roman" w:hAnsi="Times New Roman" w:cs="Times New Roman"/>
                <w:bCs/>
                <w:color w:val="auto"/>
                <w:szCs w:val="21"/>
                <w:highlight w:val="none"/>
                <w:lang w:eastAsia="zh-CN"/>
              </w:rPr>
              <w:t>线</w:t>
            </w:r>
            <w:r>
              <w:rPr>
                <w:rFonts w:hint="default" w:ascii="Times New Roman" w:hAnsi="Times New Roman" w:cs="Times New Roman"/>
                <w:bCs/>
                <w:color w:val="auto"/>
                <w:szCs w:val="21"/>
                <w:highlight w:val="none"/>
              </w:rPr>
              <w:t>要求</w:t>
            </w:r>
            <w:r>
              <w:rPr>
                <w:rFonts w:hint="default" w:ascii="Times New Roman" w:hAnsi="Times New Roman" w:cs="Times New Roman"/>
                <w:bCs/>
                <w:color w:val="auto"/>
                <w:szCs w:val="21"/>
                <w:highlight w:val="none"/>
                <w:lang w:eastAsia="zh-CN"/>
              </w:rPr>
              <w:t>（</w:t>
            </w:r>
            <w:r>
              <w:rPr>
                <w:rFonts w:hint="default" w:ascii="Times New Roman" w:hAnsi="Times New Roman" w:cs="Times New Roman"/>
                <w:color w:val="auto"/>
                <w:highlight w:val="none"/>
              </w:rPr>
              <w:t>万元工业增加值新鲜水耗</w:t>
            </w:r>
            <w:r>
              <w:rPr>
                <w:rFonts w:hint="default" w:ascii="Times New Roman" w:hAnsi="Times New Roman" w:cs="Times New Roman"/>
                <w:color w:val="auto"/>
                <w:highlight w:val="none"/>
                <w:lang w:val="en-US" w:eastAsia="zh-CN"/>
              </w:rPr>
              <w:t>为≤8m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，万元工业增加值综合能耗为≤0.5tce/万元</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highlight w:val="none"/>
              </w:rPr>
              <w:t>。资源消耗量相对区域资源利用总量较少，符合资源利用上</w:t>
            </w:r>
            <w:r>
              <w:rPr>
                <w:rFonts w:hint="default" w:ascii="Times New Roman" w:hAnsi="Times New Roman" w:cs="Times New Roman"/>
                <w:bCs/>
                <w:color w:val="auto"/>
                <w:highlight w:val="none"/>
                <w:lang w:eastAsia="zh-CN"/>
              </w:rPr>
              <w:t>线</w:t>
            </w:r>
            <w:r>
              <w:rPr>
                <w:rFonts w:hint="default" w:ascii="Times New Roman" w:hAnsi="Times New Roman" w:cs="Times New Roman"/>
                <w:bCs/>
                <w:color w:val="auto"/>
                <w:highlight w:val="none"/>
              </w:rPr>
              <w:t>要求。</w:t>
            </w:r>
          </w:p>
          <w:p w14:paraId="5E9A14CD">
            <w:pPr>
              <w:autoSpaceDE w:val="0"/>
              <w:autoSpaceDN w:val="0"/>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3、环境质量底线</w:t>
            </w:r>
          </w:p>
          <w:p w14:paraId="2F9C5B0C">
            <w:pPr>
              <w:autoSpaceDE w:val="0"/>
              <w:autoSpaceDN w:val="0"/>
              <w:adjustRightInd w:val="0"/>
              <w:snapToGrid w:val="0"/>
              <w:spacing w:line="360" w:lineRule="auto"/>
              <w:ind w:firstLine="420" w:firstLineChars="200"/>
              <w:rPr>
                <w:rFonts w:hint="default" w:ascii="Times New Roman" w:hAnsi="Times New Roman" w:cs="Times New Roman" w:eastAsiaTheme="minorEastAsia"/>
                <w:bCs/>
                <w:color w:val="auto"/>
                <w:szCs w:val="21"/>
              </w:rPr>
            </w:pPr>
            <w:r>
              <w:rPr>
                <w:rFonts w:hint="default" w:ascii="Times New Roman" w:hAnsi="Times New Roman" w:cs="Times New Roman" w:eastAsiaTheme="minorEastAsia"/>
                <w:bCs/>
                <w:color w:val="auto"/>
                <w:szCs w:val="21"/>
              </w:rPr>
              <w:t>主要目标：全市水环境质量持续改善，国控、省控、市控断面优良水质比例稳步提升，全面消除劣V类水质控制断面，国控断面优良水质比例不低于50%，省控及以上断面优良水质比例不低于30%；县级及以上城市集中式饮用水水源水质全部达到或优于Ⅲ类；建成区黑臭水体全面消除，镇村黑臭水体数量持续减少。大气环境质量持续改善，全市PM2.5浓度不高于48μg/m</w:t>
            </w:r>
            <w:r>
              <w:rPr>
                <w:rFonts w:hint="default" w:ascii="Times New Roman" w:hAnsi="Times New Roman" w:cs="Times New Roman" w:eastAsiaTheme="minorEastAsia"/>
                <w:bCs/>
                <w:color w:val="auto"/>
                <w:szCs w:val="21"/>
                <w:vertAlign w:val="superscript"/>
              </w:rPr>
              <w:t>3</w:t>
            </w:r>
            <w:r>
              <w:rPr>
                <w:rFonts w:hint="default" w:ascii="Times New Roman" w:hAnsi="Times New Roman" w:cs="Times New Roman" w:eastAsiaTheme="minorEastAsia"/>
                <w:bCs/>
                <w:color w:val="auto"/>
                <w:szCs w:val="21"/>
              </w:rPr>
              <w:t>，空气质量优良天数比率不低于70%，臭氧污染得到有效遏制，重度及以上污染天数比率在2022年的基础上持续下降。土壤环境质量稳定改善，农用地、建设用地土壤环境风险防控能力逐步提升。全市受污染耕地安全利用率和污染地块安全利用率分别不低于95%。环境质量改善目标动态衔接“十四五”生态环境质量考核指标，以“十四五”生态环境质量考核指标为准。</w:t>
            </w:r>
          </w:p>
          <w:p w14:paraId="40172955">
            <w:pPr>
              <w:adjustRightInd w:val="0"/>
              <w:snapToGrid w:val="0"/>
              <w:spacing w:line="360" w:lineRule="auto"/>
              <w:ind w:firstLine="420" w:firstLineChars="200"/>
              <w:rPr>
                <w:rFonts w:hint="default" w:ascii="Times New Roman" w:hAnsi="Times New Roman" w:cs="Times New Roman"/>
                <w:color w:val="auto"/>
                <w:lang w:eastAsia="zh-CN"/>
              </w:rPr>
            </w:pPr>
            <w:r>
              <w:rPr>
                <w:rFonts w:hint="default" w:ascii="Times New Roman" w:hAnsi="Times New Roman" w:cs="Times New Roman" w:eastAsiaTheme="minorEastAsia"/>
                <w:bCs/>
                <w:color w:val="auto"/>
                <w:szCs w:val="21"/>
              </w:rPr>
              <w:t>对照《生态淄博建设工作简报</w:t>
            </w:r>
            <w:r>
              <w:rPr>
                <w:rFonts w:hint="eastAsia" w:cs="Times New Roman" w:eastAsiaTheme="minorEastAsia"/>
                <w:bCs/>
                <w:color w:val="auto"/>
                <w:szCs w:val="21"/>
                <w:lang w:val="en-US" w:eastAsia="zh-CN"/>
              </w:rPr>
              <w:t>-</w:t>
            </w:r>
            <w:r>
              <w:rPr>
                <w:rFonts w:hint="default" w:ascii="Times New Roman" w:hAnsi="Times New Roman" w:cs="Times New Roman" w:eastAsiaTheme="minorEastAsia"/>
                <w:bCs/>
                <w:color w:val="auto"/>
                <w:szCs w:val="21"/>
              </w:rPr>
              <w:t>2023年12月份及全年环境空气质量情况通报》（2024年第4期），</w:t>
            </w:r>
            <w:r>
              <w:rPr>
                <w:rFonts w:hint="eastAsia" w:cs="Times New Roman" w:eastAsiaTheme="minorEastAsia"/>
                <w:bCs/>
                <w:color w:val="auto"/>
                <w:szCs w:val="21"/>
                <w:lang w:eastAsia="zh-CN"/>
              </w:rPr>
              <w:t>项目</w:t>
            </w:r>
            <w:r>
              <w:rPr>
                <w:rFonts w:hint="default" w:ascii="Times New Roman" w:hAnsi="Times New Roman" w:cs="Times New Roman" w:eastAsiaTheme="minorEastAsia"/>
                <w:bCs/>
                <w:color w:val="auto"/>
                <w:szCs w:val="21"/>
              </w:rPr>
              <w:t>所在区域环境空气不能满足《环境空气质量标准》（GB3095-2012）及其修改单中二级标准，淄博市及淄川区已采取相关措施，该区域大气环境质量已日趋改善，项目废气达标排放，并将通过区域倍量替代，减少区域污染物排放，有利于区域环境改善；</w:t>
            </w:r>
            <w:r>
              <w:rPr>
                <w:rFonts w:hint="eastAsia" w:cs="Times New Roman" w:eastAsiaTheme="minorEastAsia"/>
                <w:bCs/>
                <w:color w:val="auto"/>
                <w:szCs w:val="21"/>
                <w:lang w:eastAsia="zh-CN"/>
              </w:rPr>
              <w:t>项目</w:t>
            </w:r>
            <w:r>
              <w:rPr>
                <w:rFonts w:hint="default" w:ascii="Times New Roman" w:hAnsi="Times New Roman" w:cs="Times New Roman" w:eastAsiaTheme="minorEastAsia"/>
                <w:bCs/>
                <w:color w:val="auto"/>
                <w:szCs w:val="21"/>
              </w:rPr>
              <w:t>周围地表水体为</w:t>
            </w:r>
            <w:r>
              <w:rPr>
                <w:rFonts w:hint="eastAsia" w:cs="Times New Roman" w:eastAsiaTheme="minorEastAsia"/>
                <w:bCs/>
                <w:color w:val="auto"/>
                <w:szCs w:val="21"/>
                <w:lang w:val="en-US" w:eastAsia="zh-CN"/>
              </w:rPr>
              <w:t>孝妇河</w:t>
            </w:r>
            <w:r>
              <w:rPr>
                <w:rFonts w:hint="default" w:ascii="Times New Roman" w:hAnsi="Times New Roman" w:cs="Times New Roman" w:eastAsiaTheme="minorEastAsia"/>
                <w:bCs/>
                <w:color w:val="auto"/>
                <w:szCs w:val="21"/>
              </w:rPr>
              <w:t>，</w:t>
            </w:r>
            <w:r>
              <w:rPr>
                <w:rFonts w:hint="eastAsia" w:cs="Times New Roman" w:eastAsiaTheme="minorEastAsia"/>
                <w:bCs/>
                <w:color w:val="auto"/>
                <w:szCs w:val="21"/>
                <w:lang w:val="en-US" w:eastAsia="zh-CN"/>
              </w:rPr>
              <w:t>根据淄川南外环监控断面2024年1月-6月在线监测的信息，</w:t>
            </w:r>
            <w:r>
              <w:rPr>
                <w:rFonts w:hint="default" w:ascii="Times New Roman" w:hAnsi="Times New Roman" w:cs="Times New Roman" w:eastAsiaTheme="minorEastAsia"/>
                <w:bCs/>
                <w:color w:val="auto"/>
                <w:szCs w:val="21"/>
              </w:rPr>
              <w:t>水质满足《地表水环境质量标准》（GB3838-2002）V类标准，项目所在地地表水水质较好</w:t>
            </w:r>
            <w:r>
              <w:rPr>
                <w:rFonts w:hint="default" w:ascii="Times New Roman" w:hAnsi="Times New Roman" w:cs="Times New Roman"/>
                <w:bCs/>
                <w:color w:val="auto"/>
              </w:rPr>
              <w:t>；地下水满足</w:t>
            </w:r>
            <w:r>
              <w:rPr>
                <w:rFonts w:hint="default" w:ascii="Times New Roman" w:hAnsi="Times New Roman" w:cs="Times New Roman"/>
                <w:color w:val="auto"/>
              </w:rPr>
              <w:t>《地下水质量标准》（GB/T14848-2017）Ⅲ类标准</w:t>
            </w:r>
            <w:r>
              <w:rPr>
                <w:rFonts w:hint="default" w:ascii="Times New Roman" w:hAnsi="Times New Roman" w:cs="Times New Roman"/>
                <w:color w:val="auto"/>
                <w:lang w:eastAsia="zh-CN"/>
              </w:rPr>
              <w:t>。</w:t>
            </w:r>
          </w:p>
          <w:p w14:paraId="2EC94A95">
            <w:pPr>
              <w:adjustRightInd w:val="0"/>
              <w:snapToGrid w:val="0"/>
              <w:spacing w:line="360" w:lineRule="auto"/>
              <w:ind w:firstLine="420" w:firstLineChars="200"/>
              <w:rPr>
                <w:rFonts w:hint="default" w:ascii="Times New Roman" w:hAnsi="Times New Roman" w:cs="Times New Roman"/>
                <w:color w:val="auto"/>
              </w:rPr>
            </w:pPr>
            <w:r>
              <w:rPr>
                <w:rFonts w:hint="eastAsia" w:cs="Times New Roman"/>
                <w:color w:val="auto"/>
                <w:kern w:val="0"/>
                <w:szCs w:val="21"/>
                <w:lang w:val="zh-CN"/>
              </w:rPr>
              <w:t>一期项目</w:t>
            </w:r>
            <w:r>
              <w:rPr>
                <w:rFonts w:hint="default" w:ascii="Times New Roman" w:hAnsi="Times New Roman" w:cs="Times New Roman"/>
                <w:color w:val="auto"/>
                <w:kern w:val="0"/>
                <w:szCs w:val="21"/>
                <w:lang w:val="zh-CN"/>
              </w:rPr>
              <w:t>职工生活污水经化粪池处理后</w:t>
            </w:r>
            <w:r>
              <w:rPr>
                <w:rFonts w:hint="default" w:ascii="Times New Roman" w:hAnsi="Times New Roman" w:cs="Times New Roman"/>
                <w:color w:val="auto"/>
                <w:kern w:val="0"/>
                <w:szCs w:val="21"/>
              </w:rPr>
              <w:t>环卫清运</w:t>
            </w:r>
            <w:r>
              <w:rPr>
                <w:rFonts w:hint="eastAsia" w:cs="Times New Roman"/>
                <w:color w:val="auto"/>
                <w:kern w:val="0"/>
                <w:szCs w:val="21"/>
                <w:lang w:eastAsia="zh-CN"/>
              </w:rPr>
              <w:t>；</w:t>
            </w:r>
            <w:r>
              <w:rPr>
                <w:rFonts w:hint="eastAsia" w:cs="Times New Roman"/>
                <w:color w:val="auto"/>
                <w:kern w:val="0"/>
                <w:szCs w:val="21"/>
                <w:lang w:val="en-US" w:eastAsia="zh-CN"/>
              </w:rPr>
              <w:t>水喷淋废水用于造粒用水，车间洒水降尘用水、厂区道路洒水降尘用水、造粒用水全部蒸发损耗，</w:t>
            </w:r>
            <w:r>
              <w:rPr>
                <w:rFonts w:hint="eastAsia" w:cs="Times New Roman"/>
                <w:color w:val="auto"/>
                <w:kern w:val="0"/>
                <w:szCs w:val="21"/>
                <w:lang w:eastAsia="zh-CN"/>
              </w:rPr>
              <w:t>无废水外排</w:t>
            </w:r>
            <w:r>
              <w:rPr>
                <w:rFonts w:hint="default" w:ascii="Times New Roman" w:hAnsi="Times New Roman" w:cs="Times New Roman"/>
                <w:color w:val="auto"/>
                <w:kern w:val="0"/>
                <w:szCs w:val="21"/>
              </w:rPr>
              <w:t>。</w:t>
            </w:r>
            <w:r>
              <w:rPr>
                <w:rFonts w:hint="default" w:ascii="Times New Roman" w:hAnsi="Times New Roman" w:cs="Times New Roman"/>
                <w:color w:val="auto"/>
                <w:kern w:val="0"/>
                <w:szCs w:val="21"/>
                <w:lang w:val="zh-CN"/>
              </w:rPr>
              <w:t>项目各工序废气收集后引入废气处理装置处理后达标排放；项目固体废物均得到合理处置，去向明确。根据主要环境影响和保护措施结论，项目建成后只要能按照本环评要求落实“三废”治理措施，则项目运营期污染物排放能达到国家相关排放标准要求，项目的实施对区域环境质量目标影响较小，不会影响区域环境质量目标的实现。</w:t>
            </w:r>
            <w:r>
              <w:rPr>
                <w:rFonts w:hint="eastAsia" w:cs="Times New Roman"/>
                <w:color w:val="auto"/>
                <w:kern w:val="0"/>
                <w:szCs w:val="21"/>
                <w:lang w:val="zh-CN"/>
              </w:rPr>
              <w:t>一期项目</w:t>
            </w:r>
            <w:r>
              <w:rPr>
                <w:rFonts w:hint="default" w:ascii="Times New Roman" w:hAnsi="Times New Roman" w:cs="Times New Roman"/>
                <w:color w:val="auto"/>
                <w:kern w:val="0"/>
                <w:szCs w:val="21"/>
                <w:lang w:val="zh-CN"/>
              </w:rPr>
              <w:t>投产后符合环境质量底线的要求</w:t>
            </w:r>
            <w:r>
              <w:rPr>
                <w:rFonts w:hint="default" w:ascii="Times New Roman" w:hAnsi="Times New Roman" w:cs="Times New Roman"/>
                <w:color w:val="auto"/>
              </w:rPr>
              <w:t>。</w:t>
            </w:r>
          </w:p>
          <w:p w14:paraId="4B2ED617">
            <w:pPr>
              <w:adjustRightInd w:val="0"/>
              <w:snapToGrid w:val="0"/>
              <w:spacing w:line="360" w:lineRule="auto"/>
              <w:ind w:firstLine="420" w:firstLineChars="200"/>
              <w:jc w:val="left"/>
              <w:rPr>
                <w:rFonts w:hint="default" w:ascii="Times New Roman" w:hAnsi="Times New Roman" w:cs="Times New Roman"/>
                <w:bCs/>
                <w:color w:val="auto"/>
              </w:rPr>
            </w:pPr>
            <w:r>
              <w:rPr>
                <w:rFonts w:hint="default" w:ascii="Times New Roman" w:hAnsi="Times New Roman" w:cs="Times New Roman"/>
                <w:bCs/>
                <w:color w:val="auto"/>
              </w:rPr>
              <w:t>4、生态环境准入清单</w:t>
            </w:r>
          </w:p>
          <w:p w14:paraId="5F26BDE6">
            <w:pPr>
              <w:autoSpaceDE w:val="0"/>
              <w:autoSpaceDN w:val="0"/>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color w:val="auto"/>
              </w:rPr>
              <w:t>生态环境准入清单：生态环</w:t>
            </w:r>
            <w:r>
              <w:rPr>
                <w:rFonts w:hint="default" w:ascii="Times New Roman" w:hAnsi="Times New Roman" w:cs="Times New Roman"/>
                <w:color w:val="auto"/>
                <w:highlight w:val="none"/>
              </w:rPr>
              <w:t>境准入清单是指基于生态保护红线、环境质量底线和资源利用上线，以清单方式列出禁止、限制等差别化环境准入条件和要求。</w:t>
            </w:r>
            <w:r>
              <w:rPr>
                <w:rFonts w:hint="default" w:ascii="Times New Roman" w:hAnsi="Times New Roman" w:cs="Times New Roman"/>
                <w:color w:val="auto"/>
                <w:kern w:val="0"/>
                <w:szCs w:val="21"/>
                <w:highlight w:val="none"/>
                <w:lang w:val="zh-CN"/>
              </w:rPr>
              <w:t>根据</w:t>
            </w:r>
            <w:r>
              <w:rPr>
                <w:rFonts w:hint="default" w:ascii="Times New Roman" w:hAnsi="Times New Roman" w:cs="Times New Roman"/>
                <w:bCs/>
                <w:color w:val="auto"/>
                <w:highlight w:val="none"/>
              </w:rPr>
              <w:t>《淄博市2023年生态环境分区管控成果动态更新项目生态环境准入清单》</w:t>
            </w:r>
            <w:r>
              <w:rPr>
                <w:rFonts w:hint="default" w:ascii="Times New Roman" w:hAnsi="Times New Roman" w:cs="Times New Roman"/>
                <w:color w:val="auto"/>
                <w:kern w:val="0"/>
                <w:szCs w:val="21"/>
                <w:highlight w:val="none"/>
                <w:lang w:val="zh-CN"/>
              </w:rPr>
              <w:t>，</w:t>
            </w:r>
            <w:r>
              <w:rPr>
                <w:rFonts w:hint="eastAsia" w:cs="Times New Roman"/>
                <w:color w:val="auto"/>
                <w:kern w:val="0"/>
                <w:szCs w:val="21"/>
                <w:highlight w:val="none"/>
                <w:lang w:val="zh-CN"/>
              </w:rPr>
              <w:t>项目</w:t>
            </w:r>
            <w:r>
              <w:rPr>
                <w:rFonts w:hint="default" w:ascii="Times New Roman" w:hAnsi="Times New Roman" w:cs="Times New Roman"/>
                <w:color w:val="auto"/>
                <w:kern w:val="0"/>
                <w:szCs w:val="21"/>
                <w:highlight w:val="none"/>
                <w:lang w:val="zh-CN"/>
              </w:rPr>
              <w:t>管控单元名称</w:t>
            </w:r>
            <w:r>
              <w:rPr>
                <w:rFonts w:hint="default" w:ascii="Times New Roman" w:hAnsi="Times New Roman" w:cs="Times New Roman"/>
                <w:color w:val="auto"/>
                <w:kern w:val="0"/>
                <w:szCs w:val="21"/>
                <w:highlight w:val="none"/>
              </w:rPr>
              <w:t>为</w:t>
            </w:r>
            <w:r>
              <w:rPr>
                <w:rFonts w:hint="eastAsia" w:ascii="Times New Roman" w:hAnsi="Times New Roman" w:cs="Times New Roman"/>
                <w:color w:val="auto"/>
                <w:kern w:val="0"/>
                <w:szCs w:val="21"/>
                <w:highlight w:val="none"/>
                <w:lang w:val="en-US" w:eastAsia="zh-CN"/>
              </w:rPr>
              <w:t>双杨镇</w:t>
            </w:r>
            <w:r>
              <w:rPr>
                <w:rFonts w:hint="default" w:ascii="Times New Roman" w:hAnsi="Times New Roman" w:cs="Times New Roman"/>
                <w:color w:val="auto"/>
                <w:kern w:val="0"/>
                <w:szCs w:val="21"/>
                <w:highlight w:val="none"/>
                <w:lang w:val="zh-CN"/>
              </w:rPr>
              <w:t>，管控单元编码</w:t>
            </w:r>
            <w:r>
              <w:rPr>
                <w:rFonts w:hint="default" w:ascii="Times New Roman" w:hAnsi="Times New Roman" w:cs="Times New Roman"/>
                <w:color w:val="auto"/>
                <w:kern w:val="0"/>
                <w:szCs w:val="21"/>
                <w:lang w:bidi="ar"/>
              </w:rPr>
              <w:t>ZH37030220003</w:t>
            </w:r>
            <w:r>
              <w:rPr>
                <w:rFonts w:hint="default" w:ascii="Times New Roman" w:hAnsi="Times New Roman" w:cs="Times New Roman"/>
                <w:color w:val="auto"/>
                <w:kern w:val="0"/>
                <w:szCs w:val="21"/>
                <w:highlight w:val="none"/>
                <w:lang w:val="zh-CN"/>
              </w:rPr>
              <w:t>，为</w:t>
            </w:r>
            <w:r>
              <w:rPr>
                <w:rFonts w:hint="default" w:ascii="Times New Roman" w:hAnsi="Times New Roman" w:cs="Times New Roman"/>
                <w:color w:val="auto"/>
                <w:kern w:val="0"/>
                <w:szCs w:val="21"/>
                <w:lang w:val="zh-CN"/>
              </w:rPr>
              <w:t>重点</w:t>
            </w:r>
            <w:r>
              <w:rPr>
                <w:rFonts w:hint="default" w:ascii="Times New Roman" w:hAnsi="Times New Roman" w:cs="Times New Roman"/>
                <w:color w:val="auto"/>
                <w:kern w:val="0"/>
                <w:szCs w:val="21"/>
                <w:highlight w:val="none"/>
                <w:lang w:val="zh-CN"/>
              </w:rPr>
              <w:t>管控单元</w:t>
            </w:r>
            <w:r>
              <w:rPr>
                <w:rFonts w:hint="default" w:ascii="Times New Roman" w:hAnsi="Times New Roman" w:cs="Times New Roman"/>
                <w:color w:val="auto"/>
                <w:kern w:val="0"/>
                <w:szCs w:val="21"/>
                <w:highlight w:val="none"/>
              </w:rPr>
              <w:t>。</w:t>
            </w:r>
            <w:r>
              <w:rPr>
                <w:rFonts w:hint="eastAsia" w:cs="Times New Roman"/>
                <w:color w:val="auto"/>
                <w:kern w:val="0"/>
                <w:szCs w:val="21"/>
                <w:highlight w:val="none"/>
                <w:lang w:eastAsia="zh-CN"/>
              </w:rPr>
              <w:t>项目</w:t>
            </w:r>
            <w:r>
              <w:rPr>
                <w:rFonts w:hint="default" w:ascii="Times New Roman" w:hAnsi="Times New Roman" w:cs="Times New Roman"/>
                <w:color w:val="auto"/>
                <w:kern w:val="0"/>
                <w:szCs w:val="21"/>
                <w:highlight w:val="none"/>
              </w:rPr>
              <w:t>与该</w:t>
            </w:r>
            <w:r>
              <w:rPr>
                <w:rFonts w:hint="default" w:ascii="Times New Roman" w:hAnsi="Times New Roman" w:cs="Times New Roman"/>
                <w:color w:val="auto"/>
                <w:kern w:val="0"/>
                <w:szCs w:val="21"/>
                <w:highlight w:val="none"/>
                <w:lang w:val="zh-CN"/>
              </w:rPr>
              <w:t>管控区生态环境准入要求的符合性分析结果见表</w:t>
            </w:r>
            <w:r>
              <w:rPr>
                <w:rFonts w:hint="default" w:ascii="Times New Roman" w:hAnsi="Times New Roman" w:cs="Times New Roman"/>
                <w:color w:val="auto"/>
                <w:highlight w:val="none"/>
              </w:rPr>
              <w:t>1-</w:t>
            </w:r>
            <w:r>
              <w:rPr>
                <w:rFonts w:hint="eastAsia" w:cs="Times New Roman"/>
                <w:color w:val="auto"/>
                <w:highlight w:val="none"/>
                <w:lang w:val="en-US" w:eastAsia="zh-CN"/>
              </w:rPr>
              <w:t>3</w:t>
            </w:r>
            <w:r>
              <w:rPr>
                <w:rFonts w:hint="default" w:ascii="Times New Roman" w:hAnsi="Times New Roman" w:cs="Times New Roman"/>
                <w:bCs/>
                <w:color w:val="auto"/>
              </w:rPr>
              <w:t>：</w:t>
            </w:r>
          </w:p>
          <w:p w14:paraId="73163454">
            <w:pPr>
              <w:adjustRightInd w:val="0"/>
              <w:snapToGrid w:val="0"/>
              <w:spacing w:line="360" w:lineRule="auto"/>
              <w:jc w:val="center"/>
              <w:rPr>
                <w:rFonts w:hint="default" w:ascii="Times New Roman" w:hAnsi="Times New Roman" w:cs="Times New Roman"/>
                <w:b/>
                <w:bCs/>
                <w:color w:val="auto"/>
                <w:szCs w:val="24"/>
              </w:rPr>
            </w:pPr>
            <w:r>
              <w:rPr>
                <w:rFonts w:hint="default" w:ascii="Times New Roman" w:hAnsi="Times New Roman" w:cs="Times New Roman"/>
                <w:b/>
                <w:bCs/>
                <w:color w:val="auto"/>
                <w:szCs w:val="24"/>
              </w:rPr>
              <w:t>表1-</w:t>
            </w:r>
            <w:r>
              <w:rPr>
                <w:rFonts w:hint="eastAsia" w:cs="Times New Roman"/>
                <w:b/>
                <w:bCs/>
                <w:color w:val="auto"/>
                <w:szCs w:val="24"/>
                <w:lang w:val="en-US" w:eastAsia="zh-CN"/>
              </w:rPr>
              <w:t>3</w:t>
            </w:r>
            <w:r>
              <w:rPr>
                <w:rFonts w:hint="default" w:ascii="Times New Roman" w:hAnsi="Times New Roman" w:cs="Times New Roman"/>
                <w:b/>
                <w:bCs/>
                <w:color w:val="auto"/>
                <w:szCs w:val="24"/>
              </w:rPr>
              <w:t xml:space="preserve"> 生态环境准入清单要求</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381"/>
              <w:gridCol w:w="488"/>
              <w:gridCol w:w="7"/>
              <w:gridCol w:w="3463"/>
              <w:gridCol w:w="2971"/>
              <w:gridCol w:w="842"/>
            </w:tblGrid>
            <w:tr w14:paraId="4DA6E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381" w:type="dxa"/>
                  <w:noWrap w:val="0"/>
                  <w:vAlign w:val="center"/>
                </w:tcPr>
                <w:p w14:paraId="203E3D08">
                  <w:pPr>
                    <w:spacing w:line="240" w:lineRule="exact"/>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序号</w:t>
                  </w:r>
                </w:p>
              </w:tc>
              <w:tc>
                <w:tcPr>
                  <w:tcW w:w="3958" w:type="dxa"/>
                  <w:gridSpan w:val="3"/>
                  <w:noWrap w:val="0"/>
                  <w:vAlign w:val="center"/>
                </w:tcPr>
                <w:p w14:paraId="354B4D81">
                  <w:pPr>
                    <w:spacing w:line="240" w:lineRule="exact"/>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管控要求</w:t>
                  </w:r>
                </w:p>
              </w:tc>
              <w:tc>
                <w:tcPr>
                  <w:tcW w:w="2971" w:type="dxa"/>
                  <w:noWrap w:val="0"/>
                  <w:vAlign w:val="center"/>
                </w:tcPr>
                <w:p w14:paraId="78CEDD47">
                  <w:pPr>
                    <w:spacing w:line="240" w:lineRule="exact"/>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符合性分析</w:t>
                  </w:r>
                </w:p>
              </w:tc>
              <w:tc>
                <w:tcPr>
                  <w:tcW w:w="842" w:type="dxa"/>
                  <w:noWrap w:val="0"/>
                  <w:vAlign w:val="center"/>
                </w:tcPr>
                <w:p w14:paraId="6A8C17A1">
                  <w:pPr>
                    <w:spacing w:line="240" w:lineRule="exact"/>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结论</w:t>
                  </w:r>
                </w:p>
              </w:tc>
            </w:tr>
            <w:tr w14:paraId="032CC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110" w:hRule="atLeast"/>
                <w:jc w:val="center"/>
              </w:trPr>
              <w:tc>
                <w:tcPr>
                  <w:tcW w:w="381" w:type="dxa"/>
                  <w:vMerge w:val="restart"/>
                  <w:noWrap w:val="0"/>
                  <w:vAlign w:val="center"/>
                </w:tcPr>
                <w:p w14:paraId="2DE97AF6">
                  <w:pPr>
                    <w:spacing w:line="240" w:lineRule="exact"/>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1</w:t>
                  </w:r>
                </w:p>
              </w:tc>
              <w:tc>
                <w:tcPr>
                  <w:tcW w:w="495" w:type="dxa"/>
                  <w:gridSpan w:val="2"/>
                  <w:noWrap w:val="0"/>
                  <w:vAlign w:val="center"/>
                </w:tcPr>
                <w:p w14:paraId="1CB765F1">
                  <w:pPr>
                    <w:spacing w:line="240" w:lineRule="exact"/>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空间布局约束</w:t>
                  </w:r>
                </w:p>
              </w:tc>
              <w:tc>
                <w:tcPr>
                  <w:tcW w:w="3463" w:type="dxa"/>
                  <w:noWrap w:val="0"/>
                  <w:vAlign w:val="center"/>
                </w:tcPr>
                <w:p w14:paraId="02416BC8">
                  <w:pPr>
                    <w:spacing w:line="240" w:lineRule="exact"/>
                    <w:rPr>
                      <w:rFonts w:hint="default" w:ascii="Times New Roman" w:hAnsi="Times New Roman" w:cs="Times New Roman"/>
                      <w:color w:val="auto"/>
                      <w:sz w:val="18"/>
                      <w:szCs w:val="18"/>
                      <w:highlight w:val="none"/>
                      <w:lang w:val="zh-CN"/>
                    </w:rPr>
                  </w:pPr>
                  <w:r>
                    <w:rPr>
                      <w:rFonts w:hint="default" w:ascii="Times New Roman" w:hAnsi="Times New Roman" w:eastAsia="宋体" w:cs="Times New Roman"/>
                      <w:i w:val="0"/>
                      <w:color w:val="auto"/>
                      <w:kern w:val="0"/>
                      <w:sz w:val="18"/>
                      <w:szCs w:val="18"/>
                      <w:highlight w:val="none"/>
                      <w:u w:val="none"/>
                      <w:lang w:val="en-US" w:eastAsia="zh-CN" w:bidi="ar"/>
                    </w:rPr>
                    <w:t>1.禁止新建、扩建《产业结构调整指导目录》（现行）明确的淘汰类项目和引入《市场准入负面清单》（现行）禁止准入类事项；鼓励对列入《产业结构调整指导目录》的限制类、淘汰类工业项目进行淘汰和提升改造。</w:t>
                  </w:r>
                  <w:r>
                    <w:rPr>
                      <w:rFonts w:hint="default" w:ascii="Times New Roman" w:hAnsi="Times New Roman" w:eastAsia="宋体" w:cs="Times New Roman"/>
                      <w:i w:val="0"/>
                      <w:color w:val="auto"/>
                      <w:kern w:val="0"/>
                      <w:sz w:val="18"/>
                      <w:szCs w:val="18"/>
                      <w:highlight w:val="none"/>
                      <w:u w:val="none"/>
                      <w:lang w:val="en-US" w:eastAsia="zh-CN" w:bidi="ar"/>
                    </w:rPr>
                    <w:br w:type="textWrapping"/>
                  </w:r>
                  <w:r>
                    <w:rPr>
                      <w:rFonts w:hint="default" w:ascii="Times New Roman" w:hAnsi="Times New Roman" w:eastAsia="宋体" w:cs="Times New Roman"/>
                      <w:i w:val="0"/>
                      <w:color w:val="auto"/>
                      <w:kern w:val="0"/>
                      <w:sz w:val="18"/>
                      <w:szCs w:val="18"/>
                      <w:highlight w:val="none"/>
                      <w:u w:val="none"/>
                      <w:lang w:val="en-US" w:eastAsia="zh-CN" w:bidi="ar"/>
                    </w:rPr>
                    <w:t>2.按照《土壤污染防治行动计划》要求，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r>
                    <w:rPr>
                      <w:rFonts w:hint="default" w:ascii="Times New Roman" w:hAnsi="Times New Roman" w:eastAsia="宋体" w:cs="Times New Roman"/>
                      <w:i w:val="0"/>
                      <w:color w:val="auto"/>
                      <w:kern w:val="0"/>
                      <w:sz w:val="18"/>
                      <w:szCs w:val="18"/>
                      <w:highlight w:val="none"/>
                      <w:u w:val="none"/>
                      <w:lang w:val="en-US" w:eastAsia="zh-CN" w:bidi="ar"/>
                    </w:rPr>
                    <w:br w:type="textWrapping"/>
                  </w:r>
                  <w:r>
                    <w:rPr>
                      <w:rFonts w:hint="default" w:ascii="Times New Roman" w:hAnsi="Times New Roman" w:eastAsia="宋体" w:cs="Times New Roman"/>
                      <w:i w:val="0"/>
                      <w:color w:val="auto"/>
                      <w:kern w:val="0"/>
                      <w:sz w:val="18"/>
                      <w:szCs w:val="18"/>
                      <w:highlight w:val="none"/>
                      <w:u w:val="none"/>
                      <w:lang w:val="en-US" w:eastAsia="zh-CN" w:bidi="ar"/>
                    </w:rPr>
                    <w:t>3.污水处理设施不健全、未正常运行或污水管网未覆盖的地区，未配套污水处理设施的项目不得建设。</w:t>
                  </w:r>
                  <w:r>
                    <w:rPr>
                      <w:rFonts w:hint="default" w:ascii="Times New Roman" w:hAnsi="Times New Roman" w:eastAsia="宋体" w:cs="Times New Roman"/>
                      <w:i w:val="0"/>
                      <w:color w:val="auto"/>
                      <w:kern w:val="0"/>
                      <w:sz w:val="18"/>
                      <w:szCs w:val="18"/>
                      <w:highlight w:val="none"/>
                      <w:u w:val="none"/>
                      <w:lang w:val="en-US" w:eastAsia="zh-CN" w:bidi="ar"/>
                    </w:rPr>
                    <w:br w:type="textWrapping"/>
                  </w:r>
                  <w:r>
                    <w:rPr>
                      <w:rFonts w:hint="default" w:ascii="Times New Roman" w:hAnsi="Times New Roman" w:eastAsia="宋体" w:cs="Times New Roman"/>
                      <w:i w:val="0"/>
                      <w:color w:val="auto"/>
                      <w:kern w:val="0"/>
                      <w:sz w:val="18"/>
                      <w:szCs w:val="18"/>
                      <w:highlight w:val="none"/>
                      <w:u w:val="none"/>
                      <w:lang w:val="en-US" w:eastAsia="zh-CN" w:bidi="ar"/>
                    </w:rPr>
                    <w:t>4.新建有污染物排放的工业项目，除在安全生产等方面有特殊要求的以外，应当进入工业园区或工业聚集区。</w:t>
                  </w:r>
                  <w:r>
                    <w:rPr>
                      <w:rFonts w:hint="default" w:ascii="Times New Roman" w:hAnsi="Times New Roman" w:eastAsia="宋体" w:cs="Times New Roman"/>
                      <w:i w:val="0"/>
                      <w:color w:val="auto"/>
                      <w:kern w:val="0"/>
                      <w:sz w:val="18"/>
                      <w:szCs w:val="18"/>
                      <w:highlight w:val="none"/>
                      <w:u w:val="none"/>
                      <w:lang w:val="en-US" w:eastAsia="zh-CN" w:bidi="ar"/>
                    </w:rPr>
                    <w:br w:type="textWrapping"/>
                  </w:r>
                  <w:r>
                    <w:rPr>
                      <w:rFonts w:hint="default" w:ascii="Times New Roman" w:hAnsi="Times New Roman" w:eastAsia="宋体" w:cs="Times New Roman"/>
                      <w:i w:val="0"/>
                      <w:color w:val="auto"/>
                      <w:kern w:val="0"/>
                      <w:sz w:val="18"/>
                      <w:szCs w:val="18"/>
                      <w:highlight w:val="none"/>
                      <w:u w:val="none"/>
                      <w:lang w:val="en-US" w:eastAsia="zh-CN" w:bidi="ar"/>
                    </w:rPr>
                    <w:t>5.按照省市要求，严格控制“两高”项目，新建“两高”项目实行“五个减量替代”。</w:t>
                  </w:r>
                </w:p>
              </w:tc>
              <w:tc>
                <w:tcPr>
                  <w:tcW w:w="2971" w:type="dxa"/>
                  <w:noWrap w:val="0"/>
                  <w:vAlign w:val="center"/>
                </w:tcPr>
                <w:p w14:paraId="0C233F51">
                  <w:pPr>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r>
                    <w:rPr>
                      <w:rFonts w:hint="eastAsia" w:cs="Times New Roman"/>
                      <w:color w:val="auto"/>
                      <w:sz w:val="18"/>
                      <w:szCs w:val="18"/>
                      <w:highlight w:val="none"/>
                      <w:lang w:val="zh-CN"/>
                    </w:rPr>
                    <w:t>一期项目</w:t>
                  </w:r>
                  <w:r>
                    <w:rPr>
                      <w:rFonts w:hint="default" w:ascii="Times New Roman" w:hAnsi="Times New Roman" w:cs="Times New Roman"/>
                      <w:color w:val="auto"/>
                      <w:sz w:val="18"/>
                      <w:szCs w:val="18"/>
                      <w:highlight w:val="none"/>
                      <w:lang w:val="zh-CN"/>
                    </w:rPr>
                    <w:t>不属于</w:t>
                  </w:r>
                  <w:r>
                    <w:rPr>
                      <w:rFonts w:hint="eastAsia" w:cs="Times New Roman"/>
                      <w:color w:val="auto"/>
                      <w:sz w:val="18"/>
                      <w:szCs w:val="18"/>
                      <w:highlight w:val="none"/>
                      <w:lang w:eastAsia="zh-CN"/>
                    </w:rPr>
                    <w:t>《产业结构调整指导目录》（2024年）</w:t>
                  </w:r>
                  <w:r>
                    <w:rPr>
                      <w:rFonts w:hint="default" w:ascii="Times New Roman" w:hAnsi="Times New Roman" w:cs="Times New Roman"/>
                      <w:color w:val="auto"/>
                      <w:sz w:val="18"/>
                      <w:szCs w:val="18"/>
                      <w:highlight w:val="none"/>
                    </w:rPr>
                    <w:t>明确的淘汰类项目和引入《市场准入负面清单》（现行）禁止准入类事项，</w:t>
                  </w:r>
                  <w:r>
                    <w:rPr>
                      <w:rFonts w:hint="default" w:ascii="Times New Roman" w:hAnsi="Times New Roman" w:cs="Times New Roman"/>
                      <w:color w:val="auto"/>
                      <w:sz w:val="18"/>
                      <w:szCs w:val="18"/>
                      <w:highlight w:val="none"/>
                      <w:lang w:eastAsia="zh-CN"/>
                    </w:rPr>
                    <w:t>不属于限制类、淘汰类项目。</w:t>
                  </w:r>
                  <w:r>
                    <w:rPr>
                      <w:rFonts w:hint="eastAsia" w:cs="Times New Roman"/>
                      <w:color w:val="auto"/>
                      <w:sz w:val="18"/>
                      <w:szCs w:val="18"/>
                      <w:highlight w:val="none"/>
                      <w:lang w:eastAsia="zh-CN"/>
                    </w:rPr>
                    <w:t>项目</w:t>
                  </w:r>
                  <w:r>
                    <w:rPr>
                      <w:rFonts w:hint="default" w:ascii="Times New Roman" w:hAnsi="Times New Roman" w:cs="Times New Roman"/>
                      <w:color w:val="auto"/>
                      <w:sz w:val="18"/>
                      <w:szCs w:val="18"/>
                      <w:highlight w:val="none"/>
                    </w:rPr>
                    <w:t>已经申请山东省建设项目备案证明，项目代码：</w:t>
                  </w:r>
                  <w:r>
                    <w:rPr>
                      <w:rFonts w:hint="eastAsia" w:cs="Times New Roman"/>
                      <w:color w:val="auto"/>
                      <w:sz w:val="18"/>
                      <w:szCs w:val="18"/>
                      <w:highlight w:val="none"/>
                      <w:lang w:eastAsia="zh-CN"/>
                    </w:rPr>
                    <w:t>2308-370302-89-01-145088</w:t>
                  </w:r>
                  <w:r>
                    <w:rPr>
                      <w:rFonts w:hint="default" w:ascii="Times New Roman" w:hAnsi="Times New Roman" w:cs="Times New Roman"/>
                      <w:color w:val="auto"/>
                      <w:sz w:val="18"/>
                      <w:szCs w:val="18"/>
                      <w:highlight w:val="none"/>
                      <w:lang w:eastAsia="zh-CN"/>
                    </w:rPr>
                    <w:t>。</w:t>
                  </w:r>
                </w:p>
                <w:p w14:paraId="30D3C7D1">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en-US" w:eastAsia="zh-CN"/>
                    </w:rPr>
                    <w:t>2.</w:t>
                  </w:r>
                  <w:r>
                    <w:rPr>
                      <w:rFonts w:hint="eastAsia" w:cs="Times New Roman"/>
                      <w:color w:val="auto"/>
                      <w:sz w:val="18"/>
                      <w:szCs w:val="18"/>
                      <w:highlight w:val="none"/>
                      <w:lang w:val="zh-CN"/>
                    </w:rPr>
                    <w:t>项目</w:t>
                  </w:r>
                  <w:r>
                    <w:rPr>
                      <w:rFonts w:hint="default" w:ascii="Times New Roman" w:hAnsi="Times New Roman" w:cs="Times New Roman"/>
                      <w:color w:val="auto"/>
                      <w:sz w:val="18"/>
                      <w:szCs w:val="18"/>
                      <w:highlight w:val="none"/>
                      <w:lang w:val="zh-CN"/>
                    </w:rPr>
                    <w:t>属于</w:t>
                  </w:r>
                  <w:r>
                    <w:rPr>
                      <w:rFonts w:hint="eastAsia" w:cs="Times New Roman"/>
                      <w:color w:val="auto"/>
                      <w:sz w:val="18"/>
                      <w:szCs w:val="18"/>
                      <w:highlight w:val="none"/>
                      <w:lang w:eastAsia="zh-CN"/>
                    </w:rPr>
                    <w:t>C2624复混肥料制造</w:t>
                  </w:r>
                  <w:r>
                    <w:rPr>
                      <w:rFonts w:hint="default" w:ascii="Times New Roman" w:hAnsi="Times New Roman" w:cs="Times New Roman"/>
                      <w:color w:val="auto"/>
                      <w:sz w:val="18"/>
                      <w:szCs w:val="18"/>
                      <w:highlight w:val="none"/>
                      <w:lang w:eastAsia="zh-CN"/>
                    </w:rPr>
                    <w:t>，属于</w:t>
                  </w:r>
                  <w:r>
                    <w:rPr>
                      <w:rFonts w:hint="eastAsia" w:cs="Times New Roman"/>
                      <w:color w:val="auto"/>
                      <w:sz w:val="18"/>
                      <w:szCs w:val="18"/>
                      <w:highlight w:val="none"/>
                      <w:lang w:val="en-US" w:eastAsia="zh-CN"/>
                    </w:rPr>
                    <w:t>新建</w:t>
                  </w:r>
                  <w:r>
                    <w:rPr>
                      <w:rFonts w:hint="default" w:ascii="Times New Roman" w:hAnsi="Times New Roman" w:cs="Times New Roman"/>
                      <w:color w:val="auto"/>
                      <w:sz w:val="18"/>
                      <w:szCs w:val="18"/>
                      <w:highlight w:val="none"/>
                      <w:lang w:eastAsia="zh-CN"/>
                    </w:rPr>
                    <w:t>项目</w:t>
                  </w:r>
                  <w:r>
                    <w:rPr>
                      <w:rFonts w:hint="default" w:ascii="Times New Roman" w:hAnsi="Times New Roman" w:cs="Times New Roman"/>
                      <w:color w:val="auto"/>
                      <w:sz w:val="18"/>
                      <w:szCs w:val="18"/>
                      <w:highlight w:val="none"/>
                      <w:lang w:val="zh-CN"/>
                    </w:rPr>
                    <w:t>，不属于新建有色金属冶炼、石油加工、化工、焦化、电镀、制革等行业企业。</w:t>
                  </w:r>
                  <w:r>
                    <w:rPr>
                      <w:rFonts w:hint="eastAsia" w:cs="Times New Roman"/>
                      <w:color w:val="auto"/>
                      <w:sz w:val="18"/>
                      <w:szCs w:val="18"/>
                      <w:highlight w:val="none"/>
                      <w:lang w:val="zh-CN"/>
                    </w:rPr>
                    <w:t>项目</w:t>
                  </w:r>
                  <w:r>
                    <w:rPr>
                      <w:rFonts w:hint="default" w:ascii="Times New Roman" w:hAnsi="Times New Roman" w:cs="Times New Roman"/>
                      <w:color w:val="auto"/>
                      <w:sz w:val="18"/>
                      <w:szCs w:val="18"/>
                      <w:highlight w:val="none"/>
                      <w:lang w:val="zh-CN"/>
                    </w:rPr>
                    <w:t>新增占地</w:t>
                  </w:r>
                  <w:r>
                    <w:rPr>
                      <w:rFonts w:hint="eastAsia" w:cs="Times New Roman"/>
                      <w:color w:val="auto"/>
                      <w:sz w:val="18"/>
                      <w:szCs w:val="18"/>
                      <w:highlight w:val="none"/>
                      <w:lang w:val="en-US" w:eastAsia="zh-CN"/>
                    </w:rPr>
                    <w:t>为工业用地</w:t>
                  </w:r>
                  <w:r>
                    <w:rPr>
                      <w:rFonts w:hint="default" w:ascii="Times New Roman" w:hAnsi="Times New Roman" w:cs="Times New Roman"/>
                      <w:color w:val="auto"/>
                      <w:sz w:val="18"/>
                      <w:szCs w:val="18"/>
                      <w:highlight w:val="none"/>
                      <w:lang w:val="zh-CN"/>
                    </w:rPr>
                    <w:t>，不涉及永久基本农田。</w:t>
                  </w:r>
                </w:p>
                <w:p w14:paraId="215F28D6">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en-US" w:eastAsia="zh-CN"/>
                    </w:rPr>
                    <w:t>3.</w:t>
                  </w:r>
                  <w:r>
                    <w:rPr>
                      <w:rFonts w:hint="eastAsia" w:cs="Times New Roman"/>
                      <w:color w:val="auto"/>
                      <w:sz w:val="18"/>
                      <w:szCs w:val="18"/>
                      <w:highlight w:val="none"/>
                      <w:lang w:eastAsia="zh-CN"/>
                    </w:rPr>
                    <w:t>项目</w:t>
                  </w:r>
                  <w:r>
                    <w:rPr>
                      <w:rFonts w:hint="default" w:ascii="Times New Roman" w:hAnsi="Times New Roman" w:cs="Times New Roman"/>
                      <w:color w:val="auto"/>
                      <w:sz w:val="18"/>
                      <w:szCs w:val="18"/>
                      <w:highlight w:val="none"/>
                      <w:lang w:val="zh-CN"/>
                    </w:rPr>
                    <w:t>生活污水经化粪池收集预处理经环卫部门定期清运</w:t>
                  </w:r>
                  <w:r>
                    <w:rPr>
                      <w:rFonts w:hint="eastAsia" w:cs="Times New Roman"/>
                      <w:color w:val="auto"/>
                      <w:sz w:val="18"/>
                      <w:szCs w:val="18"/>
                      <w:highlight w:val="none"/>
                      <w:lang w:val="zh-CN"/>
                    </w:rPr>
                    <w:t>；</w:t>
                  </w:r>
                  <w:r>
                    <w:rPr>
                      <w:rFonts w:hint="eastAsia" w:cs="Times New Roman"/>
                      <w:color w:val="auto"/>
                      <w:sz w:val="18"/>
                      <w:szCs w:val="18"/>
                      <w:highlight w:val="none"/>
                      <w:lang w:val="zh-CN" w:eastAsia="zh-CN"/>
                    </w:rPr>
                    <w:t>水喷淋废水用于造粒用水，车间洒水降尘用水、厂区道路洒水降尘用水、造粒用水全部蒸发损耗，无废水外排</w:t>
                  </w:r>
                  <w:r>
                    <w:rPr>
                      <w:rFonts w:hint="default" w:ascii="Times New Roman" w:hAnsi="Times New Roman" w:cs="Times New Roman"/>
                      <w:color w:val="auto"/>
                      <w:sz w:val="18"/>
                      <w:szCs w:val="18"/>
                      <w:highlight w:val="none"/>
                      <w:lang w:val="zh-CN"/>
                    </w:rPr>
                    <w:t>。</w:t>
                  </w:r>
                </w:p>
                <w:p w14:paraId="17FA2EE8">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w:t>
                  </w:r>
                  <w:r>
                    <w:rPr>
                      <w:rFonts w:hint="eastAsia" w:cs="Times New Roman"/>
                      <w:color w:val="auto"/>
                      <w:sz w:val="18"/>
                      <w:szCs w:val="18"/>
                      <w:highlight w:val="none"/>
                      <w:lang w:val="en-US" w:eastAsia="zh-CN"/>
                    </w:rPr>
                    <w:t>项目为工业用地，符合《淄博市淄川区双杨镇总体规划（2017-2035年）》。</w:t>
                  </w:r>
                </w:p>
                <w:p w14:paraId="6B75AB77">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5.项目</w:t>
                  </w:r>
                  <w:r>
                    <w:rPr>
                      <w:rFonts w:hint="default" w:ascii="Times New Roman" w:hAnsi="Times New Roman" w:cs="Times New Roman"/>
                      <w:color w:val="auto"/>
                      <w:sz w:val="18"/>
                      <w:szCs w:val="18"/>
                      <w:highlight w:val="none"/>
                      <w:lang w:val="en-US" w:eastAsia="zh-CN"/>
                    </w:rPr>
                    <w:t>不属于“两高”项目。</w:t>
                  </w:r>
                </w:p>
              </w:tc>
              <w:tc>
                <w:tcPr>
                  <w:tcW w:w="842" w:type="dxa"/>
                  <w:noWrap w:val="0"/>
                  <w:vAlign w:val="center"/>
                </w:tcPr>
                <w:p w14:paraId="66FB4881">
                  <w:pPr>
                    <w:spacing w:line="240" w:lineRule="exact"/>
                    <w:jc w:val="center"/>
                    <w:rPr>
                      <w:rFonts w:hint="default" w:ascii="Times New Roman" w:hAnsi="Times New Roman" w:cs="Times New Roman"/>
                      <w:color w:val="FF0000"/>
                      <w:sz w:val="18"/>
                      <w:szCs w:val="18"/>
                      <w:lang w:val="zh-CN"/>
                    </w:rPr>
                  </w:pPr>
                  <w:r>
                    <w:rPr>
                      <w:rFonts w:hint="default" w:ascii="Times New Roman" w:hAnsi="Times New Roman" w:cs="Times New Roman"/>
                      <w:color w:val="auto"/>
                      <w:sz w:val="18"/>
                      <w:szCs w:val="18"/>
                      <w:lang w:val="zh-CN"/>
                    </w:rPr>
                    <w:t>满足</w:t>
                  </w:r>
                </w:p>
              </w:tc>
            </w:tr>
            <w:tr w14:paraId="6DF21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310" w:hRule="atLeast"/>
                <w:jc w:val="center"/>
              </w:trPr>
              <w:tc>
                <w:tcPr>
                  <w:tcW w:w="381" w:type="dxa"/>
                  <w:vMerge w:val="restart"/>
                  <w:noWrap w:val="0"/>
                  <w:vAlign w:val="center"/>
                </w:tcPr>
                <w:p w14:paraId="42522A56">
                  <w:pPr>
                    <w:spacing w:line="240" w:lineRule="exact"/>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2</w:t>
                  </w:r>
                </w:p>
              </w:tc>
              <w:tc>
                <w:tcPr>
                  <w:tcW w:w="488" w:type="dxa"/>
                  <w:noWrap w:val="0"/>
                  <w:vAlign w:val="center"/>
                </w:tcPr>
                <w:p w14:paraId="63AD7C70">
                  <w:pPr>
                    <w:spacing w:line="240" w:lineRule="exact"/>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污染物排放管控</w:t>
                  </w:r>
                </w:p>
              </w:tc>
              <w:tc>
                <w:tcPr>
                  <w:tcW w:w="3470" w:type="dxa"/>
                  <w:gridSpan w:val="2"/>
                  <w:noWrap w:val="0"/>
                  <w:vAlign w:val="center"/>
                </w:tcPr>
                <w:p w14:paraId="170D45B7">
                  <w:pPr>
                    <w:spacing w:line="240" w:lineRule="exact"/>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1.涉“两高”项目企业应当积极实施节能改造提升，提高能源使用效率，推进节能减排。</w:t>
                  </w:r>
                </w:p>
                <w:p w14:paraId="7DF79570">
                  <w:pPr>
                    <w:spacing w:line="240" w:lineRule="exact"/>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2.落实主要污染物总量替代要求，按照山东省生态环境厅《关于印发山东省建设项目主要大气污染物排放总量替代指标核算及管理办法的通知》，实施动态管控替代。</w:t>
                  </w:r>
                </w:p>
                <w:p w14:paraId="66330523">
                  <w:pPr>
                    <w:spacing w:line="240" w:lineRule="exact"/>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3.废水应当按照要求进行预处理，达到行业排放标准或是综合排放标准后方可排放。</w:t>
                  </w:r>
                </w:p>
                <w:p w14:paraId="09B7DD19">
                  <w:pPr>
                    <w:spacing w:line="240" w:lineRule="exact"/>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4.禁止工业废水和生活污水未经处理直排环境；原则上除工业污水集中处理设施、城镇污水处理厂外不得新建入河排污口。</w:t>
                  </w:r>
                </w:p>
                <w:p w14:paraId="1D99FF87">
                  <w:pPr>
                    <w:spacing w:line="240" w:lineRule="exact"/>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5.包装印刷、表面涂装等涉VOCs排放的行业，严格按照淄博市行业环境管控要求，实施源头替代，建立健全治理设施，确保污染物稳定达标排放，做到持证排污。</w:t>
                  </w:r>
                </w:p>
                <w:p w14:paraId="59796D51">
                  <w:pPr>
                    <w:spacing w:line="240" w:lineRule="exact"/>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6.规模养殖场（小区）粪污处理设施装备配套率达到100%。通过管网截污、小型污水处理站和氧化塘、人工湿地等方式因地制宜处理处置农村生活污水，解决农村污水直排问题。</w:t>
                  </w:r>
                </w:p>
                <w:p w14:paraId="53B16EF9">
                  <w:pPr>
                    <w:spacing w:line="240" w:lineRule="exact"/>
                    <w:rPr>
                      <w:rFonts w:hint="default" w:ascii="Times New Roman" w:hAnsi="Times New Roman" w:cs="Times New Roman"/>
                      <w:color w:val="auto"/>
                      <w:sz w:val="18"/>
                      <w:szCs w:val="18"/>
                      <w:highlight w:val="none"/>
                      <w:lang w:val="zh-CN"/>
                    </w:rPr>
                  </w:pPr>
                  <w:r>
                    <w:rPr>
                      <w:rFonts w:hint="default" w:ascii="Times New Roman" w:hAnsi="Times New Roman" w:eastAsia="宋体" w:cs="Times New Roman"/>
                      <w:i w:val="0"/>
                      <w:color w:val="auto"/>
                      <w:kern w:val="0"/>
                      <w:sz w:val="18"/>
                      <w:szCs w:val="18"/>
                      <w:highlight w:val="none"/>
                      <w:u w:val="none"/>
                      <w:lang w:val="en-US" w:eastAsia="zh-CN" w:bidi="ar"/>
                    </w:rPr>
                    <w:t>7.进一步加强对建设工程施工、建筑物拆除、交通运输、道路保洁、物料运输与堆存、采石取土、养护绿化等活动的扬尘管理。</w:t>
                  </w:r>
                </w:p>
              </w:tc>
              <w:tc>
                <w:tcPr>
                  <w:tcW w:w="2971" w:type="dxa"/>
                  <w:noWrap w:val="0"/>
                  <w:vAlign w:val="center"/>
                </w:tcPr>
                <w:p w14:paraId="0A7F9A43">
                  <w:pPr>
                    <w:spacing w:line="240" w:lineRule="exact"/>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val="zh-CN"/>
                    </w:rPr>
                    <w:t>根据</w:t>
                  </w:r>
                  <w:r>
                    <w:rPr>
                      <w:rFonts w:hint="default" w:ascii="Times New Roman" w:hAnsi="Times New Roman" w:cs="Times New Roman"/>
                      <w:color w:val="auto"/>
                      <w:sz w:val="18"/>
                      <w:szCs w:val="18"/>
                      <w:highlight w:val="none"/>
                    </w:rPr>
                    <w:t>《山东省“两高”项目管理目录》（202</w:t>
                  </w:r>
                  <w:r>
                    <w:rPr>
                      <w:rFonts w:hint="default" w:ascii="Times New Roman" w:hAnsi="Times New Roman" w:cs="Times New Roman"/>
                      <w:color w:val="auto"/>
                      <w:sz w:val="18"/>
                      <w:szCs w:val="18"/>
                      <w:highlight w:val="none"/>
                      <w:lang w:val="en-US" w:eastAsia="zh-CN"/>
                    </w:rPr>
                    <w:t>3</w:t>
                  </w:r>
                  <w:r>
                    <w:rPr>
                      <w:rFonts w:hint="default" w:ascii="Times New Roman" w:hAnsi="Times New Roman" w:cs="Times New Roman"/>
                      <w:color w:val="auto"/>
                      <w:sz w:val="18"/>
                      <w:szCs w:val="18"/>
                      <w:highlight w:val="none"/>
                    </w:rPr>
                    <w:t>年版）</w:t>
                  </w:r>
                  <w:r>
                    <w:rPr>
                      <w:rFonts w:hint="default" w:ascii="Times New Roman" w:hAnsi="Times New Roman" w:cs="Times New Roman"/>
                      <w:color w:val="auto"/>
                      <w:sz w:val="18"/>
                      <w:szCs w:val="18"/>
                      <w:highlight w:val="none"/>
                      <w:lang w:val="zh-CN"/>
                    </w:rPr>
                    <w:t>，</w:t>
                  </w:r>
                  <w:r>
                    <w:rPr>
                      <w:rFonts w:hint="eastAsia" w:cs="Times New Roman"/>
                      <w:color w:val="auto"/>
                      <w:sz w:val="18"/>
                      <w:szCs w:val="18"/>
                      <w:highlight w:val="none"/>
                      <w:lang w:val="zh-CN"/>
                    </w:rPr>
                    <w:t>项目</w:t>
                  </w:r>
                  <w:r>
                    <w:rPr>
                      <w:rFonts w:hint="default" w:ascii="Times New Roman" w:hAnsi="Times New Roman" w:cs="Times New Roman"/>
                      <w:color w:val="auto"/>
                      <w:sz w:val="18"/>
                      <w:szCs w:val="18"/>
                      <w:highlight w:val="none"/>
                      <w:lang w:val="zh-CN"/>
                    </w:rPr>
                    <w:t>不属于“两高”行业。</w:t>
                  </w:r>
                </w:p>
                <w:p w14:paraId="755169B5">
                  <w:pPr>
                    <w:spacing w:line="240" w:lineRule="exact"/>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en-US" w:eastAsia="zh-CN"/>
                    </w:rPr>
                    <w:t>2.</w:t>
                  </w:r>
                  <w:r>
                    <w:rPr>
                      <w:rFonts w:hint="eastAsia" w:cs="Times New Roman"/>
                      <w:color w:val="auto"/>
                      <w:sz w:val="18"/>
                      <w:szCs w:val="18"/>
                      <w:highlight w:val="none"/>
                      <w:lang w:val="zh-CN"/>
                    </w:rPr>
                    <w:t>项目</w:t>
                  </w:r>
                  <w:r>
                    <w:rPr>
                      <w:rFonts w:hint="default" w:ascii="Times New Roman" w:hAnsi="Times New Roman" w:cs="Times New Roman"/>
                      <w:color w:val="auto"/>
                      <w:sz w:val="18"/>
                      <w:szCs w:val="18"/>
                      <w:highlight w:val="none"/>
                      <w:lang w:val="zh-CN"/>
                    </w:rPr>
                    <w:t>目前处于环评阶段，</w:t>
                  </w:r>
                  <w:r>
                    <w:rPr>
                      <w:rFonts w:hint="eastAsia" w:cs="Times New Roman"/>
                      <w:color w:val="auto"/>
                      <w:sz w:val="18"/>
                      <w:szCs w:val="18"/>
                      <w:highlight w:val="none"/>
                      <w:lang w:val="zh-CN"/>
                    </w:rPr>
                    <w:t>项目</w:t>
                  </w:r>
                  <w:r>
                    <w:rPr>
                      <w:rFonts w:hint="default" w:ascii="Times New Roman" w:hAnsi="Times New Roman" w:cs="Times New Roman"/>
                      <w:color w:val="auto"/>
                      <w:sz w:val="18"/>
                      <w:szCs w:val="18"/>
                      <w:highlight w:val="none"/>
                      <w:lang w:val="zh-CN"/>
                    </w:rPr>
                    <w:t>将按照淄环函〔2021〕55号要求落实污染物颗粒物</w:t>
                  </w:r>
                  <w:r>
                    <w:rPr>
                      <w:rFonts w:hint="eastAsia" w:cs="Times New Roman"/>
                      <w:color w:val="auto"/>
                      <w:sz w:val="18"/>
                      <w:szCs w:val="18"/>
                      <w:highlight w:val="none"/>
                      <w:lang w:val="zh-CN"/>
                    </w:rPr>
                    <w:t>、</w:t>
                  </w:r>
                  <w:r>
                    <w:rPr>
                      <w:rFonts w:hint="eastAsia" w:cs="Times New Roman"/>
                      <w:color w:val="auto"/>
                      <w:sz w:val="18"/>
                      <w:szCs w:val="18"/>
                      <w:highlight w:val="none"/>
                      <w:lang w:val="en-US" w:eastAsia="zh-CN"/>
                    </w:rPr>
                    <w:t>二氧化硫、氮氧化物</w:t>
                  </w:r>
                  <w:r>
                    <w:rPr>
                      <w:rFonts w:hint="default" w:ascii="Times New Roman" w:hAnsi="Times New Roman" w:cs="Times New Roman"/>
                      <w:color w:val="auto"/>
                      <w:sz w:val="18"/>
                      <w:szCs w:val="18"/>
                      <w:highlight w:val="none"/>
                      <w:lang w:val="zh-CN"/>
                    </w:rPr>
                    <w:t>总量控制和倍量替代要求。</w:t>
                  </w:r>
                </w:p>
                <w:p w14:paraId="318B27E6">
                  <w:pPr>
                    <w:spacing w:line="240" w:lineRule="exact"/>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en-US" w:eastAsia="zh-CN"/>
                    </w:rPr>
                    <w:t>3.</w:t>
                  </w:r>
                  <w:r>
                    <w:rPr>
                      <w:rFonts w:hint="eastAsia" w:cs="Times New Roman"/>
                      <w:color w:val="auto"/>
                      <w:sz w:val="18"/>
                      <w:szCs w:val="18"/>
                      <w:highlight w:val="none"/>
                      <w:lang w:eastAsia="zh-CN"/>
                    </w:rPr>
                    <w:t>项目</w:t>
                  </w:r>
                  <w:r>
                    <w:rPr>
                      <w:rFonts w:hint="default" w:ascii="Times New Roman" w:hAnsi="Times New Roman" w:cs="Times New Roman"/>
                      <w:color w:val="auto"/>
                      <w:sz w:val="18"/>
                      <w:szCs w:val="18"/>
                      <w:highlight w:val="none"/>
                      <w:lang w:val="zh-CN"/>
                    </w:rPr>
                    <w:t>生活污水经化粪池预处理后由环卫部门定期清运</w:t>
                  </w:r>
                  <w:r>
                    <w:rPr>
                      <w:rFonts w:hint="eastAsia" w:cs="Times New Roman"/>
                      <w:color w:val="auto"/>
                      <w:sz w:val="18"/>
                      <w:szCs w:val="18"/>
                      <w:highlight w:val="none"/>
                      <w:lang w:val="zh-CN"/>
                    </w:rPr>
                    <w:t>；</w:t>
                  </w:r>
                  <w:r>
                    <w:rPr>
                      <w:rFonts w:hint="eastAsia" w:cs="Times New Roman"/>
                      <w:color w:val="auto"/>
                      <w:sz w:val="18"/>
                      <w:szCs w:val="18"/>
                      <w:highlight w:val="none"/>
                      <w:lang w:val="zh-CN" w:eastAsia="zh-CN"/>
                    </w:rPr>
                    <w:t>水喷淋废水用于造粒用水，车间洒水降尘用水、厂区道路洒水降尘用水、造粒用水全部蒸发损耗，无废水外排</w:t>
                  </w:r>
                  <w:r>
                    <w:rPr>
                      <w:rFonts w:hint="default" w:ascii="Times New Roman" w:hAnsi="Times New Roman" w:cs="Times New Roman"/>
                      <w:color w:val="auto"/>
                      <w:sz w:val="18"/>
                      <w:szCs w:val="18"/>
                      <w:highlight w:val="none"/>
                      <w:lang w:val="zh-CN"/>
                    </w:rPr>
                    <w:t>。</w:t>
                  </w:r>
                </w:p>
                <w:p w14:paraId="6723292F">
                  <w:pPr>
                    <w:spacing w:line="240" w:lineRule="exact"/>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en-US" w:eastAsia="zh-CN"/>
                    </w:rPr>
                    <w:t>4.</w:t>
                  </w:r>
                  <w:r>
                    <w:rPr>
                      <w:rFonts w:hint="eastAsia" w:cs="Times New Roman"/>
                      <w:color w:val="auto"/>
                      <w:sz w:val="18"/>
                      <w:szCs w:val="18"/>
                      <w:highlight w:val="none"/>
                      <w:lang w:eastAsia="zh-CN"/>
                    </w:rPr>
                    <w:t>项目</w:t>
                  </w:r>
                  <w:r>
                    <w:rPr>
                      <w:rFonts w:hint="default" w:ascii="Times New Roman" w:hAnsi="Times New Roman" w:cs="Times New Roman"/>
                      <w:color w:val="auto"/>
                      <w:sz w:val="18"/>
                      <w:szCs w:val="18"/>
                      <w:highlight w:val="none"/>
                      <w:lang w:val="zh-CN"/>
                    </w:rPr>
                    <w:t>生活污水经化粪池预处理后由环卫部门定期清运</w:t>
                  </w:r>
                  <w:r>
                    <w:rPr>
                      <w:rFonts w:hint="eastAsia" w:cs="Times New Roman"/>
                      <w:color w:val="auto"/>
                      <w:sz w:val="18"/>
                      <w:szCs w:val="18"/>
                      <w:highlight w:val="none"/>
                      <w:lang w:val="zh-CN"/>
                    </w:rPr>
                    <w:t>；</w:t>
                  </w:r>
                  <w:r>
                    <w:rPr>
                      <w:rFonts w:hint="eastAsia" w:cs="Times New Roman"/>
                      <w:color w:val="auto"/>
                      <w:sz w:val="18"/>
                      <w:szCs w:val="18"/>
                      <w:highlight w:val="none"/>
                      <w:lang w:val="zh-CN" w:eastAsia="zh-CN"/>
                    </w:rPr>
                    <w:t>水喷淋废水用于造粒用水，车间洒水降尘用水、厂区道路洒水降尘用水、造粒用水全部蒸发损耗，无废水外排</w:t>
                  </w:r>
                  <w:r>
                    <w:rPr>
                      <w:rFonts w:hint="default" w:ascii="Times New Roman" w:hAnsi="Times New Roman" w:cs="Times New Roman"/>
                      <w:color w:val="auto"/>
                      <w:sz w:val="18"/>
                      <w:szCs w:val="18"/>
                      <w:highlight w:val="none"/>
                      <w:lang w:val="zh-CN"/>
                    </w:rPr>
                    <w:t>。</w:t>
                  </w:r>
                  <w:r>
                    <w:rPr>
                      <w:rFonts w:hint="eastAsia" w:cs="Times New Roman"/>
                      <w:color w:val="auto"/>
                      <w:sz w:val="18"/>
                      <w:szCs w:val="18"/>
                      <w:highlight w:val="none"/>
                      <w:lang w:val="zh-CN"/>
                    </w:rPr>
                    <w:t>项目</w:t>
                  </w:r>
                  <w:r>
                    <w:rPr>
                      <w:rFonts w:hint="default" w:ascii="Times New Roman" w:hAnsi="Times New Roman" w:cs="Times New Roman"/>
                      <w:color w:val="auto"/>
                      <w:sz w:val="18"/>
                      <w:szCs w:val="18"/>
                      <w:highlight w:val="none"/>
                      <w:lang w:val="zh-CN"/>
                    </w:rPr>
                    <w:t>废水不直接外排环境，不新建排污口。</w:t>
                  </w:r>
                </w:p>
                <w:p w14:paraId="5F08D792">
                  <w:pPr>
                    <w:spacing w:line="240" w:lineRule="exact"/>
                    <w:rPr>
                      <w:rFonts w:hint="default" w:ascii="Times New Roman" w:hAnsi="Times New Roman" w:eastAsia="宋体" w:cs="Times New Roman"/>
                      <w:color w:val="auto"/>
                      <w:sz w:val="18"/>
                      <w:szCs w:val="18"/>
                      <w:highlight w:val="none"/>
                      <w:lang w:val="zh-CN" w:eastAsia="zh-CN"/>
                    </w:rPr>
                  </w:pPr>
                  <w:r>
                    <w:rPr>
                      <w:rFonts w:hint="default" w:ascii="Times New Roman" w:hAnsi="Times New Roman" w:cs="Times New Roman"/>
                      <w:color w:val="auto"/>
                      <w:sz w:val="18"/>
                      <w:szCs w:val="18"/>
                      <w:highlight w:val="none"/>
                      <w:lang w:val="en-US" w:eastAsia="zh-CN"/>
                    </w:rPr>
                    <w:t>5.</w:t>
                  </w:r>
                  <w:r>
                    <w:rPr>
                      <w:rFonts w:hint="eastAsia" w:cs="Times New Roman"/>
                      <w:color w:val="auto"/>
                      <w:sz w:val="18"/>
                      <w:szCs w:val="18"/>
                      <w:highlight w:val="none"/>
                      <w:lang w:val="zh-CN"/>
                    </w:rPr>
                    <w:t>项目</w:t>
                  </w:r>
                  <w:r>
                    <w:rPr>
                      <w:rFonts w:hint="eastAsia" w:cs="Times New Roman"/>
                      <w:color w:val="auto"/>
                      <w:sz w:val="18"/>
                      <w:szCs w:val="18"/>
                      <w:highlight w:val="none"/>
                      <w:lang w:val="en-US" w:eastAsia="zh-CN"/>
                    </w:rPr>
                    <w:t>不涉及VOCs，但</w:t>
                  </w:r>
                  <w:r>
                    <w:rPr>
                      <w:rFonts w:hint="default" w:ascii="Times New Roman" w:hAnsi="Times New Roman" w:cs="Times New Roman"/>
                      <w:color w:val="auto"/>
                      <w:sz w:val="18"/>
                      <w:szCs w:val="18"/>
                      <w:highlight w:val="none"/>
                    </w:rPr>
                    <w:t>严格按照淄博市行业环境管控要求，建立健全治理设施，</w:t>
                  </w:r>
                  <w:r>
                    <w:rPr>
                      <w:rFonts w:hint="default" w:ascii="Times New Roman" w:hAnsi="Times New Roman" w:cs="Times New Roman"/>
                      <w:color w:val="auto"/>
                      <w:sz w:val="18"/>
                      <w:szCs w:val="18"/>
                      <w:highlight w:val="none"/>
                      <w:lang w:eastAsia="zh-CN"/>
                    </w:rPr>
                    <w:t>确保污染物稳定达标排放，项目产生实际排污前，申请排污许可证。</w:t>
                  </w:r>
                </w:p>
                <w:p w14:paraId="2A1311B7">
                  <w:pPr>
                    <w:spacing w:line="240" w:lineRule="exact"/>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6.</w:t>
                  </w:r>
                  <w:r>
                    <w:rPr>
                      <w:rFonts w:hint="eastAsia" w:cs="Times New Roman"/>
                      <w:color w:val="auto"/>
                      <w:sz w:val="18"/>
                      <w:szCs w:val="18"/>
                      <w:highlight w:val="none"/>
                      <w:lang w:eastAsia="zh-CN"/>
                    </w:rPr>
                    <w:t>项目</w:t>
                  </w:r>
                  <w:r>
                    <w:rPr>
                      <w:rFonts w:hint="default" w:ascii="Times New Roman" w:hAnsi="Times New Roman" w:cs="Times New Roman"/>
                      <w:color w:val="auto"/>
                      <w:sz w:val="18"/>
                      <w:szCs w:val="18"/>
                      <w:highlight w:val="none"/>
                    </w:rPr>
                    <w:t>不属于养殖场（小区）。</w:t>
                  </w:r>
                </w:p>
                <w:p w14:paraId="080DFD7B">
                  <w:pPr>
                    <w:spacing w:line="240" w:lineRule="exact"/>
                    <w:rPr>
                      <w:rFonts w:hint="default" w:ascii="Times New Roman" w:hAnsi="Times New Roman" w:cs="Times New Roman"/>
                      <w:color w:val="FF0000"/>
                      <w:sz w:val="18"/>
                      <w:szCs w:val="18"/>
                      <w:highlight w:val="none"/>
                      <w:lang w:val="zh-CN"/>
                    </w:rPr>
                  </w:pPr>
                  <w:r>
                    <w:rPr>
                      <w:rFonts w:hint="default" w:ascii="Times New Roman" w:hAnsi="Times New Roman" w:cs="Times New Roman"/>
                      <w:color w:val="auto"/>
                      <w:sz w:val="18"/>
                      <w:szCs w:val="18"/>
                      <w:highlight w:val="none"/>
                      <w:lang w:val="en-US" w:eastAsia="zh-CN"/>
                    </w:rPr>
                    <w:t>7.</w:t>
                  </w:r>
                  <w:r>
                    <w:rPr>
                      <w:rFonts w:hint="eastAsia"/>
                      <w:color w:val="auto"/>
                      <w:sz w:val="18"/>
                      <w:szCs w:val="18"/>
                      <w:highlight w:val="none"/>
                      <w:lang w:eastAsia="zh-CN"/>
                    </w:rPr>
                    <w:t>项目</w:t>
                  </w:r>
                  <w:r>
                    <w:rPr>
                      <w:rFonts w:hint="eastAsia"/>
                      <w:color w:val="auto"/>
                      <w:sz w:val="18"/>
                      <w:szCs w:val="18"/>
                      <w:highlight w:val="none"/>
                    </w:rPr>
                    <w:t>施工期采取洒水措施，运输车辆离开施工场地时，进行冲洗，以免将粉尘带到公路上，加强绿</w:t>
                  </w:r>
                  <w:r>
                    <w:rPr>
                      <w:rFonts w:hint="eastAsia"/>
                      <w:color w:val="auto"/>
                      <w:sz w:val="18"/>
                      <w:szCs w:val="18"/>
                      <w:highlight w:val="none"/>
                      <w:lang w:val="en-US" w:eastAsia="zh-CN"/>
                    </w:rPr>
                    <w:t>化</w:t>
                  </w:r>
                  <w:r>
                    <w:rPr>
                      <w:rFonts w:hint="default" w:ascii="Times New Roman" w:hAnsi="Times New Roman" w:cs="Times New Roman"/>
                      <w:color w:val="auto"/>
                      <w:sz w:val="18"/>
                      <w:szCs w:val="18"/>
                      <w:highlight w:val="none"/>
                    </w:rPr>
                    <w:t>。</w:t>
                  </w:r>
                </w:p>
              </w:tc>
              <w:tc>
                <w:tcPr>
                  <w:tcW w:w="842" w:type="dxa"/>
                  <w:noWrap w:val="0"/>
                  <w:vAlign w:val="center"/>
                </w:tcPr>
                <w:p w14:paraId="096DE966">
                  <w:pPr>
                    <w:spacing w:line="240" w:lineRule="exact"/>
                    <w:jc w:val="center"/>
                    <w:rPr>
                      <w:rFonts w:hint="default" w:ascii="Times New Roman" w:hAnsi="Times New Roman" w:cs="Times New Roman"/>
                      <w:color w:val="FF0000"/>
                      <w:sz w:val="18"/>
                      <w:szCs w:val="18"/>
                      <w:lang w:val="zh-CN"/>
                    </w:rPr>
                  </w:pPr>
                  <w:r>
                    <w:rPr>
                      <w:rFonts w:hint="default" w:ascii="Times New Roman" w:hAnsi="Times New Roman" w:cs="Times New Roman"/>
                      <w:color w:val="auto"/>
                      <w:sz w:val="18"/>
                      <w:szCs w:val="18"/>
                      <w:lang w:val="zh-CN"/>
                    </w:rPr>
                    <w:t>满足</w:t>
                  </w:r>
                </w:p>
              </w:tc>
            </w:tr>
            <w:tr w14:paraId="41BAA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35" w:hRule="atLeast"/>
                <w:jc w:val="center"/>
              </w:trPr>
              <w:tc>
                <w:tcPr>
                  <w:tcW w:w="381" w:type="dxa"/>
                  <w:vMerge w:val="restart"/>
                  <w:noWrap w:val="0"/>
                  <w:vAlign w:val="center"/>
                </w:tcPr>
                <w:p w14:paraId="3AF3ABFD">
                  <w:pPr>
                    <w:spacing w:line="240" w:lineRule="exact"/>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3</w:t>
                  </w:r>
                </w:p>
              </w:tc>
              <w:tc>
                <w:tcPr>
                  <w:tcW w:w="495" w:type="dxa"/>
                  <w:gridSpan w:val="2"/>
                  <w:vMerge w:val="restart"/>
                  <w:noWrap w:val="0"/>
                  <w:vAlign w:val="center"/>
                </w:tcPr>
                <w:p w14:paraId="40C25B59">
                  <w:pPr>
                    <w:spacing w:line="240" w:lineRule="exact"/>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环境风险防控</w:t>
                  </w:r>
                </w:p>
              </w:tc>
              <w:tc>
                <w:tcPr>
                  <w:tcW w:w="3463" w:type="dxa"/>
                  <w:vMerge w:val="restart"/>
                  <w:noWrap w:val="0"/>
                  <w:vAlign w:val="center"/>
                </w:tcPr>
                <w:p w14:paraId="67599CA4">
                  <w:pPr>
                    <w:spacing w:line="240" w:lineRule="exact"/>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1.紧邻居住、科教、医院等环境敏感点的工业用地，禁止新建环境风险潜势等级高的建设项目；现有项目严格落实环评及批复环境风险防控要求。</w:t>
                  </w:r>
                </w:p>
                <w:p w14:paraId="09F30DF7">
                  <w:pPr>
                    <w:spacing w:line="240" w:lineRule="exact"/>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2.加强农田土壤、灌溉水的监测，对周边区域环境风险源进行评估。</w:t>
                  </w:r>
                </w:p>
                <w:p w14:paraId="0ADE8515">
                  <w:pPr>
                    <w:spacing w:line="240" w:lineRule="exact"/>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3.企业事业单位根据法律法规、管理部门要求和《企业事业单位突发环境事件应急预案备案管理办法（试行）》等规定，依法依规编制环境应急预案并定期开展演练。</w:t>
                  </w:r>
                </w:p>
                <w:p w14:paraId="61A3D7A8">
                  <w:pPr>
                    <w:spacing w:line="240" w:lineRule="exact"/>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4.建立各企业危险废物的贮存、申报、经营许可（无废城市建设豁免的除外）、转移及处置管理制度，并负责对危废相应活动的全程监管和环境安全保障。</w:t>
                  </w:r>
                </w:p>
                <w:p w14:paraId="5CADF6E8">
                  <w:pPr>
                    <w:spacing w:line="240" w:lineRule="exact"/>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5.按照省市要求，做好清洁取暖改造工作。</w:t>
                  </w:r>
                </w:p>
              </w:tc>
              <w:tc>
                <w:tcPr>
                  <w:tcW w:w="2971" w:type="dxa"/>
                  <w:noWrap w:val="0"/>
                  <w:vAlign w:val="center"/>
                </w:tcPr>
                <w:p w14:paraId="088DFE99">
                  <w:pPr>
                    <w:spacing w:line="240" w:lineRule="exact"/>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r>
                    <w:rPr>
                      <w:rFonts w:hint="eastAsia" w:cs="Times New Roman"/>
                      <w:color w:val="auto"/>
                      <w:sz w:val="18"/>
                      <w:szCs w:val="18"/>
                      <w:highlight w:val="none"/>
                      <w:lang w:val="zh-CN"/>
                    </w:rPr>
                    <w:t>项目</w:t>
                  </w:r>
                  <w:r>
                    <w:rPr>
                      <w:rFonts w:hint="default" w:ascii="Times New Roman" w:hAnsi="Times New Roman" w:cs="Times New Roman"/>
                      <w:color w:val="auto"/>
                      <w:sz w:val="18"/>
                      <w:szCs w:val="18"/>
                      <w:highlight w:val="none"/>
                      <w:lang w:val="zh-CN"/>
                    </w:rPr>
                    <w:t>距离最近的敏感点为位于项目</w:t>
                  </w:r>
                  <w:r>
                    <w:rPr>
                      <w:rFonts w:hint="eastAsia" w:cs="Times New Roman"/>
                      <w:color w:val="auto"/>
                      <w:sz w:val="18"/>
                      <w:szCs w:val="18"/>
                      <w:highlight w:val="none"/>
                      <w:lang w:val="en-US" w:eastAsia="zh-CN"/>
                    </w:rPr>
                    <w:t>西</w:t>
                  </w:r>
                  <w:r>
                    <w:rPr>
                      <w:rFonts w:hint="default" w:ascii="Times New Roman" w:hAnsi="Times New Roman" w:cs="Times New Roman"/>
                      <w:color w:val="auto"/>
                      <w:sz w:val="18"/>
                      <w:szCs w:val="18"/>
                      <w:highlight w:val="none"/>
                      <w:lang w:val="zh-CN"/>
                    </w:rPr>
                    <w:t>南侧</w:t>
                  </w:r>
                  <w:r>
                    <w:rPr>
                      <w:rFonts w:hint="eastAsia" w:cs="Times New Roman"/>
                      <w:color w:val="auto"/>
                      <w:sz w:val="18"/>
                      <w:szCs w:val="18"/>
                      <w:highlight w:val="none"/>
                      <w:lang w:val="en-US" w:eastAsia="zh-CN"/>
                    </w:rPr>
                    <w:t>496</w:t>
                  </w:r>
                  <w:r>
                    <w:rPr>
                      <w:rFonts w:hint="default" w:ascii="Times New Roman" w:hAnsi="Times New Roman" w:cs="Times New Roman"/>
                      <w:color w:val="auto"/>
                      <w:sz w:val="18"/>
                      <w:szCs w:val="18"/>
                      <w:highlight w:val="none"/>
                      <w:lang w:val="en-US" w:eastAsia="zh-CN"/>
                    </w:rPr>
                    <w:t>m</w:t>
                  </w:r>
                  <w:r>
                    <w:rPr>
                      <w:rFonts w:hint="default" w:ascii="Times New Roman" w:hAnsi="Times New Roman" w:cs="Times New Roman"/>
                      <w:color w:val="auto"/>
                      <w:sz w:val="18"/>
                      <w:szCs w:val="18"/>
                      <w:highlight w:val="none"/>
                      <w:lang w:val="zh-CN"/>
                    </w:rPr>
                    <w:t>的</w:t>
                  </w:r>
                  <w:r>
                    <w:rPr>
                      <w:rFonts w:hint="eastAsia" w:cs="Times New Roman"/>
                      <w:color w:val="auto"/>
                      <w:sz w:val="18"/>
                      <w:szCs w:val="18"/>
                      <w:highlight w:val="none"/>
                      <w:lang w:val="en-US" w:eastAsia="zh-CN"/>
                    </w:rPr>
                    <w:t>杨兰村</w:t>
                  </w:r>
                  <w:r>
                    <w:rPr>
                      <w:rFonts w:hint="eastAsia" w:cs="Times New Roman"/>
                      <w:color w:val="auto"/>
                      <w:sz w:val="18"/>
                      <w:szCs w:val="18"/>
                      <w:highlight w:val="none"/>
                      <w:lang w:val="zh-CN"/>
                    </w:rPr>
                    <w:t>，</w:t>
                  </w:r>
                  <w:r>
                    <w:rPr>
                      <w:rFonts w:hint="eastAsia" w:cs="Times New Roman"/>
                      <w:color w:val="auto"/>
                      <w:sz w:val="18"/>
                      <w:szCs w:val="18"/>
                      <w:highlight w:val="none"/>
                      <w:lang w:val="en-US" w:eastAsia="zh-CN"/>
                    </w:rPr>
                    <w:t>无紧邻</w:t>
                  </w:r>
                  <w:r>
                    <w:rPr>
                      <w:rFonts w:hint="default" w:ascii="Times New Roman" w:hAnsi="Times New Roman" w:cs="Times New Roman"/>
                      <w:color w:val="auto"/>
                      <w:sz w:val="18"/>
                      <w:szCs w:val="18"/>
                      <w:highlight w:val="none"/>
                      <w:lang w:val="zh-CN"/>
                    </w:rPr>
                    <w:t>居住、科教、医院等环境敏感点。</w:t>
                  </w:r>
                </w:p>
                <w:p w14:paraId="1621D230">
                  <w:pPr>
                    <w:spacing w:line="240" w:lineRule="exact"/>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en-US" w:eastAsia="zh-CN"/>
                    </w:rPr>
                    <w:t>2.</w:t>
                  </w:r>
                  <w:r>
                    <w:rPr>
                      <w:rFonts w:hint="eastAsia" w:cs="Times New Roman"/>
                      <w:color w:val="auto"/>
                      <w:sz w:val="18"/>
                      <w:szCs w:val="18"/>
                      <w:highlight w:val="none"/>
                      <w:lang w:val="zh-CN"/>
                    </w:rPr>
                    <w:t>项目</w:t>
                  </w:r>
                  <w:r>
                    <w:rPr>
                      <w:rFonts w:hint="default" w:ascii="Times New Roman" w:hAnsi="Times New Roman" w:cs="Times New Roman"/>
                      <w:color w:val="auto"/>
                      <w:sz w:val="18"/>
                      <w:szCs w:val="18"/>
                      <w:highlight w:val="none"/>
                      <w:lang w:val="zh-CN"/>
                    </w:rPr>
                    <w:t>的建设基本不会对土壤、地下水造成影响，将配合地方政府对区域环境风险源进行评估。</w:t>
                  </w:r>
                </w:p>
                <w:p w14:paraId="03302EDD">
                  <w:pPr>
                    <w:spacing w:line="240" w:lineRule="exact"/>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en-US" w:eastAsia="zh-CN"/>
                    </w:rPr>
                    <w:t>3.</w:t>
                  </w:r>
                  <w:r>
                    <w:rPr>
                      <w:rFonts w:hint="eastAsia" w:cs="Times New Roman"/>
                      <w:color w:val="auto"/>
                      <w:sz w:val="18"/>
                      <w:szCs w:val="18"/>
                      <w:highlight w:val="none"/>
                      <w:lang w:val="zh-CN"/>
                    </w:rPr>
                    <w:t>项目</w:t>
                  </w:r>
                  <w:r>
                    <w:rPr>
                      <w:rFonts w:hint="default" w:ascii="Times New Roman" w:hAnsi="Times New Roman" w:cs="Times New Roman"/>
                      <w:color w:val="auto"/>
                      <w:sz w:val="18"/>
                      <w:szCs w:val="18"/>
                      <w:highlight w:val="none"/>
                      <w:lang w:val="zh-CN"/>
                    </w:rPr>
                    <w:t>将按照要求进行突发环境应急预案的编制及备案。</w:t>
                  </w:r>
                </w:p>
                <w:p w14:paraId="23B2353B">
                  <w:pPr>
                    <w:spacing w:line="240" w:lineRule="exact"/>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en-US" w:eastAsia="zh-CN"/>
                    </w:rPr>
                    <w:t>4.</w:t>
                  </w:r>
                  <w:r>
                    <w:rPr>
                      <w:rFonts w:hint="eastAsia" w:cs="Times New Roman"/>
                      <w:color w:val="auto"/>
                      <w:sz w:val="18"/>
                      <w:szCs w:val="18"/>
                      <w:highlight w:val="none"/>
                      <w:lang w:val="zh-CN"/>
                    </w:rPr>
                    <w:t>项目</w:t>
                  </w:r>
                  <w:r>
                    <w:rPr>
                      <w:rFonts w:hint="default" w:ascii="Times New Roman" w:hAnsi="Times New Roman" w:cs="Times New Roman"/>
                      <w:color w:val="auto"/>
                      <w:sz w:val="18"/>
                      <w:szCs w:val="18"/>
                      <w:highlight w:val="none"/>
                      <w:lang w:val="en-US" w:eastAsia="zh-CN"/>
                    </w:rPr>
                    <w:t>不涉及</w:t>
                  </w:r>
                  <w:r>
                    <w:rPr>
                      <w:rFonts w:hint="default" w:ascii="Times New Roman" w:hAnsi="Times New Roman" w:cs="Times New Roman"/>
                      <w:color w:val="auto"/>
                      <w:sz w:val="18"/>
                      <w:szCs w:val="18"/>
                      <w:highlight w:val="none"/>
                      <w:lang w:val="zh-CN"/>
                    </w:rPr>
                    <w:t>危险废物。</w:t>
                  </w:r>
                </w:p>
                <w:p w14:paraId="10C45470">
                  <w:pPr>
                    <w:spacing w:line="240" w:lineRule="exact"/>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en-US" w:eastAsia="zh-CN"/>
                    </w:rPr>
                    <w:t>5.</w:t>
                  </w:r>
                  <w:r>
                    <w:rPr>
                      <w:rFonts w:hint="eastAsia" w:cs="Times New Roman"/>
                      <w:color w:val="auto"/>
                      <w:sz w:val="18"/>
                      <w:szCs w:val="18"/>
                      <w:highlight w:val="none"/>
                      <w:lang w:val="en-US" w:eastAsia="zh-CN"/>
                    </w:rPr>
                    <w:t>项目</w:t>
                  </w:r>
                  <w:r>
                    <w:rPr>
                      <w:rFonts w:hint="default" w:ascii="Times New Roman" w:hAnsi="Times New Roman" w:cs="Times New Roman"/>
                      <w:color w:val="auto"/>
                      <w:sz w:val="18"/>
                      <w:szCs w:val="18"/>
                      <w:highlight w:val="none"/>
                      <w:lang w:val="en-US" w:eastAsia="zh-CN"/>
                    </w:rPr>
                    <w:t>取暖使用电，满足清洁取暖要求</w:t>
                  </w:r>
                  <w:r>
                    <w:rPr>
                      <w:rFonts w:hint="default" w:ascii="Times New Roman" w:hAnsi="Times New Roman" w:cs="Times New Roman"/>
                      <w:color w:val="auto"/>
                      <w:sz w:val="18"/>
                      <w:szCs w:val="18"/>
                      <w:highlight w:val="none"/>
                      <w:lang w:val="zh-CN"/>
                    </w:rPr>
                    <w:t>。</w:t>
                  </w:r>
                </w:p>
              </w:tc>
              <w:tc>
                <w:tcPr>
                  <w:tcW w:w="842" w:type="dxa"/>
                  <w:vMerge w:val="restart"/>
                  <w:noWrap w:val="0"/>
                  <w:vAlign w:val="center"/>
                </w:tcPr>
                <w:p w14:paraId="155D99AB">
                  <w:pPr>
                    <w:spacing w:line="240" w:lineRule="exact"/>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满足</w:t>
                  </w:r>
                </w:p>
              </w:tc>
            </w:tr>
            <w:tr w14:paraId="220ED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160" w:hRule="atLeast"/>
                <w:jc w:val="center"/>
              </w:trPr>
              <w:tc>
                <w:tcPr>
                  <w:tcW w:w="381" w:type="dxa"/>
                  <w:noWrap w:val="0"/>
                  <w:vAlign w:val="center"/>
                </w:tcPr>
                <w:p w14:paraId="3749EE9C">
                  <w:pPr>
                    <w:spacing w:line="240" w:lineRule="exact"/>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4</w:t>
                  </w:r>
                </w:p>
              </w:tc>
              <w:tc>
                <w:tcPr>
                  <w:tcW w:w="495" w:type="dxa"/>
                  <w:gridSpan w:val="2"/>
                  <w:noWrap w:val="0"/>
                  <w:vAlign w:val="center"/>
                </w:tcPr>
                <w:p w14:paraId="23C01680">
                  <w:pPr>
                    <w:spacing w:line="240" w:lineRule="exact"/>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资源开放效率要求</w:t>
                  </w:r>
                </w:p>
              </w:tc>
              <w:tc>
                <w:tcPr>
                  <w:tcW w:w="3463" w:type="dxa"/>
                  <w:noWrap w:val="0"/>
                  <w:vAlign w:val="center"/>
                </w:tcPr>
                <w:p w14:paraId="6BC99753">
                  <w:pPr>
                    <w:spacing w:line="240" w:lineRule="exact"/>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eastAsia="zh-CN"/>
                    </w:rPr>
                    <w:t>1.高污染燃料禁燃区内执行淄博市高污染燃料禁燃区划定文件的管控要求。</w:t>
                  </w:r>
                  <w:r>
                    <w:rPr>
                      <w:rFonts w:hint="default" w:ascii="Times New Roman" w:hAnsi="Times New Roman" w:cs="Times New Roman"/>
                      <w:color w:val="auto"/>
                      <w:sz w:val="18"/>
                      <w:szCs w:val="18"/>
                      <w:highlight w:val="none"/>
                      <w:lang w:val="zh-CN" w:eastAsia="zh-CN"/>
                    </w:rPr>
                    <w:br w:type="textWrapping"/>
                  </w:r>
                  <w:r>
                    <w:rPr>
                      <w:rFonts w:hint="default" w:ascii="Times New Roman" w:hAnsi="Times New Roman" w:cs="Times New Roman"/>
                      <w:color w:val="auto"/>
                      <w:sz w:val="18"/>
                      <w:szCs w:val="18"/>
                      <w:highlight w:val="none"/>
                      <w:lang w:val="zh-CN" w:eastAsia="zh-CN"/>
                    </w:rPr>
                    <w:t>2.加强农业节水，提高水资源使用效率。</w:t>
                  </w:r>
                  <w:r>
                    <w:rPr>
                      <w:rFonts w:hint="default" w:ascii="Times New Roman" w:hAnsi="Times New Roman" w:cs="Times New Roman"/>
                      <w:color w:val="auto"/>
                      <w:sz w:val="18"/>
                      <w:szCs w:val="18"/>
                      <w:highlight w:val="none"/>
                      <w:lang w:val="zh-CN" w:eastAsia="zh-CN"/>
                    </w:rPr>
                    <w:br w:type="textWrapping"/>
                  </w:r>
                  <w:r>
                    <w:rPr>
                      <w:rFonts w:hint="default" w:ascii="Times New Roman" w:hAnsi="Times New Roman" w:cs="Times New Roman"/>
                      <w:color w:val="auto"/>
                      <w:sz w:val="18"/>
                      <w:szCs w:val="18"/>
                      <w:highlight w:val="none"/>
                      <w:lang w:val="zh-CN" w:eastAsia="zh-CN"/>
                    </w:rPr>
                    <w:t>3.提升土地集约化水平。</w:t>
                  </w:r>
                  <w:r>
                    <w:rPr>
                      <w:rFonts w:hint="default" w:ascii="Times New Roman" w:hAnsi="Times New Roman" w:cs="Times New Roman"/>
                      <w:color w:val="auto"/>
                      <w:sz w:val="18"/>
                      <w:szCs w:val="18"/>
                      <w:highlight w:val="none"/>
                      <w:lang w:val="zh-CN" w:eastAsia="zh-CN"/>
                    </w:rPr>
                    <w:br w:type="textWrapping"/>
                  </w:r>
                  <w:r>
                    <w:rPr>
                      <w:rFonts w:hint="default" w:ascii="Times New Roman" w:hAnsi="Times New Roman" w:cs="Times New Roman"/>
                      <w:color w:val="auto"/>
                      <w:sz w:val="18"/>
                      <w:szCs w:val="18"/>
                      <w:highlight w:val="none"/>
                      <w:lang w:val="zh-CN" w:eastAsia="zh-CN"/>
                    </w:rPr>
                    <w:t>4.调整能源利用结构，控制煤炭消费量，实现减量化，鼓励使用清洁能源、新能源和可再生能源。</w:t>
                  </w:r>
                </w:p>
              </w:tc>
              <w:tc>
                <w:tcPr>
                  <w:tcW w:w="2971" w:type="dxa"/>
                  <w:noWrap w:val="0"/>
                  <w:vAlign w:val="center"/>
                </w:tcPr>
                <w:p w14:paraId="27B0DA79">
                  <w:pPr>
                    <w:spacing w:line="240" w:lineRule="exact"/>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r>
                    <w:rPr>
                      <w:rFonts w:hint="eastAsia" w:cs="Times New Roman"/>
                      <w:color w:val="auto"/>
                      <w:sz w:val="18"/>
                      <w:szCs w:val="18"/>
                      <w:highlight w:val="none"/>
                      <w:lang w:val="zh-CN"/>
                    </w:rPr>
                    <w:t>项目</w:t>
                  </w:r>
                  <w:r>
                    <w:rPr>
                      <w:rFonts w:hint="default" w:ascii="Times New Roman" w:hAnsi="Times New Roman" w:cs="Times New Roman"/>
                      <w:color w:val="auto"/>
                      <w:sz w:val="18"/>
                      <w:szCs w:val="18"/>
                      <w:highlight w:val="none"/>
                      <w:lang w:val="zh-CN"/>
                    </w:rPr>
                    <w:t>使用燃料</w:t>
                  </w:r>
                  <w:r>
                    <w:rPr>
                      <w:rFonts w:hint="eastAsia" w:cs="Times New Roman"/>
                      <w:color w:val="auto"/>
                      <w:sz w:val="18"/>
                      <w:szCs w:val="18"/>
                      <w:highlight w:val="none"/>
                      <w:lang w:val="en-US" w:eastAsia="zh-CN"/>
                    </w:rPr>
                    <w:t>为天然气</w:t>
                  </w:r>
                  <w:r>
                    <w:rPr>
                      <w:rFonts w:hint="default" w:ascii="Times New Roman" w:hAnsi="Times New Roman" w:cs="Times New Roman"/>
                      <w:color w:val="auto"/>
                      <w:sz w:val="18"/>
                      <w:szCs w:val="18"/>
                      <w:highlight w:val="none"/>
                      <w:lang w:val="zh-CN"/>
                    </w:rPr>
                    <w:t>，能源使用电</w:t>
                  </w:r>
                  <w:r>
                    <w:rPr>
                      <w:rFonts w:hint="eastAsia" w:cs="Times New Roman"/>
                      <w:color w:val="auto"/>
                      <w:sz w:val="18"/>
                      <w:szCs w:val="18"/>
                      <w:highlight w:val="none"/>
                      <w:lang w:val="zh-CN"/>
                    </w:rPr>
                    <w:t>，</w:t>
                  </w:r>
                  <w:r>
                    <w:rPr>
                      <w:rFonts w:hint="eastAsia" w:cs="Times New Roman"/>
                      <w:color w:val="auto"/>
                      <w:sz w:val="18"/>
                      <w:szCs w:val="18"/>
                      <w:highlight w:val="none"/>
                      <w:lang w:val="en-US" w:eastAsia="zh-CN"/>
                    </w:rPr>
                    <w:t>不属于</w:t>
                  </w:r>
                  <w:r>
                    <w:rPr>
                      <w:rFonts w:hint="default" w:ascii="Times New Roman" w:hAnsi="Times New Roman" w:eastAsia="宋体" w:cs="Times New Roman"/>
                      <w:i w:val="0"/>
                      <w:color w:val="auto"/>
                      <w:kern w:val="0"/>
                      <w:sz w:val="18"/>
                      <w:szCs w:val="18"/>
                      <w:highlight w:val="none"/>
                      <w:u w:val="none"/>
                      <w:lang w:val="en-US" w:eastAsia="zh-CN" w:bidi="ar"/>
                    </w:rPr>
                    <w:t>高污染燃料</w:t>
                  </w:r>
                  <w:r>
                    <w:rPr>
                      <w:rFonts w:hint="default" w:ascii="Times New Roman" w:hAnsi="Times New Roman" w:cs="Times New Roman"/>
                      <w:color w:val="auto"/>
                      <w:sz w:val="18"/>
                      <w:szCs w:val="18"/>
                      <w:highlight w:val="none"/>
                      <w:lang w:val="zh-CN"/>
                    </w:rPr>
                    <w:t>。</w:t>
                  </w:r>
                </w:p>
                <w:p w14:paraId="4DBBA250">
                  <w:pPr>
                    <w:spacing w:line="240" w:lineRule="exact"/>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en-US" w:eastAsia="zh-CN"/>
                    </w:rPr>
                    <w:t>2.</w:t>
                  </w:r>
                  <w:r>
                    <w:rPr>
                      <w:rFonts w:hint="eastAsia" w:cs="Times New Roman"/>
                      <w:color w:val="auto"/>
                      <w:sz w:val="18"/>
                      <w:szCs w:val="18"/>
                      <w:highlight w:val="none"/>
                      <w:lang w:val="zh-CN"/>
                    </w:rPr>
                    <w:t>项目</w:t>
                  </w:r>
                  <w:r>
                    <w:rPr>
                      <w:rFonts w:hint="default" w:ascii="Times New Roman" w:hAnsi="Times New Roman" w:cs="Times New Roman"/>
                      <w:color w:val="auto"/>
                      <w:sz w:val="18"/>
                      <w:szCs w:val="18"/>
                      <w:highlight w:val="none"/>
                      <w:lang w:val="zh-CN"/>
                    </w:rPr>
                    <w:t>不涉及农业项目。</w:t>
                  </w:r>
                </w:p>
                <w:p w14:paraId="54816B19">
                  <w:pPr>
                    <w:spacing w:line="240" w:lineRule="exact"/>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en-US" w:eastAsia="zh-CN"/>
                    </w:rPr>
                    <w:t>3.</w:t>
                  </w:r>
                  <w:r>
                    <w:rPr>
                      <w:rFonts w:hint="eastAsia" w:cs="Times New Roman"/>
                      <w:color w:val="auto"/>
                      <w:sz w:val="18"/>
                      <w:szCs w:val="18"/>
                      <w:highlight w:val="none"/>
                      <w:lang w:val="en-US" w:eastAsia="zh-CN"/>
                    </w:rPr>
                    <w:t>项目</w:t>
                  </w:r>
                  <w:r>
                    <w:rPr>
                      <w:rFonts w:hint="default" w:ascii="Times New Roman" w:hAnsi="Times New Roman" w:cs="Times New Roman"/>
                      <w:color w:val="auto"/>
                      <w:sz w:val="18"/>
                      <w:szCs w:val="18"/>
                      <w:highlight w:val="none"/>
                      <w:lang w:val="en-US" w:eastAsia="zh-CN"/>
                    </w:rPr>
                    <w:t>新增占地为工业用地</w:t>
                  </w:r>
                  <w:r>
                    <w:rPr>
                      <w:rFonts w:hint="default" w:ascii="Times New Roman" w:hAnsi="Times New Roman" w:cs="Times New Roman"/>
                      <w:color w:val="auto"/>
                      <w:sz w:val="18"/>
                      <w:szCs w:val="18"/>
                      <w:highlight w:val="none"/>
                      <w:lang w:val="zh-CN"/>
                    </w:rPr>
                    <w:t>。</w:t>
                  </w:r>
                </w:p>
                <w:p w14:paraId="55E645EC">
                  <w:pPr>
                    <w:spacing w:line="240" w:lineRule="exact"/>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en-US" w:eastAsia="zh-CN"/>
                    </w:rPr>
                    <w:t>4.</w:t>
                  </w:r>
                  <w:r>
                    <w:rPr>
                      <w:rFonts w:hint="eastAsia" w:cs="Times New Roman"/>
                      <w:color w:val="auto"/>
                      <w:sz w:val="18"/>
                      <w:szCs w:val="18"/>
                      <w:highlight w:val="none"/>
                      <w:lang w:val="en-US" w:eastAsia="zh-CN"/>
                    </w:rPr>
                    <w:t>项目</w:t>
                  </w:r>
                  <w:r>
                    <w:rPr>
                      <w:rFonts w:hint="eastAsia"/>
                      <w:color w:val="auto"/>
                      <w:sz w:val="18"/>
                      <w:szCs w:val="21"/>
                      <w:highlight w:val="none"/>
                    </w:rPr>
                    <w:t>不使用煤炭，能源使用</w:t>
                  </w:r>
                  <w:r>
                    <w:rPr>
                      <w:rFonts w:hint="eastAsia"/>
                      <w:color w:val="auto"/>
                      <w:sz w:val="18"/>
                      <w:szCs w:val="21"/>
                      <w:highlight w:val="none"/>
                      <w:lang w:val="en-US" w:eastAsia="zh-CN"/>
                    </w:rPr>
                    <w:t>天然气和电，为清洁能源</w:t>
                  </w:r>
                  <w:r>
                    <w:rPr>
                      <w:rFonts w:hint="default" w:ascii="Times New Roman" w:hAnsi="Times New Roman" w:cs="Times New Roman"/>
                      <w:color w:val="auto"/>
                      <w:sz w:val="18"/>
                      <w:szCs w:val="18"/>
                      <w:highlight w:val="none"/>
                      <w:lang w:val="zh-CN"/>
                    </w:rPr>
                    <w:t>。</w:t>
                  </w:r>
                </w:p>
              </w:tc>
              <w:tc>
                <w:tcPr>
                  <w:tcW w:w="842" w:type="dxa"/>
                  <w:noWrap w:val="0"/>
                  <w:vAlign w:val="center"/>
                </w:tcPr>
                <w:p w14:paraId="5DA8B006">
                  <w:pPr>
                    <w:spacing w:line="240" w:lineRule="exact"/>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满足</w:t>
                  </w:r>
                </w:p>
              </w:tc>
            </w:tr>
          </w:tbl>
          <w:p w14:paraId="6D661E19">
            <w:pPr>
              <w:autoSpaceDE w:val="0"/>
              <w:autoSpaceDN w:val="0"/>
              <w:adjustRightInd w:val="0"/>
              <w:snapToGrid w:val="0"/>
              <w:spacing w:line="360" w:lineRule="auto"/>
              <w:ind w:firstLine="422" w:firstLineChars="200"/>
              <w:rPr>
                <w:rFonts w:hint="default" w:ascii="Times New Roman" w:hAnsi="Times New Roman" w:cs="Times New Roman"/>
                <w:color w:val="auto"/>
                <w:kern w:val="0"/>
              </w:rPr>
            </w:pPr>
            <w:r>
              <w:rPr>
                <w:rFonts w:hint="default" w:ascii="Times New Roman" w:hAnsi="Times New Roman" w:cs="Times New Roman"/>
                <w:b/>
                <w:color w:val="auto"/>
                <w:kern w:val="0"/>
              </w:rPr>
              <w:t>二、</w:t>
            </w:r>
            <w:r>
              <w:rPr>
                <w:rFonts w:hint="default" w:ascii="Times New Roman" w:hAnsi="Times New Roman" w:cs="Times New Roman"/>
                <w:b/>
                <w:color w:val="auto"/>
              </w:rPr>
              <w:t>项目政策符合性分析</w:t>
            </w:r>
          </w:p>
          <w:p w14:paraId="65310608">
            <w:pPr>
              <w:adjustRightInd w:val="0"/>
              <w:snapToGrid w:val="0"/>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1、产业政策符合性</w:t>
            </w:r>
          </w:p>
          <w:p w14:paraId="70080B46">
            <w:pPr>
              <w:adjustRightInd w:val="0"/>
              <w:snapToGrid w:val="0"/>
              <w:spacing w:line="360" w:lineRule="auto"/>
              <w:ind w:firstLine="420" w:firstLineChars="200"/>
              <w:rPr>
                <w:rFonts w:hint="default" w:ascii="Times New Roman" w:hAnsi="Times New Roman" w:cs="Times New Roman"/>
                <w:color w:val="auto"/>
                <w:kern w:val="0"/>
              </w:rPr>
            </w:pPr>
            <w:r>
              <w:rPr>
                <w:rFonts w:hint="default" w:ascii="Times New Roman" w:hAnsi="Times New Roman" w:cs="Times New Roman"/>
                <w:color w:val="auto"/>
                <w:kern w:val="0"/>
              </w:rPr>
              <w:t>项目的规模、产品、工艺以及采用的生产设备均不属于《</w:t>
            </w:r>
            <w:r>
              <w:rPr>
                <w:rFonts w:hint="eastAsia" w:cs="Times New Roman"/>
                <w:color w:val="auto"/>
                <w:kern w:val="0"/>
                <w:lang w:eastAsia="zh-CN"/>
              </w:rPr>
              <w:t>产业结构调整指导目录（2024年本）</w:t>
            </w:r>
            <w:r>
              <w:rPr>
                <w:rFonts w:hint="default" w:ascii="Times New Roman" w:hAnsi="Times New Roman" w:cs="Times New Roman"/>
                <w:color w:val="auto"/>
                <w:kern w:val="0"/>
              </w:rPr>
              <w:t>》中的限制类和淘汰类项目。</w:t>
            </w:r>
          </w:p>
          <w:p w14:paraId="59617913">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kern w:val="0"/>
              </w:rPr>
              <w:t>根据</w:t>
            </w:r>
            <w:r>
              <w:rPr>
                <w:rFonts w:hint="eastAsia" w:cs="Times New Roman"/>
                <w:color w:val="auto"/>
                <w:kern w:val="0"/>
                <w:lang w:eastAsia="zh-CN"/>
              </w:rPr>
              <w:t>爱浦润生态农业科技（山东）有限公司</w:t>
            </w:r>
            <w:r>
              <w:rPr>
                <w:rFonts w:hint="default" w:ascii="Times New Roman" w:hAnsi="Times New Roman" w:cs="Times New Roman"/>
                <w:color w:val="auto"/>
                <w:kern w:val="0"/>
              </w:rPr>
              <w:t>申请的《山东省建设项目登记备案证明》（项目代码：</w:t>
            </w:r>
            <w:r>
              <w:rPr>
                <w:rFonts w:hint="eastAsia" w:cs="Times New Roman"/>
                <w:color w:val="auto"/>
                <w:lang w:eastAsia="zh-CN"/>
              </w:rPr>
              <w:t>2308-370302-89-01-145088</w:t>
            </w:r>
            <w:r>
              <w:rPr>
                <w:rFonts w:hint="default" w:ascii="Times New Roman" w:hAnsi="Times New Roman" w:cs="Times New Roman"/>
                <w:color w:val="auto"/>
                <w:kern w:val="0"/>
              </w:rPr>
              <w:t>），</w:t>
            </w:r>
            <w:r>
              <w:rPr>
                <w:rFonts w:hint="eastAsia" w:cs="Times New Roman"/>
                <w:color w:val="auto"/>
                <w:kern w:val="0"/>
                <w:lang w:eastAsia="zh-CN"/>
              </w:rPr>
              <w:t>项目</w:t>
            </w:r>
            <w:r>
              <w:rPr>
                <w:rFonts w:hint="default" w:ascii="Times New Roman" w:hAnsi="Times New Roman" w:cs="Times New Roman"/>
                <w:color w:val="auto"/>
                <w:kern w:val="0"/>
                <w:highlight w:val="none"/>
              </w:rPr>
              <w:t>符合国家和淄博市产业政策。</w:t>
            </w:r>
          </w:p>
          <w:p w14:paraId="6EDDDE8D">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2、土地政策符合性</w:t>
            </w:r>
          </w:p>
          <w:p w14:paraId="0ED4D8A7">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r>
              <w:rPr>
                <w:rFonts w:hint="eastAsia" w:cs="Times New Roman"/>
                <w:color w:val="auto"/>
                <w:highlight w:val="none"/>
                <w:lang w:eastAsia="zh-CN"/>
              </w:rPr>
              <w:t>爱浦润生态农业科技（山东）有限公司</w:t>
            </w:r>
            <w:r>
              <w:rPr>
                <w:rFonts w:hint="eastAsia" w:ascii="Times New Roman" w:hAnsi="Times New Roman" w:cs="Times New Roman"/>
                <w:color w:val="auto"/>
                <w:szCs w:val="21"/>
                <w:highlight w:val="none"/>
                <w:lang w:val="en-US" w:eastAsia="zh-CN"/>
              </w:rPr>
              <w:t>位于</w:t>
            </w:r>
            <w:r>
              <w:rPr>
                <w:rFonts w:hint="eastAsia" w:cs="Times New Roman"/>
                <w:color w:val="auto"/>
                <w:highlight w:val="none"/>
                <w:lang w:eastAsia="zh-CN"/>
              </w:rPr>
              <w:t>山东省淄博市淄川区双杨镇赵瓦村102省道与张博路交叉口东北200米</w:t>
            </w:r>
            <w:r>
              <w:rPr>
                <w:rFonts w:hint="default" w:ascii="Times New Roman" w:hAnsi="Times New Roman" w:cs="Times New Roman"/>
                <w:color w:val="auto"/>
                <w:szCs w:val="21"/>
                <w:highlight w:val="none"/>
              </w:rPr>
              <w:t>。根据淄川区“三区三线”划定成果</w:t>
            </w:r>
            <w:r>
              <w:rPr>
                <w:rFonts w:hint="eastAsia" w:cs="Times New Roman"/>
                <w:color w:val="auto"/>
                <w:szCs w:val="21"/>
                <w:highlight w:val="none"/>
                <w:lang w:eastAsia="zh-CN"/>
              </w:rPr>
              <w:t>，</w:t>
            </w:r>
            <w:r>
              <w:rPr>
                <w:rFonts w:hint="eastAsia" w:cs="Times New Roman"/>
                <w:color w:val="auto"/>
                <w:szCs w:val="21"/>
                <w:highlight w:val="none"/>
                <w:lang w:val="en-US" w:eastAsia="zh-CN"/>
              </w:rPr>
              <w:t>本</w:t>
            </w:r>
            <w:r>
              <w:rPr>
                <w:rFonts w:hint="eastAsia" w:cs="Times New Roman"/>
                <w:color w:val="auto"/>
                <w:szCs w:val="21"/>
                <w:highlight w:val="none"/>
                <w:lang w:eastAsia="zh-CN"/>
              </w:rPr>
              <w:t>项目</w:t>
            </w:r>
            <w:r>
              <w:rPr>
                <w:rFonts w:hint="default" w:ascii="Times New Roman" w:hAnsi="Times New Roman" w:cs="Times New Roman"/>
                <w:color w:val="auto"/>
                <w:szCs w:val="21"/>
                <w:highlight w:val="none"/>
              </w:rPr>
              <w:t>厂址不位于生态红线和基本农田保护区范围内，</w:t>
            </w:r>
            <w:r>
              <w:rPr>
                <w:rFonts w:hint="default" w:ascii="Times New Roman" w:hAnsi="Times New Roman" w:cs="Times New Roman"/>
                <w:color w:val="auto"/>
                <w:highlight w:val="none"/>
              </w:rPr>
              <w:t>根据</w:t>
            </w:r>
            <w:r>
              <w:rPr>
                <w:rFonts w:hint="eastAsia" w:ascii="Times New Roman" w:hAnsi="Times New Roman" w:cs="Times New Roman"/>
                <w:color w:val="auto"/>
                <w:highlight w:val="none"/>
                <w:lang w:eastAsia="zh-CN"/>
              </w:rPr>
              <w:t>《淄博市淄川区双杨镇总体规划（2017-2035年）》</w:t>
            </w:r>
            <w:r>
              <w:rPr>
                <w:rFonts w:hint="eastAsia" w:ascii="Times New Roman" w:hAnsi="Times New Roman" w:cs="Times New Roman"/>
                <w:color w:val="auto"/>
                <w:highlight w:val="none"/>
                <w:lang w:val="en-US" w:eastAsia="zh-CN"/>
              </w:rPr>
              <w:t>-镇域土地利用规划</w:t>
            </w:r>
            <w:r>
              <w:rPr>
                <w:rFonts w:hint="default" w:ascii="Times New Roman" w:hAnsi="Times New Roman" w:cs="Times New Roman"/>
                <w:color w:val="auto"/>
                <w:highlight w:val="none"/>
              </w:rPr>
              <w:t>，项目区用地为</w:t>
            </w:r>
            <w:r>
              <w:rPr>
                <w:rFonts w:hint="eastAsia" w:ascii="Times New Roman" w:hAnsi="Times New Roman" w:cs="Times New Roman"/>
                <w:color w:val="auto"/>
                <w:highlight w:val="none"/>
                <w:lang w:val="en-US" w:eastAsia="zh-CN"/>
              </w:rPr>
              <w:t>一类工业</w:t>
            </w:r>
            <w:r>
              <w:rPr>
                <w:rFonts w:hint="default" w:ascii="Times New Roman" w:hAnsi="Times New Roman" w:cs="Times New Roman"/>
                <w:color w:val="auto"/>
                <w:highlight w:val="none"/>
              </w:rPr>
              <w:t>用地。</w:t>
            </w:r>
            <w:r>
              <w:rPr>
                <w:rFonts w:hint="eastAsia" w:ascii="Times New Roman" w:hAnsi="Times New Roman" w:cs="Times New Roman"/>
                <w:color w:val="auto"/>
                <w:highlight w:val="none"/>
                <w:lang w:eastAsia="zh-CN"/>
              </w:rPr>
              <w:t>《淄博市淄川区双杨镇总体规划（2017-2035年）》</w:t>
            </w:r>
            <w:r>
              <w:rPr>
                <w:rFonts w:hint="eastAsia" w:ascii="Times New Roman" w:hAnsi="Times New Roman" w:cs="Times New Roman"/>
                <w:color w:val="auto"/>
                <w:highlight w:val="none"/>
                <w:lang w:val="en-US" w:eastAsia="zh-CN"/>
              </w:rPr>
              <w:t>-镇域土地利用规划图</w:t>
            </w:r>
            <w:r>
              <w:rPr>
                <w:rFonts w:hint="default" w:ascii="Times New Roman" w:hAnsi="Times New Roman" w:cs="Times New Roman"/>
                <w:color w:val="auto"/>
                <w:highlight w:val="none"/>
              </w:rPr>
              <w:t>详见附图</w:t>
            </w:r>
            <w:r>
              <w:rPr>
                <w:rFonts w:hint="eastAsia" w:ascii="Times New Roman" w:hAnsi="Times New Roman" w:cs="Times New Roman"/>
                <w:color w:val="auto"/>
                <w:highlight w:val="none"/>
                <w:lang w:val="en-US" w:eastAsia="zh-CN"/>
              </w:rPr>
              <w:t>1-3</w:t>
            </w:r>
            <w:r>
              <w:rPr>
                <w:rFonts w:hint="default" w:ascii="Times New Roman" w:hAnsi="Times New Roman" w:cs="Times New Roman"/>
                <w:color w:val="auto"/>
                <w:szCs w:val="21"/>
                <w:highlight w:val="none"/>
              </w:rPr>
              <w:t>。</w:t>
            </w:r>
          </w:p>
          <w:p w14:paraId="5693F027">
            <w:pPr>
              <w:adjustRightInd w:val="0"/>
              <w:snapToGrid w:val="0"/>
              <w:spacing w:line="360" w:lineRule="auto"/>
              <w:ind w:firstLine="420" w:firstLineChars="200"/>
              <w:rPr>
                <w:rFonts w:hint="default" w:ascii="Times New Roman" w:hAnsi="Times New Roman" w:cs="Times New Roman"/>
                <w:color w:val="FF0000"/>
                <w:highlight w:val="yellow"/>
              </w:rPr>
            </w:pPr>
            <w:r>
              <w:rPr>
                <w:rFonts w:hint="default" w:ascii="Times New Roman" w:hAnsi="Times New Roman" w:cs="Times New Roman"/>
                <w:color w:val="auto"/>
                <w:szCs w:val="21"/>
                <w:highlight w:val="none"/>
              </w:rPr>
              <w:t>（2）对照《限制用地项目目录（2012年本）》和《禁止用地项目目录（2012年本）》，</w:t>
            </w:r>
            <w:r>
              <w:rPr>
                <w:rFonts w:hint="eastAsia" w:cs="Times New Roman"/>
                <w:color w:val="auto"/>
                <w:szCs w:val="21"/>
                <w:highlight w:val="none"/>
                <w:lang w:val="en-US" w:eastAsia="zh-CN"/>
              </w:rPr>
              <w:t>本</w:t>
            </w:r>
            <w:r>
              <w:rPr>
                <w:rFonts w:hint="eastAsia" w:cs="Times New Roman"/>
                <w:color w:val="auto"/>
                <w:szCs w:val="21"/>
                <w:highlight w:val="none"/>
                <w:lang w:eastAsia="zh-CN"/>
              </w:rPr>
              <w:t>项目</w:t>
            </w:r>
            <w:r>
              <w:rPr>
                <w:rFonts w:hint="default" w:ascii="Times New Roman" w:hAnsi="Times New Roman" w:cs="Times New Roman"/>
                <w:color w:val="auto"/>
                <w:szCs w:val="21"/>
                <w:highlight w:val="none"/>
              </w:rPr>
              <w:t>不属于其规定的限制用地和禁止用地项目范畴，</w:t>
            </w:r>
            <w:r>
              <w:rPr>
                <w:rFonts w:hint="default" w:ascii="Times New Roman" w:hAnsi="Times New Roman" w:cs="Times New Roman"/>
                <w:color w:val="auto"/>
                <w:szCs w:val="21"/>
              </w:rPr>
              <w:t>可视为允许类项目</w:t>
            </w:r>
            <w:r>
              <w:rPr>
                <w:rFonts w:hint="eastAsia" w:cs="Times New Roman"/>
                <w:bCs/>
                <w:color w:val="auto"/>
                <w:highlight w:val="none"/>
                <w:lang w:val="en-US" w:eastAsia="zh-CN"/>
              </w:rPr>
              <w:t>。</w:t>
            </w:r>
          </w:p>
          <w:p w14:paraId="0A8CDA8A">
            <w:pPr>
              <w:pStyle w:val="75"/>
              <w:adjustRightInd w:val="0"/>
              <w:snapToGrid w:val="0"/>
              <w:spacing w:before="0" w:beforeAutospacing="0" w:after="0" w:afterAutospacing="0" w:line="360" w:lineRule="auto"/>
              <w:ind w:firstLine="420" w:firstLineChars="20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3、环保政策符合性分析</w:t>
            </w:r>
          </w:p>
          <w:p w14:paraId="58027CC2">
            <w:pPr>
              <w:tabs>
                <w:tab w:val="left" w:pos="5427"/>
              </w:tabs>
              <w:adjustRightInd w:val="0"/>
              <w:snapToGrid w:val="0"/>
              <w:spacing w:line="360" w:lineRule="auto"/>
              <w:ind w:firstLine="420" w:firstLineChars="200"/>
              <w:rPr>
                <w:rFonts w:hint="default" w:ascii="Times New Roman" w:hAnsi="Times New Roman" w:cs="Times New Roman"/>
                <w:color w:val="auto"/>
              </w:rPr>
            </w:pPr>
            <w:r>
              <w:rPr>
                <w:rFonts w:hint="default" w:ascii="Times New Roman" w:hAnsi="Times New Roman" w:cs="Times New Roman"/>
                <w:bCs/>
                <w:color w:val="auto"/>
              </w:rPr>
              <w:t>（1）</w:t>
            </w:r>
            <w:r>
              <w:rPr>
                <w:rFonts w:hint="default" w:ascii="Times New Roman" w:hAnsi="Times New Roman" w:cs="Times New Roman"/>
                <w:color w:val="auto"/>
              </w:rPr>
              <w:t>与《关于做好环境影响评价制度与排污许可制衔接相关工作的通知》（环办环评[2017]84号）的符合性分析</w:t>
            </w:r>
          </w:p>
          <w:p w14:paraId="62529BE7">
            <w:pPr>
              <w:adjustRightInd w:val="0"/>
              <w:snapToGrid w:val="0"/>
              <w:spacing w:line="360" w:lineRule="auto"/>
              <w:jc w:val="center"/>
              <w:rPr>
                <w:rFonts w:hint="default" w:ascii="Times New Roman" w:hAnsi="Times New Roman" w:cs="Times New Roman"/>
                <w:b/>
                <w:color w:val="auto"/>
              </w:rPr>
            </w:pPr>
          </w:p>
          <w:p w14:paraId="6FCA73D2">
            <w:pPr>
              <w:adjustRightInd w:val="0"/>
              <w:snapToGrid w:val="0"/>
              <w:spacing w:line="360" w:lineRule="auto"/>
              <w:jc w:val="center"/>
              <w:rPr>
                <w:rFonts w:hint="default" w:ascii="Times New Roman" w:hAnsi="Times New Roman" w:cs="Times New Roman"/>
                <w:b/>
                <w:color w:val="auto"/>
              </w:rPr>
            </w:pPr>
          </w:p>
          <w:p w14:paraId="3DDAF19D">
            <w:pPr>
              <w:adjustRightInd w:val="0"/>
              <w:snapToGrid w:val="0"/>
              <w:spacing w:line="360" w:lineRule="auto"/>
              <w:jc w:val="center"/>
              <w:rPr>
                <w:rFonts w:hint="default" w:ascii="Times New Roman" w:hAnsi="Times New Roman" w:cs="Times New Roman"/>
                <w:b/>
                <w:color w:val="auto"/>
              </w:rPr>
            </w:pPr>
          </w:p>
          <w:p w14:paraId="22384241">
            <w:pPr>
              <w:adjustRightInd w:val="0"/>
              <w:snapToGrid w:val="0"/>
              <w:spacing w:line="360" w:lineRule="auto"/>
              <w:jc w:val="center"/>
              <w:rPr>
                <w:rFonts w:hint="default" w:ascii="Times New Roman" w:hAnsi="Times New Roman" w:cs="Times New Roman"/>
                <w:b/>
                <w:color w:val="auto"/>
              </w:rPr>
            </w:pPr>
            <w:r>
              <w:rPr>
                <w:rFonts w:hint="default" w:ascii="Times New Roman" w:hAnsi="Times New Roman" w:cs="Times New Roman"/>
                <w:b/>
                <w:color w:val="auto"/>
              </w:rPr>
              <w:t>表1-</w:t>
            </w:r>
            <w:r>
              <w:rPr>
                <w:rFonts w:hint="eastAsia" w:cs="Times New Roman"/>
                <w:b/>
                <w:color w:val="auto"/>
                <w:lang w:val="en-US" w:eastAsia="zh-CN"/>
              </w:rPr>
              <w:t>4</w:t>
            </w:r>
            <w:r>
              <w:rPr>
                <w:rFonts w:hint="default" w:ascii="Times New Roman" w:hAnsi="Times New Roman" w:cs="Times New Roman"/>
                <w:b/>
                <w:color w:val="auto"/>
              </w:rPr>
              <w:t>项目与环办环评[2017]84号文件符合性分析</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61"/>
              <w:gridCol w:w="2847"/>
              <w:gridCol w:w="644"/>
            </w:tblGrid>
            <w:tr w14:paraId="1777F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662" w:type="dxa"/>
                  <w:vAlign w:val="center"/>
                </w:tcPr>
                <w:p w14:paraId="08A73D04">
                  <w:pPr>
                    <w:pStyle w:val="200"/>
                    <w:spacing w:before="24" w:after="24"/>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文件要求</w:t>
                  </w:r>
                </w:p>
              </w:tc>
              <w:tc>
                <w:tcPr>
                  <w:tcW w:w="2847" w:type="dxa"/>
                  <w:vAlign w:val="center"/>
                </w:tcPr>
                <w:p w14:paraId="3180916D">
                  <w:pPr>
                    <w:pStyle w:val="200"/>
                    <w:spacing w:before="24" w:after="24"/>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项目情况</w:t>
                  </w:r>
                </w:p>
              </w:tc>
              <w:tc>
                <w:tcPr>
                  <w:tcW w:w="644" w:type="dxa"/>
                  <w:tcMar>
                    <w:left w:w="28" w:type="dxa"/>
                    <w:right w:w="28" w:type="dxa"/>
                  </w:tcMar>
                  <w:vAlign w:val="center"/>
                </w:tcPr>
                <w:p w14:paraId="7D8D8066">
                  <w:pPr>
                    <w:pStyle w:val="200"/>
                    <w:spacing w:before="24" w:after="24"/>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符合性</w:t>
                  </w:r>
                </w:p>
              </w:tc>
            </w:tr>
            <w:tr w14:paraId="05E0C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662" w:type="dxa"/>
                  <w:vAlign w:val="center"/>
                </w:tcPr>
                <w:p w14:paraId="331318E7">
                  <w:pPr>
                    <w:pStyle w:val="200"/>
                    <w:spacing w:before="24" w:after="24"/>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环境影响评价审批部门要做好建设项目环境影响报告书</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表</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的审查，结合排污许可证申请与核发技术规范，核定建设项目的产排污环节、污染物种类及污染防治设施和措施等基本信息；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w:t>
                  </w:r>
                </w:p>
              </w:tc>
              <w:tc>
                <w:tcPr>
                  <w:tcW w:w="2847" w:type="dxa"/>
                  <w:vAlign w:val="center"/>
                </w:tcPr>
                <w:p w14:paraId="0E475DF3">
                  <w:pPr>
                    <w:pStyle w:val="200"/>
                    <w:spacing w:before="24" w:after="24"/>
                    <w:jc w:val="center"/>
                    <w:rPr>
                      <w:rFonts w:hint="default" w:ascii="Times New Roman" w:hAnsi="Times New Roman" w:cs="Times New Roman"/>
                      <w:color w:val="auto"/>
                      <w:sz w:val="18"/>
                      <w:szCs w:val="18"/>
                      <w:highlight w:val="yellow"/>
                    </w:rPr>
                  </w:pPr>
                  <w:r>
                    <w:rPr>
                      <w:rFonts w:hint="default" w:ascii="Times New Roman" w:hAnsi="Times New Roman" w:cs="Times New Roman"/>
                      <w:color w:val="auto"/>
                      <w:sz w:val="18"/>
                      <w:szCs w:val="18"/>
                    </w:rPr>
                    <w:t>本次环评根据环境影响评价要素导则严格核定了产排污环节、污染物种类及污染防治设施和措施、排放口数量、位置以及每个排放口的污染物种类、允许排放浓度和允许排放量、排放方式、排放去向、自行监测计划等与污染物排放相关的主要内容；污染物排放均依据国家相应标准要求进行核算。</w:t>
                  </w:r>
                </w:p>
              </w:tc>
              <w:tc>
                <w:tcPr>
                  <w:tcW w:w="644" w:type="dxa"/>
                  <w:vAlign w:val="center"/>
                </w:tcPr>
                <w:p w14:paraId="61BD0923">
                  <w:pPr>
                    <w:pStyle w:val="200"/>
                    <w:spacing w:before="24" w:after="24"/>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符合</w:t>
                  </w:r>
                </w:p>
              </w:tc>
            </w:tr>
            <w:tr w14:paraId="00B34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662" w:type="dxa"/>
                  <w:vAlign w:val="center"/>
                </w:tcPr>
                <w:p w14:paraId="7D46D6CE">
                  <w:pPr>
                    <w:pStyle w:val="200"/>
                    <w:spacing w:before="24" w:after="24"/>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建设项目发生实际排污行为之前，排污单位应当按照国家环境保护相关法律法规以及排污许可证申请与核发技术规范要求申请排污许可证，不得无证排污或不按证排污。环境影响报告书（表）2015年1月1日（含）后获得批准的建设项目，其环境影响报告书（表）以及审批文件中与污染物排放相关的主要内容应当纳入排污许可证。建设项目无证排污或不按证排污的，建设单位不得出具该项目验收合格的意见，验收报告中与污染物排放相关的主要内容应当纳入该项目验收完成当年排污许可证执行年报。排污许可证执行报告、台账记录以及自行监测执行情况等应作为开展建设项目环境影响后评价的重要依据。</w:t>
                  </w:r>
                </w:p>
              </w:tc>
              <w:tc>
                <w:tcPr>
                  <w:tcW w:w="2847" w:type="dxa"/>
                  <w:vAlign w:val="center"/>
                </w:tcPr>
                <w:p w14:paraId="50615B9D">
                  <w:pPr>
                    <w:pStyle w:val="200"/>
                    <w:spacing w:before="24" w:after="24"/>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本</w:t>
                  </w:r>
                  <w:r>
                    <w:rPr>
                      <w:rFonts w:hint="default" w:ascii="Times New Roman" w:hAnsi="Times New Roman" w:cs="Times New Roman"/>
                      <w:color w:val="auto"/>
                      <w:sz w:val="18"/>
                      <w:szCs w:val="18"/>
                      <w:lang w:eastAsia="zh-CN"/>
                    </w:rPr>
                    <w:t>项目</w:t>
                  </w:r>
                  <w:r>
                    <w:rPr>
                      <w:rFonts w:hint="default" w:ascii="Times New Roman" w:hAnsi="Times New Roman" w:cs="Times New Roman"/>
                      <w:color w:val="auto"/>
                      <w:sz w:val="18"/>
                      <w:szCs w:val="18"/>
                    </w:rPr>
                    <w:t>应当按照国家环境保护相关法律法规以及排污许可证申请与核发技术规范要求进行排污许可证的申请。建设项目未取得排污证，建设单位不得出具该项目验收合格的意见。</w:t>
                  </w:r>
                </w:p>
              </w:tc>
              <w:tc>
                <w:tcPr>
                  <w:tcW w:w="644" w:type="dxa"/>
                  <w:vAlign w:val="center"/>
                </w:tcPr>
                <w:p w14:paraId="79C14106">
                  <w:pPr>
                    <w:pStyle w:val="200"/>
                    <w:spacing w:before="24" w:after="24"/>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符合</w:t>
                  </w:r>
                </w:p>
              </w:tc>
            </w:tr>
          </w:tbl>
          <w:p w14:paraId="1E69FA12">
            <w:pPr>
              <w:tabs>
                <w:tab w:val="left" w:pos="5427"/>
              </w:tabs>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color w:val="auto"/>
              </w:rPr>
              <w:t>（2）</w:t>
            </w:r>
            <w:r>
              <w:rPr>
                <w:rFonts w:hint="default" w:ascii="Times New Roman" w:hAnsi="Times New Roman" w:cs="Times New Roman"/>
                <w:bCs/>
                <w:color w:val="auto"/>
              </w:rPr>
              <w:t>与鲁环办函[2016]141号的相关符合性分析</w:t>
            </w:r>
          </w:p>
          <w:p w14:paraId="555DDE2B">
            <w:pPr>
              <w:tabs>
                <w:tab w:val="left" w:pos="5427"/>
              </w:tabs>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山东省环保厅于2016年9月印发了《关于进一步加强建设项目固体废物环境管理的通知》（鲁环办函[2016]141号）。项目与该文件的符合性见下表。</w:t>
            </w:r>
          </w:p>
          <w:p w14:paraId="6A07ADAD">
            <w:pPr>
              <w:spacing w:line="360" w:lineRule="auto"/>
              <w:jc w:val="center"/>
              <w:rPr>
                <w:rFonts w:hint="default" w:ascii="Times New Roman" w:hAnsi="Times New Roman" w:cs="Times New Roman"/>
                <w:b/>
                <w:color w:val="auto"/>
                <w:sz w:val="18"/>
                <w:szCs w:val="18"/>
              </w:rPr>
            </w:pPr>
            <w:r>
              <w:rPr>
                <w:rFonts w:hint="default" w:ascii="Times New Roman" w:hAnsi="Times New Roman" w:cs="Times New Roman"/>
                <w:b/>
                <w:color w:val="auto"/>
              </w:rPr>
              <w:t>表1-</w:t>
            </w:r>
            <w:r>
              <w:rPr>
                <w:rFonts w:hint="eastAsia" w:cs="Times New Roman"/>
                <w:b/>
                <w:color w:val="auto"/>
                <w:lang w:val="en-US" w:eastAsia="zh-CN"/>
              </w:rPr>
              <w:t>5</w:t>
            </w:r>
            <w:r>
              <w:rPr>
                <w:rFonts w:hint="default" w:ascii="Times New Roman" w:hAnsi="Times New Roman" w:cs="Times New Roman"/>
                <w:b/>
                <w:color w:val="auto"/>
              </w:rPr>
              <w:t>项目建设与鲁环办函[2016]141号文符合性分析</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2"/>
              <w:gridCol w:w="4570"/>
              <w:gridCol w:w="2930"/>
            </w:tblGrid>
            <w:tr w14:paraId="053B2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52" w:type="dxa"/>
                  <w:vAlign w:val="center"/>
                </w:tcPr>
                <w:p w14:paraId="66DC54C6">
                  <w:pPr>
                    <w:pStyle w:val="200"/>
                    <w:spacing w:before="24" w:after="24"/>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序号</w:t>
                  </w:r>
                </w:p>
              </w:tc>
              <w:tc>
                <w:tcPr>
                  <w:tcW w:w="4570" w:type="dxa"/>
                  <w:vAlign w:val="center"/>
                </w:tcPr>
                <w:p w14:paraId="244729A0">
                  <w:pPr>
                    <w:pStyle w:val="200"/>
                    <w:spacing w:before="24" w:after="24"/>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文件内容</w:t>
                  </w:r>
                </w:p>
              </w:tc>
              <w:tc>
                <w:tcPr>
                  <w:tcW w:w="2930" w:type="dxa"/>
                  <w:vAlign w:val="center"/>
                </w:tcPr>
                <w:p w14:paraId="2E5DFEE5">
                  <w:pPr>
                    <w:pStyle w:val="200"/>
                    <w:spacing w:before="24" w:after="24"/>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项目符合性</w:t>
                  </w:r>
                </w:p>
              </w:tc>
            </w:tr>
            <w:tr w14:paraId="3A224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52" w:type="dxa"/>
                  <w:vAlign w:val="center"/>
                </w:tcPr>
                <w:p w14:paraId="2E6926A2">
                  <w:pPr>
                    <w:pStyle w:val="200"/>
                    <w:spacing w:before="24" w:after="24"/>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4570" w:type="dxa"/>
                  <w:vAlign w:val="center"/>
                </w:tcPr>
                <w:p w14:paraId="50327D59">
                  <w:pPr>
                    <w:pStyle w:val="324"/>
                    <w:jc w:val="both"/>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影响评价机构在编制建设项目环境影响评价文件时，要依据原辅料、工艺设计和物料平衡，深入分析固体废物的产生环节、种类、性质及危害特性，科学预测产生量，评价其综合利用和无害化处置方式的环境影响，并提出相应的对策措施：一要结合建设项目的工艺过程，梳理说明各类固体废物</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固态、半固态及高浓度液体</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的产生环节、主要成分和理化特性；二要根据《固体废物鉴别导则</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试行</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国家环保总局公告2006年11号</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的规定，对建设项目产生的各类副产物是否属于固体废物进行判断，属于固体废物的，应依据《国家危险废物名录》</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以下简称《名录》</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判断其是否属于危险废物，凡列入《名录》的，属于危险废物，不需再进行危险特性鉴别；未列入《名录》、但疑似危险废物的，应根据产生环节和主要成分进行分析，对可能含有危险组分的，应明确在项目试生产阶段，对其作危险特性鉴别要求，并提出鉴别指标选取的建议方案；三要对分析结果进行汇总，以列表形式说明建设项目产生的固体废物的名称、类别、属性和数量等情况。在评价建设项目固体废物的环境影响时，要逐项评价建设项目业主单位提出的固体废物利用处置方案是否符合环保要求，并对其可行性进行论证。环评机构要根据建设项目固体废物工程分析和环境影响预测结果，提出废物分类收集、安全贮存、综合利用和无害化处置的合理建议，按照《环境影响评价技术导则》的有关要求，编写环境影响报告固体废物污染防治章节。</w:t>
                  </w:r>
                </w:p>
              </w:tc>
              <w:tc>
                <w:tcPr>
                  <w:tcW w:w="2930" w:type="dxa"/>
                  <w:vAlign w:val="center"/>
                </w:tcPr>
                <w:p w14:paraId="205ADE1F">
                  <w:pPr>
                    <w:pStyle w:val="324"/>
                    <w:jc w:val="both"/>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次评价环评编制期间，深入分析了固体废物的产生环节、种类、性质及危害特性，根据项目实际运行情况统计了相应固废产生量，并核实了相应处置措施的可行性，报告表提出废物分类收集、安全贮存、综合利用和无害化处置的合理建议。</w:t>
                  </w:r>
                </w:p>
              </w:tc>
            </w:tr>
            <w:tr w14:paraId="2E57B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52" w:type="dxa"/>
                  <w:vAlign w:val="center"/>
                </w:tcPr>
                <w:p w14:paraId="610096E3">
                  <w:pPr>
                    <w:pStyle w:val="200"/>
                    <w:spacing w:before="24" w:after="24"/>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4570" w:type="dxa"/>
                  <w:vAlign w:val="center"/>
                </w:tcPr>
                <w:p w14:paraId="187F9785">
                  <w:pPr>
                    <w:pStyle w:val="200"/>
                    <w:spacing w:before="24" w:after="24"/>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核实固体废物的产生环节、种类和数量：验收监测机构应在正常工况下，选择一到两个生产周期，统计产生环节、种类和数量，并按废物类别和生产负荷</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75%以上</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将生产周期内的产生量折算成年均产生量。建设项目的一个生产周期超过一个月的，则建设项目固体废物的种类和数量按一个月统计；生产周期在两周以内的，应统计两个生产周期的数量和种类。对于在试生产阶段尚未产生的固体废物，如废水处理设施的污泥、废催化剂和报废吸附脱色材料等，验收监测机构可通过同行业类比调查或者环评报告预测结果，估算固体废物的种类和产生量，同等条件下，优先采用环评预测量。建设项目在竣工环保验收前发现危险废物实际产生种类、数量或利用、处置方式发生重大变化的，应编制环境影响补充报告，报有审批权环保部门的环评科</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处</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备案。不属于重大变化的，验收监测报告中应将变化情况予以说明。建设项目在通过竣工环保验收后，发现危险废物实际产生种类、数量或利用、处置方式发生重大变化的，应编制固废环境影响专题报告，报有审批权环保部门的环评、固废管理科</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处</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和项目所在地环境监察、固废管理机构备案。</w:t>
                  </w:r>
                </w:p>
              </w:tc>
              <w:tc>
                <w:tcPr>
                  <w:tcW w:w="2930" w:type="dxa"/>
                  <w:vAlign w:val="center"/>
                </w:tcPr>
                <w:p w14:paraId="176B9250">
                  <w:pPr>
                    <w:pStyle w:val="200"/>
                    <w:spacing w:before="24" w:after="24"/>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本</w:t>
                  </w:r>
                  <w:r>
                    <w:rPr>
                      <w:rFonts w:hint="default" w:ascii="Times New Roman" w:hAnsi="Times New Roman" w:cs="Times New Roman"/>
                      <w:color w:val="auto"/>
                      <w:sz w:val="18"/>
                      <w:szCs w:val="18"/>
                      <w:lang w:eastAsia="zh-CN"/>
                    </w:rPr>
                    <w:t>项目</w:t>
                  </w:r>
                  <w:r>
                    <w:rPr>
                      <w:rFonts w:hint="default" w:ascii="Times New Roman" w:hAnsi="Times New Roman" w:cs="Times New Roman"/>
                      <w:color w:val="auto"/>
                      <w:sz w:val="18"/>
                      <w:szCs w:val="18"/>
                    </w:rPr>
                    <w:t>现处于环评阶段。</w:t>
                  </w:r>
                </w:p>
              </w:tc>
            </w:tr>
            <w:tr w14:paraId="03878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7" w:hRule="atLeast"/>
                <w:jc w:val="center"/>
              </w:trPr>
              <w:tc>
                <w:tcPr>
                  <w:tcW w:w="652" w:type="dxa"/>
                  <w:vAlign w:val="center"/>
                </w:tcPr>
                <w:p w14:paraId="6BFBF07F">
                  <w:pPr>
                    <w:pStyle w:val="200"/>
                    <w:spacing w:before="24" w:after="24"/>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w:t>
                  </w:r>
                </w:p>
              </w:tc>
              <w:tc>
                <w:tcPr>
                  <w:tcW w:w="4570" w:type="dxa"/>
                  <w:vAlign w:val="center"/>
                </w:tcPr>
                <w:p w14:paraId="102C48B2">
                  <w:pPr>
                    <w:pStyle w:val="200"/>
                    <w:spacing w:before="24" w:after="24"/>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核实配套工程落实情况：建有固体废物或危险废物贮存设施的，分别按一般工业固体废物和危险废物贮存有关技术标准检查，重点检查贮存设施的标志标识、防渗、污水导排、包装容器和分类存放等内容。建有固体废物填埋、焚烧等处置设施的，要对试生产期间设施的运行和污染物排放情况分析和监测。</w:t>
                  </w:r>
                </w:p>
              </w:tc>
              <w:tc>
                <w:tcPr>
                  <w:tcW w:w="2930" w:type="dxa"/>
                  <w:vAlign w:val="center"/>
                </w:tcPr>
                <w:p w14:paraId="6A9C13AD">
                  <w:pPr>
                    <w:pStyle w:val="200"/>
                    <w:spacing w:before="24" w:after="24"/>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企业一般固废暂存处严格按照《中华人民共和国固体废物污染环境防治法》相关要求，采取防扬散、防流失、防渗漏，不擅自倾倒、堆放、丢弃、遗撒</w:t>
                  </w:r>
                  <w:r>
                    <w:rPr>
                      <w:rFonts w:hint="default" w:ascii="Times New Roman" w:hAnsi="Times New Roman" w:cs="Times New Roman"/>
                      <w:color w:val="auto"/>
                      <w:sz w:val="18"/>
                      <w:szCs w:val="18"/>
                      <w:lang w:eastAsia="zh-CN"/>
                    </w:rPr>
                    <w:t>。</w:t>
                  </w:r>
                </w:p>
              </w:tc>
            </w:tr>
            <w:tr w14:paraId="48650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652" w:type="dxa"/>
                  <w:vAlign w:val="center"/>
                </w:tcPr>
                <w:p w14:paraId="3A7896DF">
                  <w:pPr>
                    <w:pStyle w:val="200"/>
                    <w:spacing w:before="24" w:after="24"/>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w:t>
                  </w:r>
                </w:p>
              </w:tc>
              <w:tc>
                <w:tcPr>
                  <w:tcW w:w="4570" w:type="dxa"/>
                  <w:vAlign w:val="center"/>
                </w:tcPr>
                <w:p w14:paraId="12A063A1">
                  <w:pPr>
                    <w:pStyle w:val="200"/>
                    <w:spacing w:before="24" w:after="24"/>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检查固体废物利用处置方案和管理制度落实情况：应与环评报告提出的利用处置方案、污染事故应急预案和相关管理制度等进行对比，特别是对固体废物综合利用和无害化处置的情况要跟踪落实。利用处置工艺或接受单位发生变更的，要说明原因。属危险废物委托利用处置的，要核实接受单位资质情况，检查委托利用处置等协议合同，并说明试生产期间转移联单执行情况。</w:t>
                  </w:r>
                </w:p>
              </w:tc>
              <w:tc>
                <w:tcPr>
                  <w:tcW w:w="2930" w:type="dxa"/>
                  <w:vAlign w:val="center"/>
                </w:tcPr>
                <w:p w14:paraId="343983C3">
                  <w:pPr>
                    <w:pStyle w:val="200"/>
                    <w:spacing w:before="24" w:after="24"/>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lang w:val="en-US" w:eastAsia="zh-CN"/>
                    </w:rPr>
                    <w:t>本</w:t>
                  </w:r>
                  <w:r>
                    <w:rPr>
                      <w:rFonts w:hint="default" w:ascii="Times New Roman" w:hAnsi="Times New Roman" w:cs="Times New Roman"/>
                      <w:color w:val="auto"/>
                      <w:sz w:val="18"/>
                      <w:szCs w:val="18"/>
                      <w:lang w:eastAsia="zh-CN"/>
                    </w:rPr>
                    <w:t>项目</w:t>
                  </w:r>
                  <w:r>
                    <w:rPr>
                      <w:rFonts w:hint="eastAsia" w:ascii="Times New Roman" w:cs="Times New Roman"/>
                      <w:color w:val="auto"/>
                      <w:sz w:val="18"/>
                      <w:szCs w:val="18"/>
                      <w:highlight w:val="none"/>
                      <w:lang w:eastAsia="zh-CN"/>
                    </w:rPr>
                    <w:t>废包装袋、废布袋、车间沉降颗粒物清扫粉尘外售综合利用</w:t>
                  </w:r>
                  <w:r>
                    <w:rPr>
                      <w:rFonts w:hint="eastAsia" w:ascii="Times New Roman" w:cs="Times New Roman"/>
                      <w:color w:val="auto"/>
                      <w:sz w:val="18"/>
                      <w:szCs w:val="18"/>
                      <w:highlight w:val="none"/>
                      <w:lang w:val="en-US" w:eastAsia="zh-CN"/>
                    </w:rPr>
                    <w:t>，</w:t>
                  </w:r>
                  <w:r>
                    <w:rPr>
                      <w:rFonts w:hint="default" w:ascii="Times New Roman" w:hAnsi="Times New Roman" w:cs="Times New Roman"/>
                      <w:color w:val="auto"/>
                      <w:sz w:val="18"/>
                      <w:szCs w:val="18"/>
                      <w:highlight w:val="none"/>
                    </w:rPr>
                    <w:t>生活垃圾由环卫部门定期清运。</w:t>
                  </w:r>
                </w:p>
              </w:tc>
            </w:tr>
            <w:tr w14:paraId="0A3FD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52" w:type="dxa"/>
                  <w:vAlign w:val="center"/>
                </w:tcPr>
                <w:p w14:paraId="68262076">
                  <w:pPr>
                    <w:pStyle w:val="200"/>
                    <w:spacing w:before="24" w:after="24"/>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4570" w:type="dxa"/>
                  <w:vAlign w:val="center"/>
                </w:tcPr>
                <w:p w14:paraId="2BCEC088">
                  <w:pPr>
                    <w:pStyle w:val="200"/>
                    <w:spacing w:before="24" w:after="24"/>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建设项目的业主或负有管理责任的单位</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以下统称“产生者”</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对其产生的固体废物，应承担污染防治主体责任。在建设项目正式投入生产前，产生者应当如实提供建设项目的生产工艺、设备和原辅材料种类、性质和数量，分析可能产生固体废物的环节、数量和性质以及固体废物贮存、处置的方法和途径，供有关评价或验收监测机构参考。产生者应按国家有关法规要求，妥善利用处置产生的固体废物。属委托利用处置危险废物的，在委托前，产生者应对被委托方的处置资格、能力等进行调查核实，在此基础上，产生者应与被委托方签订书面委托协议，明确拟交与危险废物的种类、性质、数量、交付方式、运输和利用处置要求与标准等事项。处置时，产生者应主动了解、核实处置情况，保证委托协议得到实施，确保危险废物得到妥善、安全和无害化利用或处置。</w:t>
                  </w:r>
                </w:p>
              </w:tc>
              <w:tc>
                <w:tcPr>
                  <w:tcW w:w="2930" w:type="dxa"/>
                  <w:vAlign w:val="center"/>
                </w:tcPr>
                <w:p w14:paraId="47056C44">
                  <w:pPr>
                    <w:pStyle w:val="200"/>
                    <w:spacing w:before="24" w:after="24"/>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lang w:val="en-US" w:eastAsia="zh-CN"/>
                    </w:rPr>
                    <w:t>本</w:t>
                  </w:r>
                  <w:r>
                    <w:rPr>
                      <w:rFonts w:hint="default" w:ascii="Times New Roman" w:hAnsi="Times New Roman" w:cs="Times New Roman"/>
                      <w:color w:val="auto"/>
                      <w:sz w:val="18"/>
                      <w:szCs w:val="18"/>
                      <w:lang w:eastAsia="zh-CN"/>
                    </w:rPr>
                    <w:t>项目</w:t>
                  </w:r>
                  <w:r>
                    <w:rPr>
                      <w:rFonts w:hint="eastAsia" w:ascii="Times New Roman" w:cs="Times New Roman"/>
                      <w:color w:val="auto"/>
                      <w:sz w:val="18"/>
                      <w:szCs w:val="18"/>
                      <w:highlight w:val="none"/>
                      <w:lang w:eastAsia="zh-CN"/>
                    </w:rPr>
                    <w:t>废包装袋、废布袋、车间沉降颗粒物清扫粉尘外售综合利用</w:t>
                  </w:r>
                  <w:r>
                    <w:rPr>
                      <w:rFonts w:hint="eastAsia" w:ascii="Times New Roman" w:cs="Times New Roman"/>
                      <w:color w:val="auto"/>
                      <w:sz w:val="18"/>
                      <w:szCs w:val="18"/>
                      <w:highlight w:val="none"/>
                      <w:lang w:val="en-US" w:eastAsia="zh-CN"/>
                    </w:rPr>
                    <w:t>，</w:t>
                  </w:r>
                  <w:r>
                    <w:rPr>
                      <w:rFonts w:hint="default" w:ascii="Times New Roman" w:hAnsi="Times New Roman" w:cs="Times New Roman"/>
                      <w:color w:val="auto"/>
                      <w:sz w:val="18"/>
                      <w:szCs w:val="18"/>
                      <w:highlight w:val="none"/>
                    </w:rPr>
                    <w:t>生活垃圾由环卫部门定期清运</w:t>
                  </w:r>
                </w:p>
              </w:tc>
            </w:tr>
          </w:tbl>
          <w:p w14:paraId="232A6C55">
            <w:pPr>
              <w:pStyle w:val="80"/>
              <w:spacing w:line="420" w:lineRule="exact"/>
              <w:ind w:left="0" w:leftChars="0" w:firstLine="420" w:firstLineChars="200"/>
              <w:rPr>
                <w:rFonts w:hint="default" w:ascii="Times New Roman" w:hAnsi="Times New Roman" w:cs="Times New Roman"/>
                <w:color w:val="auto"/>
                <w:sz w:val="21"/>
                <w:szCs w:val="21"/>
              </w:rPr>
            </w:pPr>
            <w:r>
              <w:rPr>
                <w:rFonts w:hint="default" w:ascii="Times New Roman" w:hAnsi="Times New Roman" w:cs="Times New Roman"/>
                <w:bCs/>
                <w:color w:val="auto"/>
                <w:sz w:val="21"/>
                <w:szCs w:val="21"/>
              </w:rPr>
              <w:t>由上表可知，项目符合《关于进一步加强建设项目固体废物环境管理的通知》（鲁环办函[2016]141号）的要求。</w:t>
            </w:r>
          </w:p>
          <w:p w14:paraId="635363C6">
            <w:pPr>
              <w:tabs>
                <w:tab w:val="left" w:pos="5427"/>
              </w:tabs>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color w:val="auto"/>
              </w:rPr>
              <w:t>（3）</w:t>
            </w:r>
            <w:r>
              <w:rPr>
                <w:rFonts w:hint="default" w:ascii="Times New Roman" w:hAnsi="Times New Roman" w:cs="Times New Roman"/>
                <w:bCs/>
                <w:color w:val="auto"/>
              </w:rPr>
              <w:t xml:space="preserve">与《山东省大气污染防治条例》的相关符合性分析 </w:t>
            </w:r>
          </w:p>
          <w:p w14:paraId="7C9DFFED">
            <w:pPr>
              <w:tabs>
                <w:tab w:val="left" w:pos="5427"/>
              </w:tabs>
              <w:spacing w:line="360" w:lineRule="auto"/>
              <w:ind w:firstLine="420" w:firstLineChars="200"/>
              <w:rPr>
                <w:rFonts w:hint="default" w:ascii="Times New Roman" w:hAnsi="Times New Roman" w:cs="Times New Roman"/>
                <w:bCs/>
                <w:color w:val="auto"/>
              </w:rPr>
            </w:pPr>
            <w:r>
              <w:rPr>
                <w:rFonts w:hint="default" w:ascii="Times New Roman" w:hAnsi="Times New Roman" w:eastAsia="宋体" w:cs="Times New Roman"/>
                <w:bCs/>
                <w:color w:val="auto"/>
                <w:sz w:val="21"/>
                <w:szCs w:val="21"/>
                <w:lang w:val="en-US" w:eastAsia="zh-CN"/>
              </w:rPr>
              <w:t>本</w:t>
            </w:r>
            <w:r>
              <w:rPr>
                <w:rFonts w:hint="default" w:ascii="Times New Roman" w:hAnsi="Times New Roman" w:eastAsia="宋体" w:cs="Times New Roman"/>
                <w:bCs/>
                <w:color w:val="auto"/>
                <w:sz w:val="21"/>
                <w:szCs w:val="21"/>
                <w:lang w:eastAsia="zh-CN"/>
              </w:rPr>
              <w:t>项目</w:t>
            </w:r>
            <w:r>
              <w:rPr>
                <w:rFonts w:hint="default" w:ascii="Times New Roman" w:hAnsi="Times New Roman" w:eastAsia="宋体" w:cs="Times New Roman"/>
                <w:bCs/>
                <w:color w:val="auto"/>
              </w:rPr>
              <w:t>与《</w:t>
            </w:r>
            <w:r>
              <w:rPr>
                <w:rFonts w:hint="default" w:ascii="Times New Roman" w:hAnsi="Times New Roman" w:cs="Times New Roman"/>
                <w:bCs/>
                <w:color w:val="auto"/>
              </w:rPr>
              <w:t>山东省大气污染防治条例》的符合性见下表：</w:t>
            </w:r>
          </w:p>
          <w:p w14:paraId="74C99107">
            <w:pPr>
              <w:spacing w:line="360" w:lineRule="auto"/>
              <w:jc w:val="center"/>
              <w:rPr>
                <w:rFonts w:hint="default" w:ascii="Times New Roman" w:hAnsi="Times New Roman" w:cs="Times New Roman"/>
                <w:b/>
                <w:color w:val="auto"/>
              </w:rPr>
            </w:pPr>
            <w:r>
              <w:rPr>
                <w:rFonts w:hint="default" w:ascii="Times New Roman" w:hAnsi="Times New Roman" w:cs="Times New Roman"/>
                <w:b/>
                <w:color w:val="auto"/>
              </w:rPr>
              <w:t>表1-</w:t>
            </w:r>
            <w:r>
              <w:rPr>
                <w:rFonts w:hint="eastAsia" w:cs="Times New Roman"/>
                <w:b/>
                <w:color w:val="auto"/>
                <w:lang w:val="en-US" w:eastAsia="zh-CN"/>
              </w:rPr>
              <w:t>6</w:t>
            </w:r>
            <w:r>
              <w:rPr>
                <w:rFonts w:hint="default" w:ascii="Times New Roman" w:hAnsi="Times New Roman" w:cs="Times New Roman"/>
                <w:b/>
                <w:color w:val="auto"/>
              </w:rPr>
              <w:t>项目与山东省大气污染防治条例符合情况分析</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82"/>
              <w:gridCol w:w="5358"/>
              <w:gridCol w:w="2212"/>
            </w:tblGrid>
            <w:tr w14:paraId="2F86E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5" w:hRule="exact"/>
                <w:jc w:val="center"/>
              </w:trPr>
              <w:tc>
                <w:tcPr>
                  <w:tcW w:w="582" w:type="dxa"/>
                  <w:vAlign w:val="center"/>
                </w:tcPr>
                <w:p w14:paraId="19BB2231">
                  <w:pPr>
                    <w:pStyle w:val="1314"/>
                    <w:ind w:right="62"/>
                    <w:jc w:val="center"/>
                    <w:textAlignment w:val="baseline"/>
                    <w:rPr>
                      <w:rFonts w:hint="default" w:ascii="Times New Roman" w:hAnsi="Times New Roman" w:cs="Times New Roman"/>
                      <w:b/>
                      <w:bCs/>
                      <w:color w:val="auto"/>
                      <w:sz w:val="18"/>
                      <w:szCs w:val="21"/>
                    </w:rPr>
                  </w:pPr>
                  <w:r>
                    <w:rPr>
                      <w:rFonts w:hint="default" w:ascii="Times New Roman" w:hAnsi="Times New Roman" w:cs="Times New Roman"/>
                      <w:b/>
                      <w:bCs/>
                      <w:color w:val="auto"/>
                      <w:sz w:val="18"/>
                      <w:szCs w:val="16"/>
                    </w:rPr>
                    <w:t>序号</w:t>
                  </w:r>
                </w:p>
              </w:tc>
              <w:tc>
                <w:tcPr>
                  <w:tcW w:w="5358" w:type="dxa"/>
                  <w:vAlign w:val="center"/>
                </w:tcPr>
                <w:p w14:paraId="126A56DC">
                  <w:pPr>
                    <w:pStyle w:val="1314"/>
                    <w:ind w:left="19"/>
                    <w:jc w:val="center"/>
                    <w:textAlignment w:val="baseline"/>
                    <w:rPr>
                      <w:rFonts w:hint="default" w:ascii="Times New Roman" w:hAnsi="Times New Roman" w:cs="Times New Roman"/>
                      <w:b/>
                      <w:bCs/>
                      <w:color w:val="auto"/>
                      <w:sz w:val="18"/>
                      <w:szCs w:val="21"/>
                    </w:rPr>
                  </w:pPr>
                  <w:r>
                    <w:rPr>
                      <w:rFonts w:hint="default" w:ascii="Times New Roman" w:hAnsi="Times New Roman" w:cs="Times New Roman"/>
                      <w:b/>
                      <w:bCs/>
                      <w:color w:val="auto"/>
                      <w:sz w:val="18"/>
                      <w:szCs w:val="16"/>
                    </w:rPr>
                    <w:t xml:space="preserve">规划要求 </w:t>
                  </w:r>
                </w:p>
              </w:tc>
              <w:tc>
                <w:tcPr>
                  <w:tcW w:w="2212" w:type="dxa"/>
                  <w:vAlign w:val="center"/>
                </w:tcPr>
                <w:p w14:paraId="29E4DADD">
                  <w:pPr>
                    <w:pStyle w:val="1314"/>
                    <w:ind w:left="57"/>
                    <w:jc w:val="center"/>
                    <w:textAlignment w:val="baseline"/>
                    <w:rPr>
                      <w:rFonts w:hint="default" w:ascii="Times New Roman" w:hAnsi="Times New Roman" w:cs="Times New Roman"/>
                      <w:b/>
                      <w:bCs/>
                      <w:color w:val="auto"/>
                      <w:sz w:val="18"/>
                      <w:szCs w:val="21"/>
                    </w:rPr>
                  </w:pPr>
                  <w:r>
                    <w:rPr>
                      <w:rFonts w:hint="default" w:ascii="Times New Roman" w:hAnsi="Times New Roman" w:cs="Times New Roman"/>
                      <w:b/>
                      <w:bCs/>
                      <w:color w:val="auto"/>
                      <w:sz w:val="18"/>
                      <w:szCs w:val="16"/>
                    </w:rPr>
                    <w:t>项目符合性</w:t>
                  </w:r>
                </w:p>
              </w:tc>
            </w:tr>
            <w:tr w14:paraId="2A824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59" w:hRule="atLeast"/>
                <w:jc w:val="center"/>
              </w:trPr>
              <w:tc>
                <w:tcPr>
                  <w:tcW w:w="582" w:type="dxa"/>
                  <w:vAlign w:val="center"/>
                </w:tcPr>
                <w:p w14:paraId="68D8852D">
                  <w:pPr>
                    <w:pStyle w:val="1314"/>
                    <w:jc w:val="center"/>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21"/>
                    </w:rPr>
                    <w:t>1</w:t>
                  </w:r>
                </w:p>
              </w:tc>
              <w:tc>
                <w:tcPr>
                  <w:tcW w:w="5358" w:type="dxa"/>
                  <w:vAlign w:val="center"/>
                </w:tcPr>
                <w:p w14:paraId="5A7C40E4">
                  <w:pPr>
                    <w:pStyle w:val="1314"/>
                    <w:ind w:left="129"/>
                    <w:jc w:val="both"/>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21"/>
                    </w:rPr>
                    <w:t>设区的市、县（市、区）人民政府应当制定本行政区域锅炉整治计划，按照国家和省有关规定要求淘汰、拆除燃煤小锅炉、分散燃煤锅炉和不能达标排放的其他燃煤锅炉，并对现有的燃煤锅炉进行超低排放改造。除国家和省另有规定外，在城市建成区、开发区、工业园区内不得新建额定蒸发量二十吨以下的直接燃煤、重油、渣油锅炉以及直接燃用生物质的锅炉。</w:t>
                  </w:r>
                </w:p>
              </w:tc>
              <w:tc>
                <w:tcPr>
                  <w:tcW w:w="2212" w:type="dxa"/>
                  <w:vAlign w:val="center"/>
                </w:tcPr>
                <w:p w14:paraId="57E32717">
                  <w:pPr>
                    <w:pStyle w:val="1314"/>
                    <w:jc w:val="center"/>
                    <w:textAlignment w:val="baseline"/>
                    <w:rPr>
                      <w:rFonts w:hint="default" w:ascii="Times New Roman" w:hAnsi="Times New Roman" w:eastAsia="宋体" w:cs="Times New Roman"/>
                      <w:color w:val="auto"/>
                      <w:sz w:val="18"/>
                      <w:szCs w:val="21"/>
                      <w:lang w:val="en-US" w:eastAsia="zh-CN"/>
                    </w:rPr>
                  </w:pPr>
                  <w:r>
                    <w:rPr>
                      <w:rFonts w:hint="default" w:ascii="Times New Roman" w:hAnsi="Times New Roman" w:cs="Times New Roman"/>
                      <w:color w:val="auto"/>
                      <w:sz w:val="18"/>
                      <w:szCs w:val="18"/>
                      <w:lang w:val="en-US" w:eastAsia="zh-CN"/>
                    </w:rPr>
                    <w:t>本</w:t>
                  </w:r>
                  <w:r>
                    <w:rPr>
                      <w:rFonts w:hint="default" w:ascii="Times New Roman" w:hAnsi="Times New Roman" w:cs="Times New Roman"/>
                      <w:color w:val="auto"/>
                      <w:sz w:val="18"/>
                      <w:szCs w:val="18"/>
                      <w:lang w:eastAsia="zh-CN"/>
                    </w:rPr>
                    <w:t>项目</w:t>
                  </w:r>
                  <w:r>
                    <w:rPr>
                      <w:rFonts w:hint="default" w:ascii="Times New Roman" w:hAnsi="Times New Roman" w:cs="Times New Roman"/>
                      <w:color w:val="auto"/>
                      <w:sz w:val="18"/>
                      <w:szCs w:val="16"/>
                      <w:lang w:eastAsia="zh-CN"/>
                    </w:rPr>
                    <w:t>不涉及锅炉，满足相关要求。</w:t>
                  </w:r>
                </w:p>
              </w:tc>
            </w:tr>
            <w:tr w14:paraId="10174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9" w:hRule="atLeast"/>
                <w:jc w:val="center"/>
              </w:trPr>
              <w:tc>
                <w:tcPr>
                  <w:tcW w:w="582" w:type="dxa"/>
                  <w:vAlign w:val="center"/>
                </w:tcPr>
                <w:p w14:paraId="48ADB749">
                  <w:pPr>
                    <w:pStyle w:val="1314"/>
                    <w:jc w:val="center"/>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21"/>
                    </w:rPr>
                    <w:t>2</w:t>
                  </w:r>
                </w:p>
              </w:tc>
              <w:tc>
                <w:tcPr>
                  <w:tcW w:w="5358" w:type="dxa"/>
                  <w:vAlign w:val="center"/>
                </w:tcPr>
                <w:p w14:paraId="7D8AC6A9">
                  <w:pPr>
                    <w:pStyle w:val="1314"/>
                    <w:ind w:left="129"/>
                    <w:jc w:val="both"/>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21"/>
                    </w:rPr>
                    <w:t>县级以上人民政府供热主管部门应当组织编制供热专项规划，发展分布式能源，统筹热源和管网建设，逐步扩大城乡集中供热范围。在集中供热管网覆盖区域内，禁止新建、扩建分散燃煤供热锅炉；已建成的分散燃煤供热锅炉应当在县级以上人民政府环境保护主管部门规定的期限内停止使用。</w:t>
                  </w:r>
                </w:p>
              </w:tc>
              <w:tc>
                <w:tcPr>
                  <w:tcW w:w="2212" w:type="dxa"/>
                  <w:vAlign w:val="center"/>
                </w:tcPr>
                <w:p w14:paraId="1F150934">
                  <w:pPr>
                    <w:pStyle w:val="1314"/>
                    <w:jc w:val="center"/>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21"/>
                    </w:rPr>
                    <w:t>企业办公用热使用空调供热</w:t>
                  </w:r>
                </w:p>
              </w:tc>
            </w:tr>
            <w:tr w14:paraId="37D09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582" w:type="dxa"/>
                  <w:vAlign w:val="center"/>
                </w:tcPr>
                <w:p w14:paraId="52E038E3">
                  <w:pPr>
                    <w:pStyle w:val="1314"/>
                    <w:ind w:right="62"/>
                    <w:jc w:val="center"/>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21"/>
                    </w:rPr>
                    <w:t>3</w:t>
                  </w:r>
                </w:p>
              </w:tc>
              <w:tc>
                <w:tcPr>
                  <w:tcW w:w="5358" w:type="dxa"/>
                  <w:vAlign w:val="center"/>
                </w:tcPr>
                <w:p w14:paraId="3214898E">
                  <w:pPr>
                    <w:pStyle w:val="1314"/>
                    <w:ind w:left="129"/>
                    <w:jc w:val="both"/>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16"/>
                    </w:rPr>
                    <w:t xml:space="preserve">燃煤机组应当实现超低排放，使大气污染物排放浓度符合规定限值。 </w:t>
                  </w:r>
                </w:p>
              </w:tc>
              <w:tc>
                <w:tcPr>
                  <w:tcW w:w="2212" w:type="dxa"/>
                  <w:vAlign w:val="center"/>
                </w:tcPr>
                <w:p w14:paraId="4DF407DE">
                  <w:pPr>
                    <w:pStyle w:val="1314"/>
                    <w:ind w:left="57"/>
                    <w:jc w:val="center"/>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16"/>
                    </w:rPr>
                    <w:t>项目不涉及燃煤机组</w:t>
                  </w:r>
                </w:p>
              </w:tc>
            </w:tr>
            <w:tr w14:paraId="71196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0" w:hRule="atLeast"/>
                <w:jc w:val="center"/>
              </w:trPr>
              <w:tc>
                <w:tcPr>
                  <w:tcW w:w="582" w:type="dxa"/>
                  <w:vAlign w:val="center"/>
                </w:tcPr>
                <w:p w14:paraId="654EC161">
                  <w:pPr>
                    <w:pStyle w:val="1314"/>
                    <w:jc w:val="center"/>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21"/>
                    </w:rPr>
                    <w:t>4</w:t>
                  </w:r>
                </w:p>
              </w:tc>
              <w:tc>
                <w:tcPr>
                  <w:tcW w:w="5358" w:type="dxa"/>
                  <w:vAlign w:val="center"/>
                </w:tcPr>
                <w:p w14:paraId="2207AD08">
                  <w:pPr>
                    <w:pStyle w:val="1314"/>
                    <w:ind w:left="129"/>
                    <w:jc w:val="both"/>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21"/>
                    </w:rPr>
                    <w:t>使用燃煤炉窑、煤气发生炉等设施的单位应当采用清洁生产工艺，配套建设除尘、脱硫、脱硝等装置，或者采取技术改造等其他控制大气污染物排放的措施。</w:t>
                  </w:r>
                </w:p>
              </w:tc>
              <w:tc>
                <w:tcPr>
                  <w:tcW w:w="2212" w:type="dxa"/>
                  <w:vAlign w:val="center"/>
                </w:tcPr>
                <w:p w14:paraId="742C3425">
                  <w:pPr>
                    <w:pStyle w:val="1314"/>
                    <w:ind w:left="57"/>
                    <w:jc w:val="center"/>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21"/>
                    </w:rPr>
                    <w:t>项目不涉及燃煤炉窑、煤气发生炉</w:t>
                  </w:r>
                </w:p>
              </w:tc>
            </w:tr>
            <w:tr w14:paraId="270D9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53" w:hRule="atLeast"/>
                <w:jc w:val="center"/>
              </w:trPr>
              <w:tc>
                <w:tcPr>
                  <w:tcW w:w="582" w:type="dxa"/>
                  <w:vAlign w:val="center"/>
                </w:tcPr>
                <w:p w14:paraId="53B80F88">
                  <w:pPr>
                    <w:pStyle w:val="1314"/>
                    <w:jc w:val="center"/>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21"/>
                    </w:rPr>
                    <w:t>5</w:t>
                  </w:r>
                </w:p>
              </w:tc>
              <w:tc>
                <w:tcPr>
                  <w:tcW w:w="5358" w:type="dxa"/>
                  <w:vAlign w:val="center"/>
                </w:tcPr>
                <w:p w14:paraId="39D21073">
                  <w:pPr>
                    <w:pStyle w:val="1314"/>
                    <w:ind w:left="129"/>
                    <w:jc w:val="both"/>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21"/>
                    </w:rPr>
                    <w:t>县级以上人民政府应当合理确定产业布局和发展规模，制定产业投资项目负面清单，严格控制新建、扩建钢铁、石化、化工、有色金属冶炼、水泥、平板玻璃、建筑陶瓷等工业项目，鼓励、支持现有的工业企业进行技术升级改造。在城市建成区及其周边的重污染企业，应当逐步进行搬迁改造或者转型退出。</w:t>
                  </w:r>
                </w:p>
              </w:tc>
              <w:tc>
                <w:tcPr>
                  <w:tcW w:w="2212" w:type="dxa"/>
                  <w:vAlign w:val="center"/>
                </w:tcPr>
                <w:p w14:paraId="22A1A966">
                  <w:pPr>
                    <w:pStyle w:val="1314"/>
                    <w:jc w:val="center"/>
                    <w:textAlignment w:val="baseline"/>
                    <w:rPr>
                      <w:rFonts w:hint="default" w:ascii="Times New Roman" w:hAnsi="Times New Roman" w:cs="Times New Roman"/>
                      <w:color w:val="auto"/>
                      <w:sz w:val="18"/>
                      <w:szCs w:val="21"/>
                      <w:lang w:val="en-US"/>
                    </w:rPr>
                  </w:pPr>
                  <w:r>
                    <w:rPr>
                      <w:rFonts w:hint="default" w:ascii="Times New Roman" w:hAnsi="Times New Roman" w:cs="Times New Roman"/>
                      <w:color w:val="auto"/>
                      <w:sz w:val="18"/>
                      <w:szCs w:val="21"/>
                    </w:rPr>
                    <w:t>项目</w:t>
                  </w:r>
                  <w:r>
                    <w:rPr>
                      <w:rFonts w:hint="default" w:ascii="Times New Roman" w:hAnsi="Times New Roman" w:cs="Times New Roman"/>
                      <w:color w:val="auto"/>
                      <w:sz w:val="18"/>
                      <w:szCs w:val="21"/>
                      <w:lang w:val="en-US"/>
                    </w:rPr>
                    <w:t>不涉及钢铁、石化、化工、有色金属冶炼、水泥、平板玻璃、建筑陶瓷等工业项目。</w:t>
                  </w:r>
                </w:p>
              </w:tc>
            </w:tr>
            <w:tr w14:paraId="01DC8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82" w:type="dxa"/>
                  <w:vAlign w:val="center"/>
                </w:tcPr>
                <w:p w14:paraId="766B635F">
                  <w:pPr>
                    <w:pStyle w:val="1314"/>
                    <w:jc w:val="center"/>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21"/>
                    </w:rPr>
                    <w:t>6</w:t>
                  </w:r>
                </w:p>
              </w:tc>
              <w:tc>
                <w:tcPr>
                  <w:tcW w:w="5358" w:type="dxa"/>
                  <w:vAlign w:val="center"/>
                </w:tcPr>
                <w:p w14:paraId="0C1F10BC">
                  <w:pPr>
                    <w:pStyle w:val="1314"/>
                    <w:ind w:left="129"/>
                    <w:jc w:val="both"/>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21"/>
                    </w:rPr>
                    <w:t>对不经过排气筒集中排放的大气污染物，排污单位应当采取密闭、封闭、集中收集、吸附、分解等处理措施，严格控制生产过程以及内部物料堆存、传输、装卸等环节产生的粉尘和气态污染物的排放。</w:t>
                  </w:r>
                </w:p>
              </w:tc>
              <w:tc>
                <w:tcPr>
                  <w:tcW w:w="2212" w:type="dxa"/>
                  <w:vAlign w:val="center"/>
                </w:tcPr>
                <w:p w14:paraId="282C02B9">
                  <w:pPr>
                    <w:pStyle w:val="1314"/>
                    <w:jc w:val="center"/>
                    <w:textAlignment w:val="baseline"/>
                    <w:rPr>
                      <w:rFonts w:hint="default" w:ascii="Times New Roman" w:hAnsi="Times New Roman" w:cs="Times New Roman"/>
                      <w:color w:val="auto"/>
                      <w:sz w:val="18"/>
                      <w:szCs w:val="21"/>
                      <w:lang w:val="en-US"/>
                    </w:rPr>
                  </w:pPr>
                  <w:r>
                    <w:rPr>
                      <w:rFonts w:hint="eastAsia" w:ascii="Times New Roman" w:hAnsi="Times New Roman" w:cs="Times New Roman"/>
                      <w:color w:val="auto"/>
                      <w:sz w:val="18"/>
                      <w:szCs w:val="21"/>
                      <w:lang w:val="en-US" w:eastAsia="zh-CN"/>
                    </w:rPr>
                    <w:t>本</w:t>
                  </w:r>
                  <w:r>
                    <w:rPr>
                      <w:rFonts w:hint="eastAsia" w:ascii="Times New Roman" w:hAnsi="Times New Roman" w:cs="Times New Roman"/>
                      <w:color w:val="auto"/>
                      <w:sz w:val="18"/>
                      <w:szCs w:val="21"/>
                      <w:lang w:eastAsia="zh-CN"/>
                    </w:rPr>
                    <w:t>项目</w:t>
                  </w:r>
                  <w:r>
                    <w:rPr>
                      <w:rFonts w:hint="default" w:ascii="Times New Roman" w:hAnsi="Times New Roman" w:cs="Times New Roman"/>
                      <w:color w:val="auto"/>
                      <w:sz w:val="18"/>
                      <w:szCs w:val="21"/>
                    </w:rPr>
                    <w:t>所有产污工序均进行密闭、局部封闭、集中收集，通过</w:t>
                  </w:r>
                  <w:r>
                    <w:rPr>
                      <w:rFonts w:hint="default" w:ascii="Times New Roman" w:hAnsi="Times New Roman" w:cs="Times New Roman"/>
                      <w:color w:val="auto"/>
                      <w:sz w:val="18"/>
                      <w:szCs w:val="21"/>
                      <w:lang w:val="en-US"/>
                    </w:rPr>
                    <w:t>环保设施</w:t>
                  </w:r>
                  <w:r>
                    <w:rPr>
                      <w:rFonts w:hint="default" w:ascii="Times New Roman" w:hAnsi="Times New Roman" w:cs="Times New Roman"/>
                      <w:color w:val="auto"/>
                      <w:sz w:val="18"/>
                      <w:szCs w:val="21"/>
                    </w:rPr>
                    <w:t>处理后有组织排放</w:t>
                  </w:r>
                </w:p>
              </w:tc>
            </w:tr>
            <w:tr w14:paraId="1A99A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3" w:hRule="atLeast"/>
                <w:jc w:val="center"/>
              </w:trPr>
              <w:tc>
                <w:tcPr>
                  <w:tcW w:w="582" w:type="dxa"/>
                  <w:vAlign w:val="center"/>
                </w:tcPr>
                <w:p w14:paraId="1C6E20EA">
                  <w:pPr>
                    <w:pStyle w:val="1314"/>
                    <w:jc w:val="center"/>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21"/>
                    </w:rPr>
                    <w:t>7</w:t>
                  </w:r>
                </w:p>
              </w:tc>
              <w:tc>
                <w:tcPr>
                  <w:tcW w:w="5358" w:type="dxa"/>
                  <w:vAlign w:val="center"/>
                </w:tcPr>
                <w:p w14:paraId="73E65258">
                  <w:pPr>
                    <w:pStyle w:val="1314"/>
                    <w:jc w:val="center"/>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21"/>
                    </w:rPr>
                    <w:t>石化、重点有机化工等工业企业应当建立泄漏检测与修复体系，对管道、设备等进行日常检修、维护，及时收集处理泄漏物料。</w:t>
                  </w:r>
                </w:p>
              </w:tc>
              <w:tc>
                <w:tcPr>
                  <w:tcW w:w="2212" w:type="dxa"/>
                  <w:vAlign w:val="center"/>
                </w:tcPr>
                <w:p w14:paraId="62A75E07">
                  <w:pPr>
                    <w:pStyle w:val="1314"/>
                    <w:ind w:left="57"/>
                    <w:jc w:val="center"/>
                    <w:textAlignment w:val="baseline"/>
                    <w:rPr>
                      <w:rFonts w:hint="default" w:ascii="Times New Roman" w:hAnsi="Times New Roman" w:cs="Times New Roman"/>
                      <w:color w:val="auto"/>
                      <w:sz w:val="18"/>
                      <w:szCs w:val="21"/>
                      <w:lang w:val="en-US"/>
                    </w:rPr>
                  </w:pPr>
                  <w:r>
                    <w:rPr>
                      <w:rFonts w:hint="default" w:ascii="Times New Roman" w:hAnsi="Times New Roman" w:cs="Times New Roman"/>
                      <w:color w:val="auto"/>
                      <w:sz w:val="18"/>
                      <w:szCs w:val="21"/>
                    </w:rPr>
                    <w:t>项目不涉及石化、重点有机化工</w:t>
                  </w:r>
                  <w:r>
                    <w:rPr>
                      <w:rFonts w:hint="default" w:ascii="Times New Roman" w:hAnsi="Times New Roman" w:cs="Times New Roman"/>
                      <w:color w:val="auto"/>
                      <w:sz w:val="18"/>
                      <w:szCs w:val="21"/>
                      <w:lang w:val="en-US"/>
                    </w:rPr>
                    <w:t>行业</w:t>
                  </w:r>
                </w:p>
              </w:tc>
            </w:tr>
            <w:tr w14:paraId="7E06B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93" w:hRule="atLeast"/>
                <w:jc w:val="center"/>
              </w:trPr>
              <w:tc>
                <w:tcPr>
                  <w:tcW w:w="582" w:type="dxa"/>
                  <w:vAlign w:val="center"/>
                </w:tcPr>
                <w:p w14:paraId="0398791D">
                  <w:pPr>
                    <w:pStyle w:val="1314"/>
                    <w:jc w:val="center"/>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21"/>
                    </w:rPr>
                    <w:t>8</w:t>
                  </w:r>
                </w:p>
              </w:tc>
              <w:tc>
                <w:tcPr>
                  <w:tcW w:w="5358" w:type="dxa"/>
                  <w:vAlign w:val="center"/>
                </w:tcPr>
                <w:p w14:paraId="28994589">
                  <w:pPr>
                    <w:pStyle w:val="1314"/>
                    <w:ind w:left="129"/>
                    <w:jc w:val="both"/>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21"/>
                    </w:rPr>
                    <w:t>生产、销售、使用含挥发性有机物的原材料和产品的，其挥发性有机物含量应当符合质量标准或者要求。省人民政府质量技术监督部门应当会同环境保护等部门，定期制定、调整低挥发性有机物含量产品目录和高挥发性有机物含量产品目录并向社会公布。列入高挥发性有机物含量产品目录的产品，应当在其包装或者说明中予以标注。</w:t>
                  </w:r>
                </w:p>
              </w:tc>
              <w:tc>
                <w:tcPr>
                  <w:tcW w:w="2212" w:type="dxa"/>
                  <w:vAlign w:val="center"/>
                </w:tcPr>
                <w:p w14:paraId="692A0EFE">
                  <w:pPr>
                    <w:pStyle w:val="1314"/>
                    <w:jc w:val="center"/>
                    <w:textAlignment w:val="baseline"/>
                    <w:rPr>
                      <w:rFonts w:hint="default" w:ascii="Times New Roman" w:hAnsi="Times New Roman" w:eastAsia="等线" w:cs="Times New Roman"/>
                      <w:color w:val="auto"/>
                      <w:sz w:val="18"/>
                      <w:szCs w:val="21"/>
                    </w:rPr>
                  </w:pPr>
                  <w:r>
                    <w:rPr>
                      <w:rFonts w:hint="eastAsia" w:ascii="Times New Roman" w:hAnsi="Times New Roman" w:cs="Times New Roman"/>
                      <w:color w:val="auto"/>
                      <w:sz w:val="18"/>
                      <w:szCs w:val="21"/>
                      <w:lang w:val="en-US" w:eastAsia="zh-CN"/>
                    </w:rPr>
                    <w:t>本</w:t>
                  </w:r>
                  <w:r>
                    <w:rPr>
                      <w:rFonts w:hint="eastAsia" w:ascii="Times New Roman" w:hAnsi="Times New Roman" w:cs="Times New Roman"/>
                      <w:color w:val="auto"/>
                      <w:sz w:val="18"/>
                      <w:szCs w:val="18"/>
                      <w:lang w:val="zh-CN"/>
                    </w:rPr>
                    <w:t>项目</w:t>
                  </w:r>
                  <w:r>
                    <w:rPr>
                      <w:rFonts w:hint="default" w:ascii="Times New Roman" w:hAnsi="Times New Roman" w:cs="Times New Roman"/>
                      <w:color w:val="auto"/>
                      <w:sz w:val="18"/>
                      <w:szCs w:val="18"/>
                      <w:lang w:val="en-US" w:eastAsia="zh-CN"/>
                    </w:rPr>
                    <w:t>不涉及</w:t>
                  </w:r>
                  <w:r>
                    <w:rPr>
                      <w:rFonts w:hint="default" w:ascii="Times New Roman" w:hAnsi="Times New Roman" w:cs="Times New Roman"/>
                      <w:color w:val="auto"/>
                      <w:sz w:val="18"/>
                      <w:szCs w:val="21"/>
                    </w:rPr>
                    <w:t>挥发性有机物</w:t>
                  </w:r>
                  <w:r>
                    <w:rPr>
                      <w:rFonts w:hint="default" w:ascii="Times New Roman" w:hAnsi="Times New Roman" w:cs="Times New Roman"/>
                      <w:color w:val="auto"/>
                      <w:sz w:val="18"/>
                      <w:szCs w:val="18"/>
                      <w:lang w:val="en-US" w:eastAsia="zh-CN"/>
                    </w:rPr>
                    <w:t>。</w:t>
                  </w:r>
                </w:p>
              </w:tc>
            </w:tr>
            <w:tr w14:paraId="3D410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33" w:hRule="atLeast"/>
                <w:jc w:val="center"/>
              </w:trPr>
              <w:tc>
                <w:tcPr>
                  <w:tcW w:w="582" w:type="dxa"/>
                  <w:vAlign w:val="center"/>
                </w:tcPr>
                <w:p w14:paraId="544921DC">
                  <w:pPr>
                    <w:pStyle w:val="1314"/>
                    <w:jc w:val="center"/>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21"/>
                    </w:rPr>
                    <w:t>9</w:t>
                  </w:r>
                </w:p>
              </w:tc>
              <w:tc>
                <w:tcPr>
                  <w:tcW w:w="5358" w:type="dxa"/>
                  <w:vAlign w:val="center"/>
                </w:tcPr>
                <w:p w14:paraId="5061790B">
                  <w:pPr>
                    <w:pStyle w:val="1314"/>
                    <w:ind w:left="129"/>
                    <w:jc w:val="both"/>
                    <w:textAlignment w:val="baseline"/>
                    <w:rPr>
                      <w:rFonts w:hint="default" w:ascii="Times New Roman" w:hAnsi="Times New Roman" w:cs="Times New Roman"/>
                      <w:color w:val="auto"/>
                      <w:sz w:val="18"/>
                      <w:szCs w:val="21"/>
                    </w:rPr>
                  </w:pPr>
                  <w:r>
                    <w:rPr>
                      <w:rFonts w:hint="default" w:ascii="Times New Roman" w:hAnsi="Times New Roman" w:cs="Times New Roman"/>
                      <w:color w:val="auto"/>
                      <w:sz w:val="18"/>
                      <w:szCs w:val="21"/>
                    </w:rPr>
                    <w:t>向大气排放恶臭气体的排污单位以及垃圾处置场、污水处理厂，应当按照规定设置合理的防护距离，安装净化装置或者采取其他措施减少恶臭气体排放。</w:t>
                  </w:r>
                </w:p>
              </w:tc>
              <w:tc>
                <w:tcPr>
                  <w:tcW w:w="2212" w:type="dxa"/>
                  <w:vAlign w:val="center"/>
                </w:tcPr>
                <w:p w14:paraId="765C19AB">
                  <w:pPr>
                    <w:pStyle w:val="1314"/>
                    <w:ind w:right="57"/>
                    <w:jc w:val="center"/>
                    <w:textAlignment w:val="baseline"/>
                    <w:rPr>
                      <w:rFonts w:hint="default" w:ascii="Times New Roman" w:hAnsi="Times New Roman" w:eastAsia="宋体" w:cs="Times New Roman"/>
                      <w:color w:val="auto"/>
                      <w:sz w:val="18"/>
                      <w:szCs w:val="21"/>
                      <w:lang w:val="en-US" w:eastAsia="zh-CN"/>
                    </w:rPr>
                  </w:pPr>
                  <w:r>
                    <w:rPr>
                      <w:rFonts w:hint="default" w:ascii="Times New Roman" w:hAnsi="Times New Roman" w:cs="Times New Roman"/>
                      <w:color w:val="auto"/>
                      <w:sz w:val="18"/>
                      <w:szCs w:val="21"/>
                    </w:rPr>
                    <w:t>项目</w:t>
                  </w:r>
                  <w:r>
                    <w:rPr>
                      <w:rFonts w:hint="default" w:ascii="Times New Roman" w:hAnsi="Times New Roman" w:cs="Times New Roman"/>
                      <w:color w:val="auto"/>
                      <w:sz w:val="18"/>
                      <w:szCs w:val="21"/>
                      <w:lang w:val="en-US"/>
                    </w:rPr>
                    <w:t>不涉及</w:t>
                  </w:r>
                  <w:r>
                    <w:rPr>
                      <w:rFonts w:hint="default" w:ascii="Times New Roman" w:hAnsi="Times New Roman" w:cs="Times New Roman"/>
                      <w:color w:val="auto"/>
                      <w:sz w:val="18"/>
                      <w:szCs w:val="21"/>
                    </w:rPr>
                    <w:t>垃圾处置场、污水处理厂</w:t>
                  </w:r>
                  <w:r>
                    <w:rPr>
                      <w:rFonts w:hint="default" w:ascii="Times New Roman" w:hAnsi="Times New Roman" w:cs="Times New Roman"/>
                      <w:color w:val="auto"/>
                      <w:sz w:val="18"/>
                      <w:szCs w:val="21"/>
                      <w:lang w:val="en-US"/>
                    </w:rPr>
                    <w:t>，</w:t>
                  </w:r>
                  <w:r>
                    <w:rPr>
                      <w:rFonts w:hint="eastAsia" w:ascii="Times New Roman" w:hAnsi="Times New Roman" w:cs="Times New Roman"/>
                      <w:color w:val="auto"/>
                      <w:sz w:val="18"/>
                      <w:szCs w:val="21"/>
                      <w:lang w:val="en-US" w:eastAsia="zh-CN"/>
                    </w:rPr>
                    <w:t>造粒和烘干过程产生的氨、臭气浓度经收集，水喷淋处理后有组织排放</w:t>
                  </w:r>
                </w:p>
              </w:tc>
            </w:tr>
          </w:tbl>
          <w:p w14:paraId="7EEED0BA">
            <w:pPr>
              <w:tabs>
                <w:tab w:val="left" w:pos="5427"/>
              </w:tabs>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由上表可知，项目符合《山东省大气污染防治条例》的要求。</w:t>
            </w:r>
          </w:p>
          <w:p w14:paraId="5E9246E2">
            <w:pPr>
              <w:tabs>
                <w:tab w:val="left" w:pos="5427"/>
              </w:tabs>
              <w:spacing w:line="360" w:lineRule="auto"/>
              <w:ind w:firstLine="42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（4）《山东省工业企业无组织排放分行业管控指导意见》鲁环发[2020]30 号的符合性分析</w:t>
            </w:r>
          </w:p>
          <w:p w14:paraId="301AF96B">
            <w:pPr>
              <w:tabs>
                <w:tab w:val="left" w:pos="5427"/>
              </w:tabs>
              <w:spacing w:line="360" w:lineRule="auto"/>
              <w:ind w:firstLine="420" w:firstLineChars="200"/>
              <w:rPr>
                <w:rFonts w:hint="default" w:ascii="Times New Roman" w:hAnsi="Times New Roman" w:cs="Times New Roman"/>
                <w:bCs/>
                <w:color w:val="auto"/>
              </w:rPr>
            </w:pPr>
            <w:r>
              <w:rPr>
                <w:rFonts w:hint="eastAsia" w:cs="Times New Roman"/>
                <w:bCs/>
                <w:color w:val="auto"/>
                <w:lang w:val="en-US" w:eastAsia="zh-CN"/>
              </w:rPr>
              <w:t>本</w:t>
            </w:r>
            <w:r>
              <w:rPr>
                <w:rFonts w:hint="eastAsia" w:cs="Times New Roman"/>
                <w:bCs/>
                <w:color w:val="auto"/>
                <w:lang w:eastAsia="zh-CN"/>
              </w:rPr>
              <w:t>项目</w:t>
            </w:r>
            <w:r>
              <w:rPr>
                <w:rFonts w:hint="default" w:ascii="Times New Roman" w:hAnsi="Times New Roman" w:cs="Times New Roman"/>
                <w:bCs/>
                <w:color w:val="auto"/>
              </w:rPr>
              <w:t>与鲁环发[2020]30 号的符合性分析见下表。</w:t>
            </w:r>
          </w:p>
          <w:p w14:paraId="2365D648">
            <w:pPr>
              <w:pStyle w:val="8"/>
              <w:spacing w:line="360" w:lineRule="auto"/>
              <w:ind w:firstLine="422"/>
              <w:jc w:val="center"/>
              <w:rPr>
                <w:rFonts w:hint="default" w:ascii="Times New Roman" w:hAnsi="Times New Roman" w:cs="Times New Roman"/>
                <w:color w:val="auto"/>
                <w:lang w:eastAsia="zh"/>
              </w:rPr>
            </w:pPr>
            <w:r>
              <w:rPr>
                <w:rFonts w:hint="default" w:ascii="Times New Roman" w:hAnsi="Times New Roman" w:cs="Times New Roman"/>
                <w:b/>
                <w:color w:val="auto"/>
              </w:rPr>
              <w:t>表1-</w:t>
            </w:r>
            <w:r>
              <w:rPr>
                <w:rFonts w:hint="eastAsia" w:cs="Times New Roman"/>
                <w:b/>
                <w:color w:val="auto"/>
                <w:lang w:val="en-US" w:eastAsia="zh-CN"/>
              </w:rPr>
              <w:t>7</w:t>
            </w:r>
            <w:r>
              <w:rPr>
                <w:rFonts w:hint="default" w:ascii="Times New Roman" w:hAnsi="Times New Roman" w:cs="Times New Roman"/>
                <w:b/>
                <w:color w:val="auto"/>
              </w:rPr>
              <w:t>项目与鲁环发[2020]30 号符合情况分析</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86"/>
              <w:gridCol w:w="4453"/>
              <w:gridCol w:w="2515"/>
              <w:gridCol w:w="698"/>
            </w:tblGrid>
            <w:tr w14:paraId="7C313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Align w:val="center"/>
                </w:tcPr>
                <w:p w14:paraId="39DFC2C8">
                  <w:pPr>
                    <w:pStyle w:val="1314"/>
                    <w:ind w:right="24"/>
                    <w:jc w:val="center"/>
                    <w:textAlignment w:val="baseline"/>
                    <w:rPr>
                      <w:rFonts w:hint="default" w:ascii="Times New Roman" w:hAnsi="Times New Roman" w:cs="Times New Roman"/>
                      <w:b/>
                      <w:bCs/>
                      <w:color w:val="auto"/>
                      <w:sz w:val="18"/>
                      <w:szCs w:val="21"/>
                    </w:rPr>
                  </w:pPr>
                  <w:r>
                    <w:rPr>
                      <w:rFonts w:hint="default" w:ascii="Times New Roman" w:hAnsi="Times New Roman" w:cs="Times New Roman"/>
                      <w:b/>
                      <w:bCs/>
                      <w:color w:val="auto"/>
                      <w:sz w:val="18"/>
                      <w:szCs w:val="21"/>
                    </w:rPr>
                    <w:t>分类</w:t>
                  </w:r>
                </w:p>
              </w:tc>
              <w:tc>
                <w:tcPr>
                  <w:tcW w:w="4453" w:type="dxa"/>
                  <w:vAlign w:val="center"/>
                </w:tcPr>
                <w:p w14:paraId="5C8C813D">
                  <w:pPr>
                    <w:pStyle w:val="1314"/>
                    <w:ind w:left="19"/>
                    <w:jc w:val="center"/>
                    <w:textAlignment w:val="baseline"/>
                    <w:rPr>
                      <w:rFonts w:hint="default" w:ascii="Times New Roman" w:hAnsi="Times New Roman" w:cs="Times New Roman"/>
                      <w:b/>
                      <w:bCs/>
                      <w:color w:val="auto"/>
                      <w:sz w:val="18"/>
                      <w:szCs w:val="21"/>
                    </w:rPr>
                  </w:pPr>
                  <w:r>
                    <w:rPr>
                      <w:rFonts w:hint="default" w:ascii="Times New Roman" w:hAnsi="Times New Roman" w:cs="Times New Roman"/>
                      <w:b/>
                      <w:bCs/>
                      <w:color w:val="auto"/>
                      <w:sz w:val="18"/>
                      <w:szCs w:val="21"/>
                    </w:rPr>
                    <w:t>文件要求</w:t>
                  </w:r>
                </w:p>
              </w:tc>
              <w:tc>
                <w:tcPr>
                  <w:tcW w:w="2515" w:type="dxa"/>
                  <w:vAlign w:val="center"/>
                </w:tcPr>
                <w:p w14:paraId="2B060E41">
                  <w:pPr>
                    <w:pStyle w:val="1314"/>
                    <w:ind w:left="19"/>
                    <w:jc w:val="center"/>
                    <w:textAlignment w:val="baseline"/>
                    <w:rPr>
                      <w:rFonts w:hint="default" w:ascii="Times New Roman" w:hAnsi="Times New Roman" w:cs="Times New Roman"/>
                      <w:b/>
                      <w:bCs/>
                      <w:color w:val="auto"/>
                      <w:sz w:val="18"/>
                      <w:szCs w:val="21"/>
                    </w:rPr>
                  </w:pPr>
                  <w:r>
                    <w:rPr>
                      <w:rFonts w:hint="eastAsia" w:ascii="Times New Roman" w:hAnsi="Times New Roman" w:cs="Times New Roman"/>
                      <w:b/>
                      <w:bCs/>
                      <w:color w:val="auto"/>
                      <w:sz w:val="18"/>
                      <w:szCs w:val="21"/>
                      <w:lang w:eastAsia="zh-CN"/>
                    </w:rPr>
                    <w:t>项目</w:t>
                  </w:r>
                  <w:r>
                    <w:rPr>
                      <w:rFonts w:hint="default" w:ascii="Times New Roman" w:hAnsi="Times New Roman" w:cs="Times New Roman"/>
                      <w:b/>
                      <w:bCs/>
                      <w:color w:val="auto"/>
                      <w:sz w:val="18"/>
                      <w:szCs w:val="21"/>
                    </w:rPr>
                    <w:t>情况</w:t>
                  </w:r>
                </w:p>
              </w:tc>
              <w:tc>
                <w:tcPr>
                  <w:tcW w:w="698" w:type="dxa"/>
                  <w:vAlign w:val="center"/>
                </w:tcPr>
                <w:p w14:paraId="1EA4A828">
                  <w:pPr>
                    <w:pStyle w:val="1314"/>
                    <w:ind w:left="48"/>
                    <w:jc w:val="center"/>
                    <w:textAlignment w:val="baseline"/>
                    <w:rPr>
                      <w:rFonts w:hint="default" w:ascii="Times New Roman" w:hAnsi="Times New Roman" w:cs="Times New Roman"/>
                      <w:b/>
                      <w:bCs/>
                      <w:color w:val="auto"/>
                      <w:sz w:val="18"/>
                      <w:szCs w:val="21"/>
                    </w:rPr>
                  </w:pPr>
                  <w:r>
                    <w:rPr>
                      <w:rFonts w:hint="default" w:ascii="Times New Roman" w:hAnsi="Times New Roman" w:cs="Times New Roman"/>
                      <w:b/>
                      <w:bCs/>
                      <w:color w:val="auto"/>
                      <w:sz w:val="18"/>
                      <w:szCs w:val="21"/>
                    </w:rPr>
                    <w:t>符合性</w:t>
                  </w:r>
                </w:p>
              </w:tc>
            </w:tr>
            <w:tr w14:paraId="0D171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Merge w:val="restart"/>
                  <w:vAlign w:val="center"/>
                </w:tcPr>
                <w:p w14:paraId="35740E12">
                  <w:pPr>
                    <w:pStyle w:val="1314"/>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管控要求</w:t>
                  </w:r>
                </w:p>
              </w:tc>
              <w:tc>
                <w:tcPr>
                  <w:tcW w:w="4453" w:type="dxa"/>
                  <w:vAlign w:val="center"/>
                </w:tcPr>
                <w:p w14:paraId="7ABA34FC">
                  <w:pPr>
                    <w:pStyle w:val="1314"/>
                    <w:ind w:left="76"/>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加强物料运输、装卸环节管控。煤粉、粉煤灰、石灰、除尘灰、脱硫灰、原料药等粉状物料采用管状带式输送机、气力输送、真空罐车、密闭车厢等密闭方式运输；砂石、矿石、煤、铁精矿、脱硫石膏等块状、粒状或粘湿物料采用皮带通廊、封闭车厢等封闭方式运输或苫盖严密，防止沿途抛洒和飞扬。料场或厂区出入口配备车辆清洗装置或采取其他控制措施，确保出场车辆清洁、运输不起尘。厂区道路硬化，平整无破损、无积尘，厂区无裸露空地，闲置裸露空地及时绿化或硬化，厂区道路定期洒水清扫。块状、粒状或粘湿物料直接卸落至储存料场，装卸过程配备有效抑尘、集尘除尘设施，粉状物料装卸口配备密封防尘装置且不得直接卸落到地面。挥发性有机液体装车采用顶部浸没式或底部装载，严禁喷溅，运输相关产品的车辆具备油气回收接口。</w:t>
                  </w:r>
                </w:p>
              </w:tc>
              <w:tc>
                <w:tcPr>
                  <w:tcW w:w="2515" w:type="dxa"/>
                  <w:vAlign w:val="center"/>
                </w:tcPr>
                <w:p w14:paraId="2D04692C">
                  <w:pPr>
                    <w:pStyle w:val="1314"/>
                    <w:ind w:left="72"/>
                    <w:jc w:val="center"/>
                    <w:textAlignment w:val="baseline"/>
                    <w:rPr>
                      <w:rFonts w:hint="eastAsia" w:ascii="Times New Roman" w:hAnsi="Times New Roman" w:eastAsia="宋体" w:cs="Times New Roman"/>
                      <w:color w:val="FF0000"/>
                      <w:sz w:val="18"/>
                      <w:szCs w:val="21"/>
                      <w:highlight w:val="yellow"/>
                      <w:lang w:val="en-US" w:eastAsia="zh-CN"/>
                    </w:rPr>
                  </w:pPr>
                  <w:r>
                    <w:rPr>
                      <w:rFonts w:hint="eastAsia" w:ascii="Times New Roman" w:hAnsi="Times New Roman" w:cs="Times New Roman"/>
                      <w:color w:val="auto"/>
                      <w:sz w:val="18"/>
                      <w:szCs w:val="21"/>
                      <w:highlight w:val="none"/>
                      <w:lang w:val="en-US" w:eastAsia="zh-CN"/>
                    </w:rPr>
                    <w:t>项目硫酸铵部分为散装，堆存在仓库中，仓库为密闭，且堆存物料和运输车辆上方均设置</w:t>
                  </w:r>
                  <w:r>
                    <w:rPr>
                      <w:rFonts w:hint="default" w:ascii="Times New Roman" w:hAnsi="Times New Roman" w:cs="Times New Roman"/>
                      <w:color w:val="auto"/>
                      <w:sz w:val="18"/>
                      <w:szCs w:val="18"/>
                      <w:highlight w:val="none"/>
                    </w:rPr>
                    <w:t>抑尘网</w:t>
                  </w:r>
                  <w:r>
                    <w:rPr>
                      <w:rFonts w:hint="eastAsia" w:ascii="Times New Roman" w:hAnsi="Times New Roman" w:cs="Times New Roman"/>
                      <w:color w:val="auto"/>
                      <w:sz w:val="18"/>
                      <w:szCs w:val="21"/>
                      <w:highlight w:val="none"/>
                      <w:lang w:val="en-US" w:eastAsia="zh-CN"/>
                    </w:rPr>
                    <w:t>。其他物料均为袋装，物料输送过程为皮带密闭输送</w:t>
                  </w:r>
                  <w:r>
                    <w:rPr>
                      <w:rFonts w:hint="default" w:ascii="Times New Roman" w:hAnsi="Times New Roman" w:cs="Times New Roman"/>
                      <w:color w:val="auto"/>
                      <w:sz w:val="18"/>
                      <w:szCs w:val="21"/>
                      <w:highlight w:val="none"/>
                      <w:lang w:val="en-US" w:eastAsia="zh-CN"/>
                    </w:rPr>
                    <w:t>。</w:t>
                  </w:r>
                  <w:r>
                    <w:rPr>
                      <w:rFonts w:hint="eastAsia" w:ascii="Times New Roman" w:hAnsi="Times New Roman" w:cs="Times New Roman"/>
                      <w:color w:val="auto"/>
                      <w:sz w:val="18"/>
                      <w:szCs w:val="21"/>
                      <w:highlight w:val="none"/>
                      <w:lang w:val="en-US" w:eastAsia="zh-CN"/>
                    </w:rPr>
                    <w:t>不涉及</w:t>
                  </w:r>
                  <w:r>
                    <w:rPr>
                      <w:rFonts w:hint="default" w:ascii="Times New Roman" w:hAnsi="Times New Roman" w:cs="Times New Roman"/>
                      <w:color w:val="auto"/>
                      <w:sz w:val="18"/>
                      <w:szCs w:val="18"/>
                    </w:rPr>
                    <w:t>挥发性有机液体</w:t>
                  </w:r>
                  <w:r>
                    <w:rPr>
                      <w:rFonts w:hint="eastAsia" w:ascii="Times New Roman" w:hAnsi="Times New Roman" w:cs="Times New Roman"/>
                      <w:color w:val="auto"/>
                      <w:sz w:val="18"/>
                      <w:szCs w:val="18"/>
                      <w:lang w:eastAsia="zh-CN"/>
                    </w:rPr>
                    <w:t>。</w:t>
                  </w:r>
                </w:p>
              </w:tc>
              <w:tc>
                <w:tcPr>
                  <w:tcW w:w="698" w:type="dxa"/>
                  <w:vAlign w:val="center"/>
                </w:tcPr>
                <w:p w14:paraId="65C61B11">
                  <w:pPr>
                    <w:pStyle w:val="1314"/>
                    <w:jc w:val="center"/>
                    <w:textAlignment w:val="baseline"/>
                    <w:rPr>
                      <w:rFonts w:hint="default" w:ascii="Times New Roman" w:hAnsi="Times New Roman" w:cs="Times New Roman"/>
                      <w:color w:val="auto"/>
                      <w:sz w:val="18"/>
                      <w:szCs w:val="21"/>
                      <w:highlight w:val="none"/>
                    </w:rPr>
                  </w:pPr>
                  <w:r>
                    <w:rPr>
                      <w:rFonts w:hint="default" w:ascii="Times New Roman" w:hAnsi="Times New Roman" w:cs="Times New Roman"/>
                      <w:color w:val="auto"/>
                      <w:sz w:val="18"/>
                      <w:szCs w:val="21"/>
                      <w:highlight w:val="none"/>
                    </w:rPr>
                    <w:t>符合</w:t>
                  </w:r>
                </w:p>
              </w:tc>
            </w:tr>
            <w:tr w14:paraId="20D8D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Merge w:val="continue"/>
                  <w:vAlign w:val="center"/>
                </w:tcPr>
                <w:p w14:paraId="52BE1A0B">
                  <w:pPr>
                    <w:pStyle w:val="1314"/>
                    <w:jc w:val="center"/>
                    <w:textAlignment w:val="baseline"/>
                    <w:rPr>
                      <w:rFonts w:hint="default" w:ascii="Times New Roman" w:hAnsi="Times New Roman" w:cs="Times New Roman"/>
                      <w:color w:val="auto"/>
                      <w:sz w:val="18"/>
                      <w:szCs w:val="21"/>
                    </w:rPr>
                  </w:pPr>
                </w:p>
              </w:tc>
              <w:tc>
                <w:tcPr>
                  <w:tcW w:w="4453" w:type="dxa"/>
                  <w:vAlign w:val="center"/>
                </w:tcPr>
                <w:p w14:paraId="663B011D">
                  <w:pPr>
                    <w:pStyle w:val="1314"/>
                    <w:ind w:left="76"/>
                    <w:jc w:val="center"/>
                    <w:textAlignment w:val="baseline"/>
                    <w:rPr>
                      <w:rFonts w:hint="default" w:ascii="Times New Roman" w:hAnsi="Times New Roman" w:cs="Times New Roman"/>
                      <w:color w:val="auto"/>
                      <w:sz w:val="18"/>
                      <w:szCs w:val="21"/>
                      <w:highlight w:val="none"/>
                    </w:rPr>
                  </w:pPr>
                  <w:r>
                    <w:rPr>
                      <w:rFonts w:hint="default" w:ascii="Times New Roman" w:hAnsi="Times New Roman" w:cs="Times New Roman"/>
                      <w:color w:val="auto"/>
                      <w:sz w:val="18"/>
                      <w:szCs w:val="18"/>
                      <w:highlight w:val="none"/>
                    </w:rPr>
                    <w:t>2、加强物料储存、输送环节管控。煤粉、粉煤灰、石灰、除尘灰、脱硫灰、原料药等粉状物料采用料仓、储罐、容器、包装袋等方式密闭储存，料仓、储罐配置高效除尘设施；采用管状带式输送机、气力输送、真空罐车、密闭车辆等方式输送。砂石、矿石、煤、铁精矿、脱硫石膏等块状、粒状或粘湿物料采用密闭料仓、封闭料棚或建设防风抑尘网等方式进行规范储存，封闭料棚和露天料场内设有喷淋装置，喷淋范围覆盖整个料堆。所储存物料对含水率有严格要求或遇水发生变化的，在料场内安装有效集尘除尘设施。封闭料棚进出口安装封闭性良好且便于开关的卷帘门、推拉门或自动感应门等，无车辆通过时将门关闭。防风抑尘网高度高于料场堆存高度，并对堆存物料进行严密苫盖。块状、粒状或粘湿物料上料口设置在封闭料棚内，采用管状带式输送机、皮带通廊、封闭车辆等方式输送。物料上料、输送、转接、出料和扒渣等过程中的产尘点采取有效抑尘、集尘除尘措施。含挥发性有机物（VOCs）物料储存于密闭容器、包装袋，高效密封储罐，封闭式储库、料仓等；封闭式储库、料仓设置VOCs有效收集治理设施。含VOCs物料输送，采用密闭管道或密闭容器、罐车等。</w:t>
                  </w:r>
                </w:p>
              </w:tc>
              <w:tc>
                <w:tcPr>
                  <w:tcW w:w="2515" w:type="dxa"/>
                  <w:vAlign w:val="center"/>
                </w:tcPr>
                <w:p w14:paraId="17CF316B">
                  <w:pPr>
                    <w:pStyle w:val="1314"/>
                    <w:ind w:left="72"/>
                    <w:jc w:val="center"/>
                    <w:textAlignment w:val="baseline"/>
                    <w:rPr>
                      <w:rFonts w:hint="default" w:ascii="Times New Roman" w:hAnsi="Times New Roman" w:eastAsia="宋体" w:cs="Times New Roman"/>
                      <w:color w:val="FF0000"/>
                      <w:sz w:val="18"/>
                      <w:szCs w:val="21"/>
                      <w:highlight w:val="none"/>
                      <w:lang w:val="en-US" w:eastAsia="zh-CN"/>
                    </w:rPr>
                  </w:pPr>
                  <w:r>
                    <w:rPr>
                      <w:rFonts w:hint="eastAsia" w:ascii="Times New Roman" w:hAnsi="Times New Roman" w:cs="Times New Roman"/>
                      <w:color w:val="auto"/>
                      <w:sz w:val="18"/>
                      <w:szCs w:val="21"/>
                      <w:highlight w:val="none"/>
                      <w:lang w:val="en-US" w:eastAsia="zh-CN"/>
                    </w:rPr>
                    <w:t>项目硫酸铵部分为散装，堆存在仓库中，仓库为密闭，且堆存物料和运输车辆上方均设置</w:t>
                  </w:r>
                  <w:r>
                    <w:rPr>
                      <w:rFonts w:hint="default" w:ascii="Times New Roman" w:hAnsi="Times New Roman" w:cs="Times New Roman"/>
                      <w:color w:val="auto"/>
                      <w:sz w:val="18"/>
                      <w:szCs w:val="18"/>
                      <w:highlight w:val="none"/>
                    </w:rPr>
                    <w:t>抑尘网</w:t>
                  </w:r>
                  <w:r>
                    <w:rPr>
                      <w:rFonts w:hint="eastAsia" w:ascii="Times New Roman" w:hAnsi="Times New Roman" w:cs="Times New Roman"/>
                      <w:color w:val="auto"/>
                      <w:sz w:val="18"/>
                      <w:szCs w:val="21"/>
                      <w:highlight w:val="none"/>
                      <w:lang w:val="en-US" w:eastAsia="zh-CN"/>
                    </w:rPr>
                    <w:t>。其他物料均为袋装，物料输送过程为皮带密闭输送</w:t>
                  </w:r>
                  <w:r>
                    <w:rPr>
                      <w:rFonts w:hint="default" w:ascii="Times New Roman" w:hAnsi="Times New Roman" w:cs="Times New Roman"/>
                      <w:color w:val="auto"/>
                      <w:sz w:val="18"/>
                      <w:szCs w:val="21"/>
                      <w:highlight w:val="none"/>
                      <w:lang w:val="en-US" w:eastAsia="zh-CN"/>
                    </w:rPr>
                    <w:t>。</w:t>
                  </w:r>
                  <w:r>
                    <w:rPr>
                      <w:rFonts w:hint="eastAsia" w:ascii="Times New Roman" w:hAnsi="Times New Roman" w:cs="Times New Roman"/>
                      <w:color w:val="auto"/>
                      <w:sz w:val="18"/>
                      <w:szCs w:val="21"/>
                      <w:highlight w:val="none"/>
                      <w:lang w:val="en-US" w:eastAsia="zh-CN"/>
                    </w:rPr>
                    <w:t>产品储存在密闭料仓中，包装工序设置集气罩，经布袋除尘器处理后由15m高排气筒有组织排放。不涉及</w:t>
                  </w:r>
                  <w:r>
                    <w:rPr>
                      <w:rFonts w:hint="default" w:ascii="Times New Roman" w:hAnsi="Times New Roman" w:cs="Times New Roman"/>
                      <w:color w:val="auto"/>
                      <w:sz w:val="18"/>
                      <w:szCs w:val="18"/>
                    </w:rPr>
                    <w:t>挥发性有机液体</w:t>
                  </w:r>
                  <w:r>
                    <w:rPr>
                      <w:rFonts w:hint="eastAsia" w:ascii="Times New Roman" w:hAnsi="Times New Roman" w:cs="Times New Roman"/>
                      <w:color w:val="auto"/>
                      <w:sz w:val="18"/>
                      <w:szCs w:val="21"/>
                      <w:highlight w:val="none"/>
                      <w:lang w:val="en-US" w:eastAsia="zh-CN"/>
                    </w:rPr>
                    <w:t>。</w:t>
                  </w:r>
                </w:p>
              </w:tc>
              <w:tc>
                <w:tcPr>
                  <w:tcW w:w="698" w:type="dxa"/>
                  <w:vAlign w:val="center"/>
                </w:tcPr>
                <w:p w14:paraId="2DECAC2D">
                  <w:pPr>
                    <w:pStyle w:val="1314"/>
                    <w:jc w:val="center"/>
                    <w:textAlignment w:val="baseline"/>
                    <w:rPr>
                      <w:rFonts w:hint="default" w:ascii="Times New Roman" w:hAnsi="Times New Roman" w:cs="Times New Roman"/>
                      <w:color w:val="auto"/>
                      <w:sz w:val="18"/>
                      <w:szCs w:val="21"/>
                      <w:highlight w:val="none"/>
                    </w:rPr>
                  </w:pPr>
                  <w:r>
                    <w:rPr>
                      <w:rFonts w:hint="default" w:ascii="Times New Roman" w:hAnsi="Times New Roman" w:cs="Times New Roman"/>
                      <w:color w:val="auto"/>
                      <w:sz w:val="18"/>
                      <w:szCs w:val="21"/>
                      <w:highlight w:val="none"/>
                    </w:rPr>
                    <w:t>符合</w:t>
                  </w:r>
                </w:p>
              </w:tc>
            </w:tr>
          </w:tbl>
          <w:p w14:paraId="1C04449C">
            <w:pPr>
              <w:adjustRightInd w:val="0"/>
              <w:snapToGrid w:val="0"/>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（5）与《山东省“两高”项目管理目录》（202</w:t>
            </w:r>
            <w:r>
              <w:rPr>
                <w:rFonts w:hint="default" w:ascii="Times New Roman" w:hAnsi="Times New Roman" w:cs="Times New Roman"/>
                <w:color w:val="auto"/>
                <w:lang w:val="en-US" w:eastAsia="zh-CN"/>
              </w:rPr>
              <w:t>3</w:t>
            </w:r>
            <w:r>
              <w:rPr>
                <w:rFonts w:hint="default" w:ascii="Times New Roman" w:hAnsi="Times New Roman" w:cs="Times New Roman"/>
                <w:color w:val="auto"/>
              </w:rPr>
              <w:t>年版）的符合性</w:t>
            </w:r>
          </w:p>
          <w:p w14:paraId="24DEC955">
            <w:pPr>
              <w:pStyle w:val="8"/>
              <w:spacing w:line="360" w:lineRule="auto"/>
              <w:ind w:firstLine="422"/>
              <w:jc w:val="center"/>
              <w:rPr>
                <w:rFonts w:hint="default" w:ascii="Times New Roman" w:hAnsi="Times New Roman" w:cs="Times New Roman"/>
                <w:b/>
                <w:color w:val="auto"/>
              </w:rPr>
            </w:pPr>
            <w:r>
              <w:rPr>
                <w:rFonts w:hint="default" w:ascii="Times New Roman" w:hAnsi="Times New Roman" w:cs="Times New Roman"/>
                <w:b/>
                <w:color w:val="auto"/>
              </w:rPr>
              <w:t>表1-</w:t>
            </w:r>
            <w:r>
              <w:rPr>
                <w:rFonts w:hint="eastAsia" w:cs="Times New Roman"/>
                <w:b/>
                <w:color w:val="auto"/>
                <w:lang w:val="en-US" w:eastAsia="zh-CN"/>
              </w:rPr>
              <w:t>8</w:t>
            </w:r>
            <w:r>
              <w:rPr>
                <w:rFonts w:hint="default" w:ascii="Times New Roman" w:hAnsi="Times New Roman" w:cs="Times New Roman"/>
                <w:b/>
                <w:color w:val="auto"/>
              </w:rPr>
              <w:t>与《山东省“两高”项目管理目录》（202</w:t>
            </w:r>
            <w:r>
              <w:rPr>
                <w:rFonts w:hint="default" w:ascii="Times New Roman" w:hAnsi="Times New Roman" w:cs="Times New Roman"/>
                <w:b/>
                <w:color w:val="auto"/>
                <w:lang w:val="en-US" w:eastAsia="zh-CN"/>
              </w:rPr>
              <w:t>3</w:t>
            </w:r>
            <w:r>
              <w:rPr>
                <w:rFonts w:hint="default" w:ascii="Times New Roman" w:hAnsi="Times New Roman" w:cs="Times New Roman"/>
                <w:b/>
                <w:color w:val="auto"/>
              </w:rPr>
              <w:t>年版）符合性分析</w:t>
            </w:r>
          </w:p>
          <w:tbl>
            <w:tblPr>
              <w:tblStyle w:val="81"/>
              <w:tblW w:w="5000" w:type="pct"/>
              <w:tblInd w:w="0" w:type="dxa"/>
              <w:tblLayout w:type="autofit"/>
              <w:tblCellMar>
                <w:top w:w="0" w:type="dxa"/>
                <w:left w:w="0" w:type="dxa"/>
                <w:bottom w:w="0" w:type="dxa"/>
                <w:right w:w="0" w:type="dxa"/>
              </w:tblCellMar>
            </w:tblPr>
            <w:tblGrid>
              <w:gridCol w:w="566"/>
              <w:gridCol w:w="987"/>
              <w:gridCol w:w="2964"/>
              <w:gridCol w:w="2059"/>
              <w:gridCol w:w="1586"/>
            </w:tblGrid>
            <w:tr w14:paraId="011AF629">
              <w:tblPrEx>
                <w:tblCellMar>
                  <w:top w:w="0" w:type="dxa"/>
                  <w:left w:w="0" w:type="dxa"/>
                  <w:bottom w:w="0" w:type="dxa"/>
                  <w:right w:w="0" w:type="dxa"/>
                </w:tblCellMar>
              </w:tblPrEx>
              <w:trPr>
                <w:trHeight w:val="23" w:hRule="atLeast"/>
              </w:trPr>
              <w:tc>
                <w:tcPr>
                  <w:tcW w:w="35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D884B72">
                  <w:pPr>
                    <w:widowControl/>
                    <w:spacing w:line="240" w:lineRule="auto"/>
                    <w:jc w:val="center"/>
                    <w:textAlignment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kern w:val="0"/>
                      <w:sz w:val="18"/>
                      <w:szCs w:val="18"/>
                      <w:lang w:bidi="ar"/>
                    </w:rPr>
                    <w:t>序号</w:t>
                  </w:r>
                </w:p>
              </w:tc>
              <w:tc>
                <w:tcPr>
                  <w:tcW w:w="61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E953E08">
                  <w:pPr>
                    <w:widowControl/>
                    <w:spacing w:line="240" w:lineRule="auto"/>
                    <w:jc w:val="center"/>
                    <w:textAlignment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kern w:val="0"/>
                      <w:sz w:val="18"/>
                      <w:szCs w:val="18"/>
                      <w:lang w:bidi="ar"/>
                    </w:rPr>
                    <w:t>产业分类</w:t>
                  </w: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052FFDC">
                  <w:pPr>
                    <w:widowControl/>
                    <w:spacing w:line="240" w:lineRule="auto"/>
                    <w:jc w:val="center"/>
                    <w:textAlignment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kern w:val="0"/>
                      <w:sz w:val="18"/>
                      <w:szCs w:val="18"/>
                      <w:lang w:bidi="ar"/>
                    </w:rPr>
                    <w:t>产品</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D899570">
                  <w:pPr>
                    <w:widowControl/>
                    <w:spacing w:line="240" w:lineRule="auto"/>
                    <w:jc w:val="center"/>
                    <w:textAlignment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kern w:val="0"/>
                      <w:sz w:val="18"/>
                      <w:szCs w:val="18"/>
                      <w:lang w:bidi="ar"/>
                    </w:rPr>
                    <w:t>核心装置</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7DC02E9">
                  <w:pPr>
                    <w:widowControl/>
                    <w:spacing w:line="240" w:lineRule="auto"/>
                    <w:jc w:val="center"/>
                    <w:textAlignment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kern w:val="0"/>
                      <w:sz w:val="18"/>
                      <w:szCs w:val="18"/>
                      <w:lang w:bidi="ar"/>
                    </w:rPr>
                    <w:t>对应国民经济行业小类</w:t>
                  </w:r>
                </w:p>
              </w:tc>
            </w:tr>
            <w:tr w14:paraId="78295CB2">
              <w:tblPrEx>
                <w:tblCellMar>
                  <w:top w:w="0" w:type="dxa"/>
                  <w:left w:w="0" w:type="dxa"/>
                  <w:bottom w:w="0" w:type="dxa"/>
                  <w:right w:w="0" w:type="dxa"/>
                </w:tblCellMar>
              </w:tblPrEx>
              <w:trPr>
                <w:trHeight w:val="23" w:hRule="atLeast"/>
              </w:trPr>
              <w:tc>
                <w:tcPr>
                  <w:tcW w:w="352" w:type="dxa"/>
                  <w:vMerge w:val="restart"/>
                  <w:tcBorders>
                    <w:top w:val="nil"/>
                    <w:left w:val="single" w:color="000000" w:sz="4" w:space="0"/>
                    <w:bottom w:val="single" w:color="000000" w:sz="4" w:space="0"/>
                    <w:right w:val="single" w:color="000000" w:sz="4" w:space="0"/>
                  </w:tcBorders>
                  <w:noWrap w:val="0"/>
                  <w:tcMar>
                    <w:top w:w="15" w:type="dxa"/>
                    <w:left w:w="15" w:type="dxa"/>
                    <w:right w:w="15" w:type="dxa"/>
                  </w:tcMar>
                  <w:vAlign w:val="center"/>
                </w:tcPr>
                <w:p w14:paraId="0F985988">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1</w:t>
                  </w:r>
                </w:p>
              </w:tc>
              <w:tc>
                <w:tcPr>
                  <w:tcW w:w="614" w:type="dxa"/>
                  <w:vMerge w:val="restart"/>
                  <w:tcBorders>
                    <w:top w:val="nil"/>
                    <w:left w:val="single" w:color="000000" w:sz="4" w:space="0"/>
                    <w:bottom w:val="single" w:color="000000" w:sz="4" w:space="0"/>
                    <w:right w:val="single" w:color="000000" w:sz="4" w:space="0"/>
                  </w:tcBorders>
                  <w:noWrap w:val="0"/>
                  <w:tcMar>
                    <w:top w:w="15" w:type="dxa"/>
                    <w:left w:w="15" w:type="dxa"/>
                    <w:right w:w="15" w:type="dxa"/>
                  </w:tcMar>
                  <w:vAlign w:val="center"/>
                </w:tcPr>
                <w:p w14:paraId="1D789451">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炼化</w:t>
                  </w:r>
                </w:p>
              </w:tc>
              <w:tc>
                <w:tcPr>
                  <w:tcW w:w="1844" w:type="dxa"/>
                  <w:tcBorders>
                    <w:top w:val="nil"/>
                    <w:left w:val="single" w:color="000000" w:sz="4" w:space="0"/>
                    <w:bottom w:val="single" w:color="000000" w:sz="4" w:space="0"/>
                    <w:right w:val="single" w:color="000000" w:sz="4" w:space="0"/>
                  </w:tcBorders>
                  <w:noWrap w:val="0"/>
                  <w:tcMar>
                    <w:top w:w="15" w:type="dxa"/>
                    <w:left w:w="15" w:type="dxa"/>
                    <w:right w:w="15" w:type="dxa"/>
                  </w:tcMar>
                  <w:vAlign w:val="center"/>
                </w:tcPr>
                <w:p w14:paraId="1713B81A">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汽油、煤油、柴油、燃料油、石脑油、溶剂油、石油气、沥青及其他相关产品，不含一二次炼油之外的质量升级油品</w:t>
                  </w:r>
                </w:p>
              </w:tc>
              <w:tc>
                <w:tcPr>
                  <w:tcW w:w="1281" w:type="dxa"/>
                  <w:tcBorders>
                    <w:top w:val="nil"/>
                    <w:left w:val="single" w:color="000000" w:sz="4" w:space="0"/>
                    <w:bottom w:val="single" w:color="000000" w:sz="4" w:space="0"/>
                    <w:right w:val="single" w:color="000000" w:sz="4" w:space="0"/>
                  </w:tcBorders>
                  <w:noWrap w:val="0"/>
                  <w:tcMar>
                    <w:top w:w="15" w:type="dxa"/>
                    <w:left w:w="15" w:type="dxa"/>
                    <w:right w:w="15" w:type="dxa"/>
                  </w:tcMar>
                  <w:vAlign w:val="center"/>
                </w:tcPr>
                <w:p w14:paraId="5B9BF09A">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一次炼油（常减压）、二次炼油（催化裂化、加氢裂化、催化重整、延迟焦化）</w:t>
                  </w:r>
                </w:p>
              </w:tc>
              <w:tc>
                <w:tcPr>
                  <w:tcW w:w="987" w:type="dxa"/>
                  <w:tcBorders>
                    <w:top w:val="nil"/>
                    <w:left w:val="single" w:color="000000" w:sz="4" w:space="0"/>
                    <w:bottom w:val="single" w:color="000000" w:sz="4" w:space="0"/>
                    <w:right w:val="single" w:color="000000" w:sz="4" w:space="0"/>
                  </w:tcBorders>
                  <w:noWrap w:val="0"/>
                  <w:tcMar>
                    <w:top w:w="15" w:type="dxa"/>
                    <w:left w:w="15" w:type="dxa"/>
                    <w:right w:w="15" w:type="dxa"/>
                  </w:tcMar>
                  <w:vAlign w:val="center"/>
                </w:tcPr>
                <w:p w14:paraId="1E22D62D">
                  <w:pPr>
                    <w:widowControl/>
                    <w:spacing w:line="240" w:lineRule="auto"/>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原油加工及石油制品制造（2511）</w:t>
                  </w:r>
                </w:p>
              </w:tc>
            </w:tr>
            <w:tr w14:paraId="33875C60">
              <w:tblPrEx>
                <w:tblCellMar>
                  <w:top w:w="0" w:type="dxa"/>
                  <w:left w:w="0" w:type="dxa"/>
                  <w:bottom w:w="0" w:type="dxa"/>
                  <w:right w:w="0" w:type="dxa"/>
                </w:tblCellMar>
              </w:tblPrEx>
              <w:trPr>
                <w:trHeight w:val="23" w:hRule="atLeast"/>
              </w:trPr>
              <w:tc>
                <w:tcPr>
                  <w:tcW w:w="352" w:type="dxa"/>
                  <w:vMerge w:val="continue"/>
                  <w:tcBorders>
                    <w:top w:val="nil"/>
                    <w:left w:val="single" w:color="000000" w:sz="4" w:space="0"/>
                    <w:bottom w:val="single" w:color="000000" w:sz="4" w:space="0"/>
                    <w:right w:val="single" w:color="000000" w:sz="4" w:space="0"/>
                  </w:tcBorders>
                  <w:noWrap w:val="0"/>
                  <w:tcMar>
                    <w:top w:w="15" w:type="dxa"/>
                    <w:left w:w="15" w:type="dxa"/>
                    <w:right w:w="15" w:type="dxa"/>
                  </w:tcMar>
                  <w:vAlign w:val="center"/>
                </w:tcPr>
                <w:p w14:paraId="185359DF">
                  <w:pPr>
                    <w:spacing w:line="240" w:lineRule="auto"/>
                    <w:jc w:val="center"/>
                    <w:rPr>
                      <w:rFonts w:hint="default" w:ascii="Times New Roman" w:hAnsi="Times New Roman" w:eastAsia="宋体" w:cs="Times New Roman"/>
                      <w:color w:val="auto"/>
                      <w:sz w:val="18"/>
                      <w:szCs w:val="18"/>
                    </w:rPr>
                  </w:pPr>
                </w:p>
              </w:tc>
              <w:tc>
                <w:tcPr>
                  <w:tcW w:w="614" w:type="dxa"/>
                  <w:vMerge w:val="continue"/>
                  <w:tcBorders>
                    <w:top w:val="nil"/>
                    <w:left w:val="single" w:color="000000" w:sz="4" w:space="0"/>
                    <w:bottom w:val="single" w:color="000000" w:sz="4" w:space="0"/>
                    <w:right w:val="single" w:color="000000" w:sz="4" w:space="0"/>
                  </w:tcBorders>
                  <w:noWrap w:val="0"/>
                  <w:tcMar>
                    <w:top w:w="15" w:type="dxa"/>
                    <w:left w:w="15" w:type="dxa"/>
                    <w:right w:w="15" w:type="dxa"/>
                  </w:tcMar>
                  <w:vAlign w:val="center"/>
                </w:tcPr>
                <w:p w14:paraId="001B0892">
                  <w:pPr>
                    <w:spacing w:line="240" w:lineRule="auto"/>
                    <w:jc w:val="center"/>
                    <w:rPr>
                      <w:rFonts w:hint="default" w:ascii="Times New Roman" w:hAnsi="Times New Roman" w:eastAsia="宋体" w:cs="Times New Roman"/>
                      <w:color w:val="auto"/>
                      <w:sz w:val="18"/>
                      <w:szCs w:val="18"/>
                    </w:rPr>
                  </w:pP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449B620">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乙烯、对二甲苯（PX）</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E56158E">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乙烯装置、PX装置</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0D4863B">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有机化学原料制造（2614）</w:t>
                  </w:r>
                </w:p>
              </w:tc>
            </w:tr>
            <w:tr w14:paraId="781FE3AE">
              <w:tblPrEx>
                <w:tblCellMar>
                  <w:top w:w="0" w:type="dxa"/>
                  <w:left w:w="0" w:type="dxa"/>
                  <w:bottom w:w="0" w:type="dxa"/>
                  <w:right w:w="0" w:type="dxa"/>
                </w:tblCellMar>
              </w:tblPrEx>
              <w:trPr>
                <w:trHeight w:val="23" w:hRule="atLeast"/>
              </w:trPr>
              <w:tc>
                <w:tcPr>
                  <w:tcW w:w="35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B8B6314">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2</w:t>
                  </w:r>
                </w:p>
              </w:tc>
              <w:tc>
                <w:tcPr>
                  <w:tcW w:w="61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6D7CFB4">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焦化</w:t>
                  </w: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4181ABE">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焦炭</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114F96D">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焦炉</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0C46331">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炼焦（2521）</w:t>
                  </w:r>
                </w:p>
              </w:tc>
            </w:tr>
            <w:tr w14:paraId="4346650D">
              <w:tblPrEx>
                <w:tblCellMar>
                  <w:top w:w="0" w:type="dxa"/>
                  <w:left w:w="0" w:type="dxa"/>
                  <w:bottom w:w="0" w:type="dxa"/>
                  <w:right w:w="0" w:type="dxa"/>
                </w:tblCellMar>
              </w:tblPrEx>
              <w:trPr>
                <w:trHeight w:val="23" w:hRule="atLeast"/>
              </w:trPr>
              <w:tc>
                <w:tcPr>
                  <w:tcW w:w="352"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9A968DB">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3</w:t>
                  </w:r>
                </w:p>
              </w:tc>
              <w:tc>
                <w:tcPr>
                  <w:tcW w:w="614"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48E9CE4">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煤制液体燃料</w:t>
                  </w: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E5EFDFD">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煤制甲醇</w:t>
                  </w:r>
                </w:p>
              </w:tc>
              <w:tc>
                <w:tcPr>
                  <w:tcW w:w="1281"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50E1228">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煤气化炉、合成塔</w:t>
                  </w:r>
                </w:p>
              </w:tc>
              <w:tc>
                <w:tcPr>
                  <w:tcW w:w="987"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6AA1C4F">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煤制液体燃料生产（2523）</w:t>
                  </w:r>
                </w:p>
              </w:tc>
            </w:tr>
            <w:tr w14:paraId="56F4AD42">
              <w:tblPrEx>
                <w:tblCellMar>
                  <w:top w:w="0" w:type="dxa"/>
                  <w:left w:w="0" w:type="dxa"/>
                  <w:bottom w:w="0" w:type="dxa"/>
                  <w:right w:w="0" w:type="dxa"/>
                </w:tblCellMar>
              </w:tblPrEx>
              <w:trPr>
                <w:trHeight w:val="23" w:hRule="atLeast"/>
              </w:trPr>
              <w:tc>
                <w:tcPr>
                  <w:tcW w:w="352"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BCE1155">
                  <w:pPr>
                    <w:spacing w:line="240" w:lineRule="auto"/>
                    <w:jc w:val="center"/>
                    <w:rPr>
                      <w:rFonts w:hint="default" w:ascii="Times New Roman" w:hAnsi="Times New Roman" w:eastAsia="宋体" w:cs="Times New Roman"/>
                      <w:color w:val="auto"/>
                      <w:sz w:val="18"/>
                      <w:szCs w:val="18"/>
                    </w:rPr>
                  </w:pPr>
                </w:p>
              </w:tc>
              <w:tc>
                <w:tcPr>
                  <w:tcW w:w="61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75B2A64">
                  <w:pPr>
                    <w:spacing w:line="240" w:lineRule="auto"/>
                    <w:jc w:val="center"/>
                    <w:rPr>
                      <w:rFonts w:hint="default" w:ascii="Times New Roman" w:hAnsi="Times New Roman" w:eastAsia="宋体" w:cs="Times New Roman"/>
                      <w:color w:val="auto"/>
                      <w:sz w:val="18"/>
                      <w:szCs w:val="18"/>
                    </w:rPr>
                  </w:pP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40CBCE7">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煤制烯烃（乙烯、丙烯）</w:t>
                  </w:r>
                </w:p>
              </w:tc>
              <w:tc>
                <w:tcPr>
                  <w:tcW w:w="1281"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E59604E">
                  <w:pPr>
                    <w:spacing w:line="240" w:lineRule="auto"/>
                    <w:jc w:val="center"/>
                    <w:rPr>
                      <w:rFonts w:hint="default" w:ascii="Times New Roman" w:hAnsi="Times New Roman" w:eastAsia="宋体" w:cs="Times New Roman"/>
                      <w:color w:val="auto"/>
                      <w:sz w:val="18"/>
                      <w:szCs w:val="18"/>
                    </w:rPr>
                  </w:pPr>
                </w:p>
              </w:tc>
              <w:tc>
                <w:tcPr>
                  <w:tcW w:w="987"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BA7ED56">
                  <w:pPr>
                    <w:spacing w:line="240" w:lineRule="auto"/>
                    <w:jc w:val="center"/>
                    <w:rPr>
                      <w:rFonts w:hint="default" w:ascii="Times New Roman" w:hAnsi="Times New Roman" w:eastAsia="宋体" w:cs="Times New Roman"/>
                      <w:color w:val="auto"/>
                      <w:sz w:val="18"/>
                      <w:szCs w:val="18"/>
                    </w:rPr>
                  </w:pPr>
                </w:p>
              </w:tc>
            </w:tr>
            <w:tr w14:paraId="0CEB75BE">
              <w:tblPrEx>
                <w:tblCellMar>
                  <w:top w:w="0" w:type="dxa"/>
                  <w:left w:w="0" w:type="dxa"/>
                  <w:bottom w:w="0" w:type="dxa"/>
                  <w:right w:w="0" w:type="dxa"/>
                </w:tblCellMar>
              </w:tblPrEx>
              <w:trPr>
                <w:trHeight w:val="23" w:hRule="atLeast"/>
              </w:trPr>
              <w:tc>
                <w:tcPr>
                  <w:tcW w:w="352"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373CDCE">
                  <w:pPr>
                    <w:spacing w:line="240" w:lineRule="auto"/>
                    <w:jc w:val="center"/>
                    <w:rPr>
                      <w:rFonts w:hint="default" w:ascii="Times New Roman" w:hAnsi="Times New Roman" w:eastAsia="宋体" w:cs="Times New Roman"/>
                      <w:color w:val="auto"/>
                      <w:sz w:val="18"/>
                      <w:szCs w:val="18"/>
                    </w:rPr>
                  </w:pPr>
                </w:p>
              </w:tc>
              <w:tc>
                <w:tcPr>
                  <w:tcW w:w="61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12C7DF6">
                  <w:pPr>
                    <w:spacing w:line="240" w:lineRule="auto"/>
                    <w:jc w:val="center"/>
                    <w:rPr>
                      <w:rFonts w:hint="default" w:ascii="Times New Roman" w:hAnsi="Times New Roman" w:eastAsia="宋体" w:cs="Times New Roman"/>
                      <w:color w:val="auto"/>
                      <w:sz w:val="18"/>
                      <w:szCs w:val="18"/>
                    </w:rPr>
                  </w:pP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3085165">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煤制乙二醇</w:t>
                  </w:r>
                </w:p>
              </w:tc>
              <w:tc>
                <w:tcPr>
                  <w:tcW w:w="1281"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1F06750">
                  <w:pPr>
                    <w:spacing w:line="240" w:lineRule="auto"/>
                    <w:jc w:val="center"/>
                    <w:rPr>
                      <w:rFonts w:hint="default" w:ascii="Times New Roman" w:hAnsi="Times New Roman" w:eastAsia="宋体" w:cs="Times New Roman"/>
                      <w:color w:val="auto"/>
                      <w:sz w:val="18"/>
                      <w:szCs w:val="18"/>
                    </w:rPr>
                  </w:pPr>
                </w:p>
              </w:tc>
              <w:tc>
                <w:tcPr>
                  <w:tcW w:w="987"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3D74175">
                  <w:pPr>
                    <w:spacing w:line="240" w:lineRule="auto"/>
                    <w:jc w:val="center"/>
                    <w:rPr>
                      <w:rFonts w:hint="default" w:ascii="Times New Roman" w:hAnsi="Times New Roman" w:eastAsia="宋体" w:cs="Times New Roman"/>
                      <w:color w:val="auto"/>
                      <w:sz w:val="18"/>
                      <w:szCs w:val="18"/>
                    </w:rPr>
                  </w:pPr>
                </w:p>
              </w:tc>
            </w:tr>
            <w:tr w14:paraId="4E3317FD">
              <w:tblPrEx>
                <w:tblCellMar>
                  <w:top w:w="0" w:type="dxa"/>
                  <w:left w:w="0" w:type="dxa"/>
                  <w:bottom w:w="0" w:type="dxa"/>
                  <w:right w:w="0" w:type="dxa"/>
                </w:tblCellMar>
              </w:tblPrEx>
              <w:trPr>
                <w:trHeight w:val="23" w:hRule="atLeast"/>
              </w:trPr>
              <w:tc>
                <w:tcPr>
                  <w:tcW w:w="352"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9D2FA05">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4</w:t>
                  </w:r>
                </w:p>
              </w:tc>
              <w:tc>
                <w:tcPr>
                  <w:tcW w:w="614"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B2622D2">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基础化学原料</w:t>
                  </w: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B60EC20">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氯碱（烧碱）</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50E4BE9">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电解槽</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EE7C6E0">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无机碱制造（2612）</w:t>
                  </w:r>
                </w:p>
              </w:tc>
            </w:tr>
            <w:tr w14:paraId="20E05251">
              <w:tblPrEx>
                <w:tblCellMar>
                  <w:top w:w="0" w:type="dxa"/>
                  <w:left w:w="0" w:type="dxa"/>
                  <w:bottom w:w="0" w:type="dxa"/>
                  <w:right w:w="0" w:type="dxa"/>
                </w:tblCellMar>
              </w:tblPrEx>
              <w:trPr>
                <w:trHeight w:val="23" w:hRule="atLeast"/>
              </w:trPr>
              <w:tc>
                <w:tcPr>
                  <w:tcW w:w="352"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82262D7">
                  <w:pPr>
                    <w:spacing w:line="240" w:lineRule="auto"/>
                    <w:jc w:val="center"/>
                    <w:rPr>
                      <w:rFonts w:hint="default" w:ascii="Times New Roman" w:hAnsi="Times New Roman" w:eastAsia="宋体" w:cs="Times New Roman"/>
                      <w:color w:val="auto"/>
                      <w:sz w:val="18"/>
                      <w:szCs w:val="18"/>
                    </w:rPr>
                  </w:pPr>
                </w:p>
              </w:tc>
              <w:tc>
                <w:tcPr>
                  <w:tcW w:w="61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2758C90">
                  <w:pPr>
                    <w:spacing w:line="240" w:lineRule="auto"/>
                    <w:jc w:val="center"/>
                    <w:rPr>
                      <w:rFonts w:hint="default" w:ascii="Times New Roman" w:hAnsi="Times New Roman" w:eastAsia="宋体" w:cs="Times New Roman"/>
                      <w:color w:val="auto"/>
                      <w:sz w:val="18"/>
                      <w:szCs w:val="18"/>
                    </w:rPr>
                  </w:pP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4203AC6">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纯碱</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E95BF9B">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碳化塔</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292C6D9">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无机碱制造（2612）</w:t>
                  </w:r>
                </w:p>
              </w:tc>
            </w:tr>
            <w:tr w14:paraId="358333AB">
              <w:tblPrEx>
                <w:tblCellMar>
                  <w:top w:w="0" w:type="dxa"/>
                  <w:left w:w="0" w:type="dxa"/>
                  <w:bottom w:w="0" w:type="dxa"/>
                  <w:right w:w="0" w:type="dxa"/>
                </w:tblCellMar>
              </w:tblPrEx>
              <w:trPr>
                <w:trHeight w:val="23" w:hRule="atLeast"/>
              </w:trPr>
              <w:tc>
                <w:tcPr>
                  <w:tcW w:w="352"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F6DCF8C">
                  <w:pPr>
                    <w:spacing w:line="240" w:lineRule="auto"/>
                    <w:jc w:val="center"/>
                    <w:rPr>
                      <w:rFonts w:hint="default" w:ascii="Times New Roman" w:hAnsi="Times New Roman" w:eastAsia="宋体" w:cs="Times New Roman"/>
                      <w:color w:val="auto"/>
                      <w:sz w:val="18"/>
                      <w:szCs w:val="18"/>
                    </w:rPr>
                  </w:pPr>
                </w:p>
              </w:tc>
              <w:tc>
                <w:tcPr>
                  <w:tcW w:w="61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289B794">
                  <w:pPr>
                    <w:spacing w:line="240" w:lineRule="auto"/>
                    <w:jc w:val="center"/>
                    <w:rPr>
                      <w:rFonts w:hint="default" w:ascii="Times New Roman" w:hAnsi="Times New Roman" w:eastAsia="宋体" w:cs="Times New Roman"/>
                      <w:color w:val="auto"/>
                      <w:sz w:val="18"/>
                      <w:szCs w:val="18"/>
                    </w:rPr>
                  </w:pP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8433A61">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电石（碳化钙）</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014D319">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电石炉</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808D9EB">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无机盐制造（2613）</w:t>
                  </w:r>
                </w:p>
              </w:tc>
            </w:tr>
            <w:tr w14:paraId="00C338F8">
              <w:tblPrEx>
                <w:tblCellMar>
                  <w:top w:w="0" w:type="dxa"/>
                  <w:left w:w="0" w:type="dxa"/>
                  <w:bottom w:w="0" w:type="dxa"/>
                  <w:right w:w="0" w:type="dxa"/>
                </w:tblCellMar>
              </w:tblPrEx>
              <w:trPr>
                <w:trHeight w:val="23" w:hRule="atLeast"/>
              </w:trPr>
              <w:tc>
                <w:tcPr>
                  <w:tcW w:w="352"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92FD373">
                  <w:pPr>
                    <w:spacing w:line="240" w:lineRule="auto"/>
                    <w:jc w:val="center"/>
                    <w:rPr>
                      <w:rFonts w:hint="default" w:ascii="Times New Roman" w:hAnsi="Times New Roman" w:eastAsia="宋体" w:cs="Times New Roman"/>
                      <w:color w:val="auto"/>
                      <w:sz w:val="18"/>
                      <w:szCs w:val="18"/>
                    </w:rPr>
                  </w:pPr>
                </w:p>
              </w:tc>
              <w:tc>
                <w:tcPr>
                  <w:tcW w:w="61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69C9791">
                  <w:pPr>
                    <w:spacing w:line="240" w:lineRule="auto"/>
                    <w:jc w:val="center"/>
                    <w:rPr>
                      <w:rFonts w:hint="default" w:ascii="Times New Roman" w:hAnsi="Times New Roman" w:eastAsia="宋体" w:cs="Times New Roman"/>
                      <w:color w:val="auto"/>
                      <w:sz w:val="18"/>
                      <w:szCs w:val="18"/>
                    </w:rPr>
                  </w:pP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F8BFCAF">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黄磷</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0AFF88A">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黄磷制取设备</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2802572">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其他基础化学原料制造（2619）</w:t>
                  </w:r>
                </w:p>
              </w:tc>
            </w:tr>
            <w:tr w14:paraId="7446BE6F">
              <w:tblPrEx>
                <w:tblCellMar>
                  <w:top w:w="0" w:type="dxa"/>
                  <w:left w:w="0" w:type="dxa"/>
                  <w:bottom w:w="0" w:type="dxa"/>
                  <w:right w:w="0" w:type="dxa"/>
                </w:tblCellMar>
              </w:tblPrEx>
              <w:trPr>
                <w:trHeight w:val="23" w:hRule="atLeast"/>
              </w:trPr>
              <w:tc>
                <w:tcPr>
                  <w:tcW w:w="352"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2FF4220">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5</w:t>
                  </w:r>
                </w:p>
              </w:tc>
              <w:tc>
                <w:tcPr>
                  <w:tcW w:w="614"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9AF9065">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化肥</w:t>
                  </w: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F9817FB">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合成氨、尿素</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839C751">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合成氨装置</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5EBD807">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氮肥制造（2621）</w:t>
                  </w:r>
                </w:p>
              </w:tc>
            </w:tr>
            <w:tr w14:paraId="48F0A1A7">
              <w:tblPrEx>
                <w:tblCellMar>
                  <w:top w:w="0" w:type="dxa"/>
                  <w:left w:w="0" w:type="dxa"/>
                  <w:bottom w:w="0" w:type="dxa"/>
                  <w:right w:w="0" w:type="dxa"/>
                </w:tblCellMar>
              </w:tblPrEx>
              <w:trPr>
                <w:trHeight w:val="23" w:hRule="atLeast"/>
              </w:trPr>
              <w:tc>
                <w:tcPr>
                  <w:tcW w:w="352"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FF9B5BB">
                  <w:pPr>
                    <w:spacing w:line="240" w:lineRule="auto"/>
                    <w:jc w:val="center"/>
                    <w:rPr>
                      <w:rFonts w:hint="default" w:ascii="Times New Roman" w:hAnsi="Times New Roman" w:eastAsia="宋体" w:cs="Times New Roman"/>
                      <w:color w:val="auto"/>
                      <w:sz w:val="18"/>
                      <w:szCs w:val="18"/>
                    </w:rPr>
                  </w:pPr>
                </w:p>
              </w:tc>
              <w:tc>
                <w:tcPr>
                  <w:tcW w:w="61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D0288D9">
                  <w:pPr>
                    <w:spacing w:line="240" w:lineRule="auto"/>
                    <w:jc w:val="center"/>
                    <w:rPr>
                      <w:rFonts w:hint="default" w:ascii="Times New Roman" w:hAnsi="Times New Roman" w:eastAsia="宋体" w:cs="Times New Roman"/>
                      <w:color w:val="auto"/>
                      <w:sz w:val="18"/>
                      <w:szCs w:val="18"/>
                    </w:rPr>
                  </w:pP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CA359DD">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磷酸一铵、磷酸二铵</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FC3C04A">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氨化装置</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64796AE">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磷肥制造（2622）</w:t>
                  </w:r>
                </w:p>
              </w:tc>
            </w:tr>
            <w:tr w14:paraId="6068A955">
              <w:tblPrEx>
                <w:tblCellMar>
                  <w:top w:w="0" w:type="dxa"/>
                  <w:left w:w="0" w:type="dxa"/>
                  <w:bottom w:w="0" w:type="dxa"/>
                  <w:right w:w="0" w:type="dxa"/>
                </w:tblCellMar>
              </w:tblPrEx>
              <w:trPr>
                <w:trHeight w:val="23" w:hRule="atLeast"/>
              </w:trPr>
              <w:tc>
                <w:tcPr>
                  <w:tcW w:w="35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2FAA80F">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6</w:t>
                  </w:r>
                </w:p>
              </w:tc>
              <w:tc>
                <w:tcPr>
                  <w:tcW w:w="61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22DFCE7">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轮胎</w:t>
                  </w: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64A3AA2">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子午胎、斜交胎、摩托车胎等轮胎外胎，不包括内胎和轮胎翻新</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034C771">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密炼机、硫化机</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9250B29">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轮胎制造（2911）</w:t>
                  </w:r>
                </w:p>
              </w:tc>
            </w:tr>
            <w:tr w14:paraId="18E6C9C3">
              <w:tblPrEx>
                <w:tblCellMar>
                  <w:top w:w="0" w:type="dxa"/>
                  <w:left w:w="0" w:type="dxa"/>
                  <w:bottom w:w="0" w:type="dxa"/>
                  <w:right w:w="0" w:type="dxa"/>
                </w:tblCellMar>
              </w:tblPrEx>
              <w:trPr>
                <w:trHeight w:val="23" w:hRule="atLeast"/>
              </w:trPr>
              <w:tc>
                <w:tcPr>
                  <w:tcW w:w="352"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052AA31">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7</w:t>
                  </w:r>
                </w:p>
              </w:tc>
              <w:tc>
                <w:tcPr>
                  <w:tcW w:w="614"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CD2986D">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水泥</w:t>
                  </w: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1000F61">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水泥熟料</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EF40AD3">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水泥窑</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8F3A217">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水泥制造（3011）</w:t>
                  </w:r>
                </w:p>
              </w:tc>
            </w:tr>
            <w:tr w14:paraId="45D2AAF2">
              <w:tblPrEx>
                <w:tblCellMar>
                  <w:top w:w="0" w:type="dxa"/>
                  <w:left w:w="0" w:type="dxa"/>
                  <w:bottom w:w="0" w:type="dxa"/>
                  <w:right w:w="0" w:type="dxa"/>
                </w:tblCellMar>
              </w:tblPrEx>
              <w:trPr>
                <w:trHeight w:val="23" w:hRule="atLeast"/>
              </w:trPr>
              <w:tc>
                <w:tcPr>
                  <w:tcW w:w="352"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9E3C8A0">
                  <w:pPr>
                    <w:spacing w:line="240" w:lineRule="auto"/>
                    <w:jc w:val="center"/>
                    <w:rPr>
                      <w:rFonts w:hint="default" w:ascii="Times New Roman" w:hAnsi="Times New Roman" w:eastAsia="宋体" w:cs="Times New Roman"/>
                      <w:color w:val="auto"/>
                      <w:sz w:val="18"/>
                      <w:szCs w:val="18"/>
                    </w:rPr>
                  </w:pPr>
                </w:p>
              </w:tc>
              <w:tc>
                <w:tcPr>
                  <w:tcW w:w="61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0B73F0D">
                  <w:pPr>
                    <w:spacing w:line="240" w:lineRule="auto"/>
                    <w:jc w:val="center"/>
                    <w:rPr>
                      <w:rFonts w:hint="default" w:ascii="Times New Roman" w:hAnsi="Times New Roman" w:eastAsia="宋体" w:cs="Times New Roman"/>
                      <w:color w:val="auto"/>
                      <w:sz w:val="18"/>
                      <w:szCs w:val="18"/>
                    </w:rPr>
                  </w:pP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E5A5886">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水泥粉磨</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707FE1F">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水泥磨机、预粉磨主电动机</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273CE05">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水泥制造（3011）</w:t>
                  </w:r>
                </w:p>
              </w:tc>
            </w:tr>
            <w:tr w14:paraId="14C9FD93">
              <w:tblPrEx>
                <w:tblCellMar>
                  <w:top w:w="0" w:type="dxa"/>
                  <w:left w:w="0" w:type="dxa"/>
                  <w:bottom w:w="0" w:type="dxa"/>
                  <w:right w:w="0" w:type="dxa"/>
                </w:tblCellMar>
              </w:tblPrEx>
              <w:trPr>
                <w:trHeight w:val="23" w:hRule="atLeast"/>
              </w:trPr>
              <w:tc>
                <w:tcPr>
                  <w:tcW w:w="35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8E694C7">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8</w:t>
                  </w:r>
                </w:p>
              </w:tc>
              <w:tc>
                <w:tcPr>
                  <w:tcW w:w="61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3AC7FDD">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石灰</w:t>
                  </w: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E0B0BB5">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生石灰、消石灰、水硬石灰</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36E32FE">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石灰窑</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91B0103">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石灰和石膏制造（3012）</w:t>
                  </w:r>
                </w:p>
              </w:tc>
            </w:tr>
            <w:tr w14:paraId="3F3C82D3">
              <w:tblPrEx>
                <w:tblCellMar>
                  <w:top w:w="0" w:type="dxa"/>
                  <w:left w:w="0" w:type="dxa"/>
                  <w:bottom w:w="0" w:type="dxa"/>
                  <w:right w:w="0" w:type="dxa"/>
                </w:tblCellMar>
              </w:tblPrEx>
              <w:trPr>
                <w:trHeight w:val="23" w:hRule="atLeast"/>
              </w:trPr>
              <w:tc>
                <w:tcPr>
                  <w:tcW w:w="35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A4E017C">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9</w:t>
                  </w:r>
                </w:p>
              </w:tc>
              <w:tc>
                <w:tcPr>
                  <w:tcW w:w="61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B73710A">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平板玻璃</w:t>
                  </w: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3B35AF5">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普通平板玻璃，浮法平板玻璃，压延玻璃，不包括光伏压延玻璃、基板玻璃</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22A357B">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玻璃熔炉</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981F8B0">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平板玻璃制造（3041）</w:t>
                  </w:r>
                </w:p>
              </w:tc>
            </w:tr>
            <w:tr w14:paraId="7780394A">
              <w:tblPrEx>
                <w:tblCellMar>
                  <w:top w:w="0" w:type="dxa"/>
                  <w:left w:w="0" w:type="dxa"/>
                  <w:bottom w:w="0" w:type="dxa"/>
                  <w:right w:w="0" w:type="dxa"/>
                </w:tblCellMar>
              </w:tblPrEx>
              <w:trPr>
                <w:trHeight w:val="23" w:hRule="atLeast"/>
              </w:trPr>
              <w:tc>
                <w:tcPr>
                  <w:tcW w:w="352"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114B1D9">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10</w:t>
                  </w:r>
                </w:p>
              </w:tc>
              <w:tc>
                <w:tcPr>
                  <w:tcW w:w="614"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179B8EF">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陶瓷</w:t>
                  </w: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68E0585">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建筑陶瓷，不包括非经高温烧结的发泡陶瓷板等</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B8642E3">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辊道和隧道窑</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3C307EF">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建筑陶瓷制品制造（3071）</w:t>
                  </w:r>
                </w:p>
              </w:tc>
            </w:tr>
            <w:tr w14:paraId="06304C1B">
              <w:tblPrEx>
                <w:tblCellMar>
                  <w:top w:w="0" w:type="dxa"/>
                  <w:left w:w="0" w:type="dxa"/>
                  <w:bottom w:w="0" w:type="dxa"/>
                  <w:right w:w="0" w:type="dxa"/>
                </w:tblCellMar>
              </w:tblPrEx>
              <w:trPr>
                <w:trHeight w:val="23" w:hRule="atLeast"/>
              </w:trPr>
              <w:tc>
                <w:tcPr>
                  <w:tcW w:w="352"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FC5C6BB">
                  <w:pPr>
                    <w:spacing w:line="240" w:lineRule="auto"/>
                    <w:jc w:val="center"/>
                    <w:rPr>
                      <w:rFonts w:hint="default" w:ascii="Times New Roman" w:hAnsi="Times New Roman" w:eastAsia="宋体" w:cs="Times New Roman"/>
                      <w:color w:val="auto"/>
                      <w:sz w:val="18"/>
                      <w:szCs w:val="18"/>
                    </w:rPr>
                  </w:pPr>
                </w:p>
              </w:tc>
              <w:tc>
                <w:tcPr>
                  <w:tcW w:w="61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6442AA5">
                  <w:pPr>
                    <w:spacing w:line="240" w:lineRule="auto"/>
                    <w:jc w:val="center"/>
                    <w:rPr>
                      <w:rFonts w:hint="default" w:ascii="Times New Roman" w:hAnsi="Times New Roman" w:eastAsia="宋体" w:cs="Times New Roman"/>
                      <w:color w:val="auto"/>
                      <w:sz w:val="18"/>
                      <w:szCs w:val="18"/>
                    </w:rPr>
                  </w:pP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2D19DAC">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卫生陶瓷</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340CF9D">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隧道窑</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09DE901">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卫生陶瓷制品制造（3072）</w:t>
                  </w:r>
                </w:p>
              </w:tc>
            </w:tr>
            <w:tr w14:paraId="2FA88462">
              <w:tblPrEx>
                <w:tblCellMar>
                  <w:top w:w="0" w:type="dxa"/>
                  <w:left w:w="0" w:type="dxa"/>
                  <w:bottom w:w="0" w:type="dxa"/>
                  <w:right w:w="0" w:type="dxa"/>
                </w:tblCellMar>
              </w:tblPrEx>
              <w:trPr>
                <w:trHeight w:val="23" w:hRule="atLeast"/>
              </w:trPr>
              <w:tc>
                <w:tcPr>
                  <w:tcW w:w="352"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D7E657C">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11</w:t>
                  </w:r>
                </w:p>
              </w:tc>
              <w:tc>
                <w:tcPr>
                  <w:tcW w:w="614"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D7B80D6">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钢铁</w:t>
                  </w: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87A07D5">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炼钢用生铁、熔融还原铁</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25D3176">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高炉，氢冶金、</w:t>
                  </w:r>
                  <w:r>
                    <w:rPr>
                      <w:rStyle w:val="609"/>
                      <w:rFonts w:hint="default" w:ascii="Times New Roman" w:hAnsi="Times New Roman" w:eastAsia="宋体" w:cs="Times New Roman"/>
                      <w:color w:val="auto"/>
                      <w:sz w:val="18"/>
                      <w:szCs w:val="18"/>
                      <w:lang w:bidi="ar"/>
                    </w:rPr>
                    <w:t>Corex、Finex、HIsmelt还原装置</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3FA6C10">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炼铁（3110）</w:t>
                  </w:r>
                </w:p>
              </w:tc>
            </w:tr>
            <w:tr w14:paraId="098E2081">
              <w:tblPrEx>
                <w:tblCellMar>
                  <w:top w:w="0" w:type="dxa"/>
                  <w:left w:w="0" w:type="dxa"/>
                  <w:bottom w:w="0" w:type="dxa"/>
                  <w:right w:w="0" w:type="dxa"/>
                </w:tblCellMar>
              </w:tblPrEx>
              <w:trPr>
                <w:trHeight w:val="23" w:hRule="atLeast"/>
              </w:trPr>
              <w:tc>
                <w:tcPr>
                  <w:tcW w:w="352"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1F9DE36">
                  <w:pPr>
                    <w:spacing w:line="240" w:lineRule="auto"/>
                    <w:jc w:val="center"/>
                    <w:rPr>
                      <w:rFonts w:hint="default" w:ascii="Times New Roman" w:hAnsi="Times New Roman" w:eastAsia="宋体" w:cs="Times New Roman"/>
                      <w:color w:val="auto"/>
                      <w:sz w:val="18"/>
                      <w:szCs w:val="18"/>
                    </w:rPr>
                  </w:pPr>
                </w:p>
              </w:tc>
              <w:tc>
                <w:tcPr>
                  <w:tcW w:w="61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DF90185">
                  <w:pPr>
                    <w:spacing w:line="240" w:lineRule="auto"/>
                    <w:jc w:val="center"/>
                    <w:rPr>
                      <w:rFonts w:hint="default" w:ascii="Times New Roman" w:hAnsi="Times New Roman" w:eastAsia="宋体" w:cs="Times New Roman"/>
                      <w:color w:val="auto"/>
                      <w:sz w:val="18"/>
                      <w:szCs w:val="18"/>
                    </w:rPr>
                  </w:pPr>
                </w:p>
              </w:tc>
              <w:tc>
                <w:tcPr>
                  <w:tcW w:w="1844"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2D4E81A">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非合金钢粗钢、低合金钢粗钢、合金钢粗钢</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50221A0">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转炉</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033A657">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炼钢（3120）</w:t>
                  </w:r>
                </w:p>
              </w:tc>
            </w:tr>
            <w:tr w14:paraId="3745BB1F">
              <w:tblPrEx>
                <w:tblCellMar>
                  <w:top w:w="0" w:type="dxa"/>
                  <w:left w:w="0" w:type="dxa"/>
                  <w:bottom w:w="0" w:type="dxa"/>
                  <w:right w:w="0" w:type="dxa"/>
                </w:tblCellMar>
              </w:tblPrEx>
              <w:trPr>
                <w:trHeight w:val="23" w:hRule="atLeast"/>
              </w:trPr>
              <w:tc>
                <w:tcPr>
                  <w:tcW w:w="352"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5864A37">
                  <w:pPr>
                    <w:spacing w:line="240" w:lineRule="auto"/>
                    <w:jc w:val="center"/>
                    <w:rPr>
                      <w:rFonts w:hint="default" w:ascii="Times New Roman" w:hAnsi="Times New Roman" w:eastAsia="宋体" w:cs="Times New Roman"/>
                      <w:color w:val="auto"/>
                      <w:sz w:val="18"/>
                      <w:szCs w:val="18"/>
                    </w:rPr>
                  </w:pPr>
                </w:p>
              </w:tc>
              <w:tc>
                <w:tcPr>
                  <w:tcW w:w="61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69AD332">
                  <w:pPr>
                    <w:spacing w:line="240" w:lineRule="auto"/>
                    <w:jc w:val="center"/>
                    <w:rPr>
                      <w:rFonts w:hint="default" w:ascii="Times New Roman" w:hAnsi="Times New Roman" w:eastAsia="宋体" w:cs="Times New Roman"/>
                      <w:color w:val="auto"/>
                      <w:sz w:val="18"/>
                      <w:szCs w:val="18"/>
                    </w:rPr>
                  </w:pPr>
                </w:p>
              </w:tc>
              <w:tc>
                <w:tcPr>
                  <w:tcW w:w="184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3D4DE21">
                  <w:pPr>
                    <w:spacing w:line="240" w:lineRule="auto"/>
                    <w:jc w:val="center"/>
                    <w:rPr>
                      <w:rFonts w:hint="default" w:ascii="Times New Roman" w:hAnsi="Times New Roman" w:eastAsia="宋体" w:cs="Times New Roman"/>
                      <w:color w:val="auto"/>
                      <w:sz w:val="18"/>
                      <w:szCs w:val="18"/>
                    </w:rPr>
                  </w:pP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2940A50">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电弧炉、AOD炉</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8C2DD29">
                  <w:pPr>
                    <w:spacing w:line="240" w:lineRule="auto"/>
                    <w:jc w:val="center"/>
                    <w:rPr>
                      <w:rFonts w:hint="default" w:ascii="Times New Roman" w:hAnsi="Times New Roman" w:eastAsia="宋体" w:cs="Times New Roman"/>
                      <w:color w:val="auto"/>
                      <w:sz w:val="18"/>
                      <w:szCs w:val="18"/>
                    </w:rPr>
                  </w:pPr>
                </w:p>
              </w:tc>
            </w:tr>
            <w:tr w14:paraId="7F56D11A">
              <w:tblPrEx>
                <w:tblCellMar>
                  <w:top w:w="0" w:type="dxa"/>
                  <w:left w:w="0" w:type="dxa"/>
                  <w:bottom w:w="0" w:type="dxa"/>
                  <w:right w:w="0" w:type="dxa"/>
                </w:tblCellMar>
              </w:tblPrEx>
              <w:trPr>
                <w:trHeight w:val="23" w:hRule="atLeast"/>
              </w:trPr>
              <w:tc>
                <w:tcPr>
                  <w:tcW w:w="35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FE7E399">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12</w:t>
                  </w:r>
                </w:p>
              </w:tc>
              <w:tc>
                <w:tcPr>
                  <w:tcW w:w="61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31429E2">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铸造用生铁</w:t>
                  </w: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0CD47F1">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铸造用生铁</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702A6E7">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高炉</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234B475">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炼铁（3110）</w:t>
                  </w:r>
                </w:p>
              </w:tc>
            </w:tr>
            <w:tr w14:paraId="01F73AC6">
              <w:tblPrEx>
                <w:tblCellMar>
                  <w:top w:w="0" w:type="dxa"/>
                  <w:left w:w="0" w:type="dxa"/>
                  <w:bottom w:w="0" w:type="dxa"/>
                  <w:right w:w="0" w:type="dxa"/>
                </w:tblCellMar>
              </w:tblPrEx>
              <w:trPr>
                <w:trHeight w:val="23" w:hRule="atLeast"/>
              </w:trPr>
              <w:tc>
                <w:tcPr>
                  <w:tcW w:w="35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2DD42EC">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13</w:t>
                  </w:r>
                </w:p>
              </w:tc>
              <w:tc>
                <w:tcPr>
                  <w:tcW w:w="61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8F744D6">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铁合金</w:t>
                  </w: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FCA6051">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硅铁、锰硅合金、高碳铬铁、镍铁及其他铁合金产品</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C2F0D7F">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矿热炉、电弧炉、高炉</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DF1C617">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铁合金冶炼（3140）</w:t>
                  </w:r>
                </w:p>
              </w:tc>
            </w:tr>
            <w:tr w14:paraId="416C5BA2">
              <w:tblPrEx>
                <w:tblCellMar>
                  <w:top w:w="0" w:type="dxa"/>
                  <w:left w:w="0" w:type="dxa"/>
                  <w:bottom w:w="0" w:type="dxa"/>
                  <w:right w:w="0" w:type="dxa"/>
                </w:tblCellMar>
              </w:tblPrEx>
              <w:trPr>
                <w:trHeight w:val="23" w:hRule="atLeast"/>
              </w:trPr>
              <w:tc>
                <w:tcPr>
                  <w:tcW w:w="352"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565C431">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14</w:t>
                  </w:r>
                </w:p>
              </w:tc>
              <w:tc>
                <w:tcPr>
                  <w:tcW w:w="614"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AEBA738">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有色</w:t>
                  </w: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8A2D902">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氧化铝</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E73E2BE">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煅烧或焙烧炉</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EC17753">
                  <w:pPr>
                    <w:spacing w:line="240" w:lineRule="auto"/>
                    <w:jc w:val="center"/>
                    <w:rPr>
                      <w:rFonts w:hint="default" w:ascii="Times New Roman" w:hAnsi="Times New Roman" w:eastAsia="宋体" w:cs="Times New Roman"/>
                      <w:color w:val="auto"/>
                      <w:sz w:val="18"/>
                      <w:szCs w:val="18"/>
                    </w:rPr>
                  </w:pPr>
                </w:p>
              </w:tc>
            </w:tr>
            <w:tr w14:paraId="58740AD3">
              <w:tblPrEx>
                <w:tblCellMar>
                  <w:top w:w="0" w:type="dxa"/>
                  <w:left w:w="0" w:type="dxa"/>
                  <w:bottom w:w="0" w:type="dxa"/>
                  <w:right w:w="0" w:type="dxa"/>
                </w:tblCellMar>
              </w:tblPrEx>
              <w:trPr>
                <w:trHeight w:val="23" w:hRule="atLeast"/>
              </w:trPr>
              <w:tc>
                <w:tcPr>
                  <w:tcW w:w="352"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B24A488">
                  <w:pPr>
                    <w:spacing w:line="240" w:lineRule="auto"/>
                    <w:jc w:val="center"/>
                    <w:rPr>
                      <w:rFonts w:hint="default" w:ascii="Times New Roman" w:hAnsi="Times New Roman" w:eastAsia="宋体" w:cs="Times New Roman"/>
                      <w:color w:val="auto"/>
                      <w:sz w:val="18"/>
                      <w:szCs w:val="18"/>
                    </w:rPr>
                  </w:pPr>
                </w:p>
              </w:tc>
              <w:tc>
                <w:tcPr>
                  <w:tcW w:w="61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9E22495">
                  <w:pPr>
                    <w:spacing w:line="240" w:lineRule="auto"/>
                    <w:jc w:val="center"/>
                    <w:rPr>
                      <w:rFonts w:hint="default" w:ascii="Times New Roman" w:hAnsi="Times New Roman" w:eastAsia="宋体" w:cs="Times New Roman"/>
                      <w:color w:val="auto"/>
                      <w:sz w:val="18"/>
                      <w:szCs w:val="18"/>
                    </w:rPr>
                  </w:pP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96ACB86">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电解铝，不包括再生铝</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B253174">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电解槽</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8E44ABD">
                  <w:pPr>
                    <w:spacing w:line="240" w:lineRule="auto"/>
                    <w:jc w:val="center"/>
                    <w:rPr>
                      <w:rFonts w:hint="default" w:ascii="Times New Roman" w:hAnsi="Times New Roman" w:eastAsia="宋体" w:cs="Times New Roman"/>
                      <w:color w:val="auto"/>
                      <w:sz w:val="18"/>
                      <w:szCs w:val="18"/>
                    </w:rPr>
                  </w:pPr>
                </w:p>
              </w:tc>
            </w:tr>
            <w:tr w14:paraId="0373DBB1">
              <w:tblPrEx>
                <w:tblCellMar>
                  <w:top w:w="0" w:type="dxa"/>
                  <w:left w:w="0" w:type="dxa"/>
                  <w:bottom w:w="0" w:type="dxa"/>
                  <w:right w:w="0" w:type="dxa"/>
                </w:tblCellMar>
              </w:tblPrEx>
              <w:trPr>
                <w:trHeight w:val="23" w:hRule="atLeast"/>
              </w:trPr>
              <w:tc>
                <w:tcPr>
                  <w:tcW w:w="352"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8E74401">
                  <w:pPr>
                    <w:spacing w:line="240" w:lineRule="auto"/>
                    <w:jc w:val="center"/>
                    <w:rPr>
                      <w:rFonts w:hint="default" w:ascii="Times New Roman" w:hAnsi="Times New Roman" w:eastAsia="宋体" w:cs="Times New Roman"/>
                      <w:color w:val="auto"/>
                      <w:sz w:val="18"/>
                      <w:szCs w:val="18"/>
                    </w:rPr>
                  </w:pPr>
                </w:p>
              </w:tc>
              <w:tc>
                <w:tcPr>
                  <w:tcW w:w="61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9C6F069">
                  <w:pPr>
                    <w:spacing w:line="240" w:lineRule="auto"/>
                    <w:jc w:val="center"/>
                    <w:rPr>
                      <w:rFonts w:hint="default" w:ascii="Times New Roman" w:hAnsi="Times New Roman" w:eastAsia="宋体" w:cs="Times New Roman"/>
                      <w:color w:val="auto"/>
                      <w:sz w:val="18"/>
                      <w:szCs w:val="18"/>
                    </w:rPr>
                  </w:pP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E9E4613">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阴极铜、阳极铜、粗铜、电解铜</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D55EDE0">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电解槽</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6BCFC04">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铜冶炼（3211）</w:t>
                  </w:r>
                </w:p>
              </w:tc>
            </w:tr>
            <w:tr w14:paraId="210BF1B2">
              <w:tblPrEx>
                <w:tblCellMar>
                  <w:top w:w="0" w:type="dxa"/>
                  <w:left w:w="0" w:type="dxa"/>
                  <w:bottom w:w="0" w:type="dxa"/>
                  <w:right w:w="0" w:type="dxa"/>
                </w:tblCellMar>
              </w:tblPrEx>
              <w:trPr>
                <w:trHeight w:val="23" w:hRule="atLeast"/>
              </w:trPr>
              <w:tc>
                <w:tcPr>
                  <w:tcW w:w="352"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4ABD9C9">
                  <w:pPr>
                    <w:spacing w:line="240" w:lineRule="auto"/>
                    <w:jc w:val="center"/>
                    <w:rPr>
                      <w:rFonts w:hint="default" w:ascii="Times New Roman" w:hAnsi="Times New Roman" w:eastAsia="宋体" w:cs="Times New Roman"/>
                      <w:color w:val="auto"/>
                      <w:sz w:val="18"/>
                      <w:szCs w:val="18"/>
                    </w:rPr>
                  </w:pPr>
                </w:p>
              </w:tc>
              <w:tc>
                <w:tcPr>
                  <w:tcW w:w="61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BFB1F73">
                  <w:pPr>
                    <w:spacing w:line="240" w:lineRule="auto"/>
                    <w:jc w:val="center"/>
                    <w:rPr>
                      <w:rFonts w:hint="default" w:ascii="Times New Roman" w:hAnsi="Times New Roman" w:eastAsia="宋体" w:cs="Times New Roman"/>
                      <w:color w:val="auto"/>
                      <w:sz w:val="18"/>
                      <w:szCs w:val="18"/>
                    </w:rPr>
                  </w:pP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B801B15">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粗铅、电解铅、粗锌、电解锌</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353F154">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电解槽</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19E3F7B">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铅锌冶炼（3212）</w:t>
                  </w:r>
                </w:p>
              </w:tc>
            </w:tr>
            <w:tr w14:paraId="4DC9D0FF">
              <w:tblPrEx>
                <w:tblCellMar>
                  <w:top w:w="0" w:type="dxa"/>
                  <w:left w:w="0" w:type="dxa"/>
                  <w:bottom w:w="0" w:type="dxa"/>
                  <w:right w:w="0" w:type="dxa"/>
                </w:tblCellMar>
              </w:tblPrEx>
              <w:trPr>
                <w:trHeight w:val="23" w:hRule="atLeast"/>
              </w:trPr>
              <w:tc>
                <w:tcPr>
                  <w:tcW w:w="352"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899D278">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15</w:t>
                  </w:r>
                </w:p>
              </w:tc>
              <w:tc>
                <w:tcPr>
                  <w:tcW w:w="614"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D562708">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铸造</w:t>
                  </w: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D470CD8">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黑色金属铸件</w:t>
                  </w:r>
                </w:p>
              </w:tc>
              <w:tc>
                <w:tcPr>
                  <w:tcW w:w="1281"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B47D8A7">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电炉等熔炼设备、造型设备</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594A1CA">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黑色金属铸造（3391）</w:t>
                  </w:r>
                </w:p>
              </w:tc>
            </w:tr>
            <w:tr w14:paraId="23119503">
              <w:tblPrEx>
                <w:tblCellMar>
                  <w:top w:w="0" w:type="dxa"/>
                  <w:left w:w="0" w:type="dxa"/>
                  <w:bottom w:w="0" w:type="dxa"/>
                  <w:right w:w="0" w:type="dxa"/>
                </w:tblCellMar>
              </w:tblPrEx>
              <w:trPr>
                <w:trHeight w:val="23" w:hRule="atLeast"/>
              </w:trPr>
              <w:tc>
                <w:tcPr>
                  <w:tcW w:w="352"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2A49E2A">
                  <w:pPr>
                    <w:spacing w:line="240" w:lineRule="auto"/>
                    <w:jc w:val="center"/>
                    <w:rPr>
                      <w:rFonts w:hint="default" w:ascii="Times New Roman" w:hAnsi="Times New Roman" w:eastAsia="宋体" w:cs="Times New Roman"/>
                      <w:color w:val="auto"/>
                      <w:sz w:val="18"/>
                      <w:szCs w:val="18"/>
                    </w:rPr>
                  </w:pPr>
                </w:p>
              </w:tc>
              <w:tc>
                <w:tcPr>
                  <w:tcW w:w="61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3A5091D">
                  <w:pPr>
                    <w:spacing w:line="240" w:lineRule="auto"/>
                    <w:jc w:val="center"/>
                    <w:rPr>
                      <w:rFonts w:hint="default" w:ascii="Times New Roman" w:hAnsi="Times New Roman" w:eastAsia="宋体" w:cs="Times New Roman"/>
                      <w:color w:val="auto"/>
                      <w:sz w:val="18"/>
                      <w:szCs w:val="18"/>
                    </w:rPr>
                  </w:pP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CABB638">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有色金属铸件</w:t>
                  </w:r>
                </w:p>
              </w:tc>
              <w:tc>
                <w:tcPr>
                  <w:tcW w:w="1281"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28B05E4">
                  <w:pPr>
                    <w:spacing w:line="240" w:lineRule="auto"/>
                    <w:jc w:val="center"/>
                    <w:rPr>
                      <w:rFonts w:hint="default" w:ascii="Times New Roman" w:hAnsi="Times New Roman" w:eastAsia="宋体" w:cs="Times New Roman"/>
                      <w:color w:val="auto"/>
                      <w:sz w:val="18"/>
                      <w:szCs w:val="18"/>
                    </w:rPr>
                  </w:pP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480F485">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有色金属铸造（3392）</w:t>
                  </w:r>
                </w:p>
              </w:tc>
            </w:tr>
            <w:tr w14:paraId="73C1A759">
              <w:tblPrEx>
                <w:tblCellMar>
                  <w:top w:w="0" w:type="dxa"/>
                  <w:left w:w="0" w:type="dxa"/>
                  <w:bottom w:w="0" w:type="dxa"/>
                  <w:right w:w="0" w:type="dxa"/>
                </w:tblCellMar>
              </w:tblPrEx>
              <w:trPr>
                <w:trHeight w:val="23" w:hRule="atLeast"/>
              </w:trPr>
              <w:tc>
                <w:tcPr>
                  <w:tcW w:w="352"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6B6D67D">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16</w:t>
                  </w:r>
                </w:p>
              </w:tc>
              <w:tc>
                <w:tcPr>
                  <w:tcW w:w="614"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9986A69">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煤电</w:t>
                  </w:r>
                </w:p>
              </w:tc>
              <w:tc>
                <w:tcPr>
                  <w:tcW w:w="1844"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90DA80C">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电力（燃煤发电，包含煤矸石发电）</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51E9825">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抽凝、纯凝机组</w:t>
                  </w:r>
                </w:p>
              </w:tc>
              <w:tc>
                <w:tcPr>
                  <w:tcW w:w="98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83935B6">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火力发电（4411）</w:t>
                  </w:r>
                </w:p>
              </w:tc>
            </w:tr>
            <w:tr w14:paraId="08E1455D">
              <w:tblPrEx>
                <w:tblCellMar>
                  <w:top w:w="0" w:type="dxa"/>
                  <w:left w:w="0" w:type="dxa"/>
                  <w:bottom w:w="0" w:type="dxa"/>
                  <w:right w:w="0" w:type="dxa"/>
                </w:tblCellMar>
              </w:tblPrEx>
              <w:trPr>
                <w:trHeight w:val="23" w:hRule="atLeast"/>
              </w:trPr>
              <w:tc>
                <w:tcPr>
                  <w:tcW w:w="352"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C99171D">
                  <w:pPr>
                    <w:spacing w:line="240" w:lineRule="auto"/>
                    <w:jc w:val="center"/>
                    <w:rPr>
                      <w:rFonts w:hint="default" w:ascii="Times New Roman" w:hAnsi="Times New Roman" w:eastAsia="宋体" w:cs="Times New Roman"/>
                      <w:color w:val="auto"/>
                      <w:sz w:val="18"/>
                      <w:szCs w:val="18"/>
                    </w:rPr>
                  </w:pPr>
                </w:p>
              </w:tc>
              <w:tc>
                <w:tcPr>
                  <w:tcW w:w="61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0EA618A">
                  <w:pPr>
                    <w:spacing w:line="240" w:lineRule="auto"/>
                    <w:jc w:val="center"/>
                    <w:rPr>
                      <w:rFonts w:hint="default" w:ascii="Times New Roman" w:hAnsi="Times New Roman" w:eastAsia="宋体" w:cs="Times New Roman"/>
                      <w:color w:val="auto"/>
                      <w:sz w:val="18"/>
                      <w:szCs w:val="18"/>
                    </w:rPr>
                  </w:pPr>
                </w:p>
              </w:tc>
              <w:tc>
                <w:tcPr>
                  <w:tcW w:w="1844"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D8BE70A">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电力和热力（热电联产）</w:t>
                  </w: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60C8C84">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抽凝机组</w:t>
                  </w:r>
                </w:p>
              </w:tc>
              <w:tc>
                <w:tcPr>
                  <w:tcW w:w="987"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AB45F55">
                  <w:pPr>
                    <w:widowControl/>
                    <w:spacing w:line="240" w:lineRule="auto"/>
                    <w:jc w:val="center"/>
                    <w:textAlignment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bidi="ar"/>
                    </w:rPr>
                    <w:t>热电联产（4412）</w:t>
                  </w:r>
                </w:p>
              </w:tc>
            </w:tr>
            <w:tr w14:paraId="4E10F12E">
              <w:tblPrEx>
                <w:tblCellMar>
                  <w:top w:w="0" w:type="dxa"/>
                  <w:left w:w="0" w:type="dxa"/>
                  <w:bottom w:w="0" w:type="dxa"/>
                  <w:right w:w="0" w:type="dxa"/>
                </w:tblCellMar>
              </w:tblPrEx>
              <w:trPr>
                <w:trHeight w:val="23" w:hRule="atLeast"/>
              </w:trPr>
              <w:tc>
                <w:tcPr>
                  <w:tcW w:w="352"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DDDA93A">
                  <w:pPr>
                    <w:spacing w:line="240" w:lineRule="auto"/>
                    <w:jc w:val="center"/>
                    <w:rPr>
                      <w:rFonts w:hint="default" w:ascii="Times New Roman" w:hAnsi="Times New Roman" w:eastAsia="宋体" w:cs="Times New Roman"/>
                      <w:color w:val="FF0000"/>
                      <w:sz w:val="18"/>
                      <w:szCs w:val="18"/>
                    </w:rPr>
                  </w:pPr>
                </w:p>
              </w:tc>
              <w:tc>
                <w:tcPr>
                  <w:tcW w:w="61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DE109FF">
                  <w:pPr>
                    <w:spacing w:line="240" w:lineRule="auto"/>
                    <w:jc w:val="center"/>
                    <w:rPr>
                      <w:rFonts w:hint="default" w:ascii="Times New Roman" w:hAnsi="Times New Roman" w:eastAsia="宋体" w:cs="Times New Roman"/>
                      <w:color w:val="FF0000"/>
                      <w:sz w:val="18"/>
                      <w:szCs w:val="18"/>
                    </w:rPr>
                  </w:pPr>
                </w:p>
              </w:tc>
              <w:tc>
                <w:tcPr>
                  <w:tcW w:w="1844"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F8EEB5E">
                  <w:pPr>
                    <w:spacing w:line="240" w:lineRule="auto"/>
                    <w:jc w:val="center"/>
                    <w:rPr>
                      <w:rFonts w:hint="default" w:ascii="Times New Roman" w:hAnsi="Times New Roman" w:eastAsia="宋体" w:cs="Times New Roman"/>
                      <w:color w:val="FF0000"/>
                      <w:sz w:val="18"/>
                      <w:szCs w:val="18"/>
                    </w:rPr>
                  </w:pPr>
                </w:p>
              </w:tc>
              <w:tc>
                <w:tcPr>
                  <w:tcW w:w="128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84CD019">
                  <w:pPr>
                    <w:widowControl/>
                    <w:spacing w:line="240" w:lineRule="auto"/>
                    <w:jc w:val="center"/>
                    <w:textAlignment w:val="center"/>
                    <w:rPr>
                      <w:rFonts w:hint="default" w:ascii="Times New Roman" w:hAnsi="Times New Roman" w:eastAsia="宋体" w:cs="Times New Roman"/>
                      <w:color w:val="FF0000"/>
                      <w:sz w:val="18"/>
                      <w:szCs w:val="18"/>
                    </w:rPr>
                  </w:pPr>
                  <w:r>
                    <w:rPr>
                      <w:rFonts w:hint="default" w:ascii="Times New Roman" w:hAnsi="Times New Roman" w:eastAsia="宋体" w:cs="Times New Roman"/>
                      <w:color w:val="auto"/>
                      <w:kern w:val="0"/>
                      <w:sz w:val="18"/>
                      <w:szCs w:val="18"/>
                      <w:lang w:bidi="ar"/>
                    </w:rPr>
                    <w:t>背压机组</w:t>
                  </w:r>
                </w:p>
              </w:tc>
              <w:tc>
                <w:tcPr>
                  <w:tcW w:w="987"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6A69192">
                  <w:pPr>
                    <w:spacing w:line="240" w:lineRule="auto"/>
                    <w:rPr>
                      <w:rFonts w:hint="default" w:ascii="Times New Roman" w:hAnsi="Times New Roman" w:eastAsia="宋体" w:cs="Times New Roman"/>
                      <w:color w:val="FF0000"/>
                      <w:sz w:val="18"/>
                      <w:szCs w:val="18"/>
                    </w:rPr>
                  </w:pPr>
                </w:p>
              </w:tc>
            </w:tr>
          </w:tbl>
          <w:p w14:paraId="7E489FB7">
            <w:pPr>
              <w:adjustRightInd w:val="0"/>
              <w:snapToGrid w:val="0"/>
              <w:spacing w:line="360" w:lineRule="auto"/>
              <w:ind w:firstLine="420" w:firstLineChars="200"/>
              <w:rPr>
                <w:rFonts w:hint="default" w:ascii="Times New Roman" w:hAnsi="Times New Roman" w:cs="Times New Roman"/>
                <w:color w:val="auto"/>
              </w:rPr>
            </w:pPr>
            <w:r>
              <w:rPr>
                <w:rFonts w:hint="eastAsia" w:cs="Times New Roman"/>
                <w:bCs/>
                <w:color w:val="auto"/>
                <w:lang w:val="en-US" w:eastAsia="zh-CN"/>
              </w:rPr>
              <w:t>本</w:t>
            </w:r>
            <w:r>
              <w:rPr>
                <w:rFonts w:hint="eastAsia" w:cs="Times New Roman"/>
                <w:bCs/>
                <w:color w:val="auto"/>
                <w:lang w:eastAsia="zh-CN"/>
              </w:rPr>
              <w:t>项目</w:t>
            </w:r>
            <w:r>
              <w:rPr>
                <w:rFonts w:hint="default" w:ascii="Times New Roman" w:hAnsi="Times New Roman" w:cs="Times New Roman"/>
                <w:bCs/>
                <w:color w:val="auto"/>
              </w:rPr>
              <w:t>属于</w:t>
            </w:r>
            <w:r>
              <w:rPr>
                <w:rFonts w:hint="eastAsia" w:cs="Times New Roman"/>
                <w:color w:val="auto"/>
                <w:lang w:eastAsia="zh-CN"/>
              </w:rPr>
              <w:t>C2624复混肥料制造</w:t>
            </w:r>
            <w:r>
              <w:rPr>
                <w:rFonts w:hint="default" w:ascii="Times New Roman" w:hAnsi="Times New Roman" w:cs="Times New Roman"/>
                <w:bCs/>
                <w:color w:val="auto"/>
              </w:rPr>
              <w:t>，不属于上述“两高”行业</w:t>
            </w:r>
            <w:r>
              <w:rPr>
                <w:rFonts w:hint="default" w:ascii="Times New Roman" w:hAnsi="Times New Roman" w:cs="Times New Roman"/>
                <w:color w:val="auto"/>
              </w:rPr>
              <w:t>，项目建设符合《山东省“两高”项目管理目录》（202</w:t>
            </w:r>
            <w:r>
              <w:rPr>
                <w:rFonts w:hint="default" w:ascii="Times New Roman" w:hAnsi="Times New Roman" w:cs="Times New Roman"/>
                <w:color w:val="auto"/>
                <w:lang w:val="en-US" w:eastAsia="zh-CN"/>
              </w:rPr>
              <w:t>3</w:t>
            </w:r>
            <w:r>
              <w:rPr>
                <w:rFonts w:hint="default" w:ascii="Times New Roman" w:hAnsi="Times New Roman" w:cs="Times New Roman"/>
                <w:color w:val="auto"/>
              </w:rPr>
              <w:t>年版）要求。</w:t>
            </w:r>
          </w:p>
          <w:p w14:paraId="051453D1">
            <w:pPr>
              <w:adjustRightInd w:val="0"/>
              <w:snapToGrid w:val="0"/>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（6）与《关于印发山东省“十四五”生态环境保护规划的通知》（鲁政发〔2021〕12号）的符合性</w:t>
            </w:r>
          </w:p>
          <w:p w14:paraId="617E12FB">
            <w:pPr>
              <w:pStyle w:val="8"/>
              <w:spacing w:line="360" w:lineRule="auto"/>
              <w:ind w:firstLine="422"/>
              <w:jc w:val="center"/>
              <w:rPr>
                <w:rFonts w:hint="default" w:ascii="Times New Roman" w:hAnsi="Times New Roman" w:cs="Times New Roman"/>
                <w:b/>
                <w:color w:val="auto"/>
              </w:rPr>
            </w:pPr>
          </w:p>
          <w:p w14:paraId="7F7746D3">
            <w:pPr>
              <w:pStyle w:val="8"/>
              <w:spacing w:line="360" w:lineRule="auto"/>
              <w:ind w:firstLine="422"/>
              <w:jc w:val="center"/>
              <w:rPr>
                <w:rFonts w:hint="default" w:ascii="Times New Roman" w:hAnsi="Times New Roman" w:cs="Times New Roman"/>
                <w:b/>
                <w:color w:val="auto"/>
              </w:rPr>
            </w:pPr>
          </w:p>
          <w:p w14:paraId="564D1D68">
            <w:pPr>
              <w:pStyle w:val="8"/>
              <w:spacing w:line="360" w:lineRule="auto"/>
              <w:ind w:firstLine="422"/>
              <w:jc w:val="center"/>
              <w:rPr>
                <w:rFonts w:hint="default" w:ascii="Times New Roman" w:hAnsi="Times New Roman" w:cs="Times New Roman"/>
                <w:b/>
                <w:color w:val="auto"/>
              </w:rPr>
            </w:pPr>
            <w:r>
              <w:rPr>
                <w:rFonts w:hint="default" w:ascii="Times New Roman" w:hAnsi="Times New Roman" w:cs="Times New Roman"/>
                <w:b/>
                <w:color w:val="auto"/>
              </w:rPr>
              <w:t>表1-</w:t>
            </w:r>
            <w:r>
              <w:rPr>
                <w:rFonts w:hint="eastAsia" w:cs="Times New Roman"/>
                <w:b/>
                <w:color w:val="auto"/>
                <w:lang w:val="en-US" w:eastAsia="zh-CN"/>
              </w:rPr>
              <w:t>9</w:t>
            </w:r>
            <w:r>
              <w:rPr>
                <w:rFonts w:hint="default" w:ascii="Times New Roman" w:hAnsi="Times New Roman" w:cs="Times New Roman"/>
                <w:b/>
                <w:color w:val="auto"/>
              </w:rPr>
              <w:t>与《关于印发山东省“十四五”生态环境保护规划的通知》（鲁政发〔2021〕12号）符合性分析</w:t>
            </w:r>
          </w:p>
          <w:tbl>
            <w:tblPr>
              <w:tblStyle w:val="81"/>
              <w:tblW w:w="4998"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0" w:type="dxa"/>
                <w:bottom w:w="0" w:type="dxa"/>
                <w:right w:w="0" w:type="dxa"/>
              </w:tblCellMar>
            </w:tblPr>
            <w:tblGrid>
              <w:gridCol w:w="837"/>
              <w:gridCol w:w="4676"/>
              <w:gridCol w:w="1907"/>
              <w:gridCol w:w="734"/>
            </w:tblGrid>
            <w:tr w14:paraId="080AE98C">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3" w:type="pct"/>
                  <w:tcMar>
                    <w:top w:w="0" w:type="dxa"/>
                    <w:left w:w="45" w:type="dxa"/>
                    <w:bottom w:w="0" w:type="dxa"/>
                    <w:right w:w="45" w:type="dxa"/>
                  </w:tcMar>
                  <w:vAlign w:val="center"/>
                </w:tcPr>
                <w:p w14:paraId="5428FFB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文 件要 求</w:t>
                  </w:r>
                </w:p>
              </w:tc>
              <w:tc>
                <w:tcPr>
                  <w:tcW w:w="2866" w:type="pct"/>
                  <w:tcMar>
                    <w:top w:w="0" w:type="dxa"/>
                    <w:left w:w="45" w:type="dxa"/>
                    <w:bottom w:w="0" w:type="dxa"/>
                    <w:right w:w="45" w:type="dxa"/>
                  </w:tcMar>
                  <w:vAlign w:val="center"/>
                </w:tcPr>
                <w:p w14:paraId="46C77BA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具体规定</w:t>
                  </w:r>
                </w:p>
              </w:tc>
              <w:tc>
                <w:tcPr>
                  <w:tcW w:w="1169" w:type="pct"/>
                  <w:tcMar>
                    <w:top w:w="0" w:type="dxa"/>
                    <w:left w:w="45" w:type="dxa"/>
                    <w:bottom w:w="0" w:type="dxa"/>
                    <w:right w:w="45" w:type="dxa"/>
                  </w:tcMar>
                  <w:vAlign w:val="center"/>
                </w:tcPr>
                <w:p w14:paraId="43DAF9CD">
                  <w:pPr>
                    <w:adjustRightInd w:val="0"/>
                    <w:snapToGrid w:val="0"/>
                    <w:jc w:val="center"/>
                    <w:rPr>
                      <w:rFonts w:hint="default" w:ascii="Times New Roman" w:hAnsi="Times New Roman" w:cs="Times New Roman"/>
                      <w:color w:val="auto"/>
                      <w:sz w:val="18"/>
                      <w:szCs w:val="18"/>
                    </w:rPr>
                  </w:pPr>
                  <w:r>
                    <w:rPr>
                      <w:rFonts w:hint="eastAsia" w:cs="Times New Roman"/>
                      <w:color w:val="auto"/>
                      <w:sz w:val="18"/>
                      <w:szCs w:val="18"/>
                      <w:lang w:eastAsia="zh-CN"/>
                    </w:rPr>
                    <w:t>项目</w:t>
                  </w:r>
                  <w:r>
                    <w:rPr>
                      <w:rFonts w:hint="default" w:ascii="Times New Roman" w:hAnsi="Times New Roman" w:cs="Times New Roman"/>
                      <w:color w:val="auto"/>
                      <w:sz w:val="18"/>
                      <w:szCs w:val="18"/>
                    </w:rPr>
                    <w:t>情况</w:t>
                  </w:r>
                </w:p>
              </w:tc>
              <w:tc>
                <w:tcPr>
                  <w:tcW w:w="450" w:type="pct"/>
                  <w:tcMar>
                    <w:top w:w="0" w:type="dxa"/>
                    <w:left w:w="45" w:type="dxa"/>
                    <w:bottom w:w="0" w:type="dxa"/>
                    <w:right w:w="45" w:type="dxa"/>
                  </w:tcMar>
                  <w:vAlign w:val="center"/>
                </w:tcPr>
                <w:p w14:paraId="45922B0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符合</w:t>
                  </w:r>
                </w:p>
                <w:p w14:paraId="6357311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情况</w:t>
                  </w:r>
                </w:p>
              </w:tc>
            </w:tr>
            <w:tr w14:paraId="287191E9">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13" w:type="pct"/>
                  <w:tcMar>
                    <w:top w:w="0" w:type="dxa"/>
                    <w:left w:w="45" w:type="dxa"/>
                    <w:bottom w:w="0" w:type="dxa"/>
                    <w:right w:w="45" w:type="dxa"/>
                  </w:tcMar>
                  <w:vAlign w:val="center"/>
                </w:tcPr>
                <w:p w14:paraId="01871BFC">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坚决淘汰落后产能</w:t>
                  </w:r>
                </w:p>
              </w:tc>
              <w:tc>
                <w:tcPr>
                  <w:tcW w:w="2866" w:type="pct"/>
                  <w:tcMar>
                    <w:top w:w="0" w:type="dxa"/>
                    <w:left w:w="45" w:type="dxa"/>
                    <w:bottom w:w="0" w:type="dxa"/>
                    <w:right w:w="45" w:type="dxa"/>
                  </w:tcMar>
                  <w:vAlign w:val="center"/>
                </w:tcPr>
                <w:p w14:paraId="5B6E9B6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严格落实《产业结构调整指导目录》，加快推动“淘汰类”生产工艺和产品退出。精准聚焦钢铁、地炼、焦化、煤电、水泥、轮胎、煤炭、化工等8个重点行业，加快淘汰低效落后动能。进一步健全并严格落实环保、安全、技术、能耗、效益标准，各市制定具体措施，重点围绕再生橡胶、废旧塑料再生、砖瓦、石灰、石膏等行业，分类组织实施转移、压减、整合、关停任务，推动低效落后产能退出。</w:t>
                  </w:r>
                </w:p>
              </w:tc>
              <w:tc>
                <w:tcPr>
                  <w:tcW w:w="1169" w:type="pct"/>
                  <w:tcMar>
                    <w:top w:w="0" w:type="dxa"/>
                    <w:left w:w="45" w:type="dxa"/>
                    <w:bottom w:w="0" w:type="dxa"/>
                    <w:right w:w="45" w:type="dxa"/>
                  </w:tcMar>
                  <w:vAlign w:val="center"/>
                </w:tcPr>
                <w:p w14:paraId="145CA68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项目已完成立项，立项代码为</w:t>
                  </w:r>
                  <w:r>
                    <w:rPr>
                      <w:rFonts w:hint="eastAsia" w:cs="Times New Roman"/>
                      <w:color w:val="auto"/>
                      <w:sz w:val="18"/>
                      <w:szCs w:val="18"/>
                      <w:lang w:eastAsia="zh-CN"/>
                    </w:rPr>
                    <w:t>2308-370302-89-01-145088</w:t>
                  </w:r>
                  <w:r>
                    <w:rPr>
                      <w:rFonts w:hint="default" w:ascii="Times New Roman" w:hAnsi="Times New Roman" w:cs="Times New Roman"/>
                      <w:color w:val="auto"/>
                      <w:sz w:val="18"/>
                      <w:szCs w:val="18"/>
                    </w:rPr>
                    <w:t>，符合国家和淄博市产业政策。</w:t>
                  </w:r>
                </w:p>
              </w:tc>
              <w:tc>
                <w:tcPr>
                  <w:tcW w:w="450" w:type="pct"/>
                  <w:tcMar>
                    <w:top w:w="0" w:type="dxa"/>
                    <w:left w:w="45" w:type="dxa"/>
                    <w:bottom w:w="0" w:type="dxa"/>
                    <w:right w:w="45" w:type="dxa"/>
                  </w:tcMar>
                  <w:vAlign w:val="center"/>
                </w:tcPr>
                <w:p w14:paraId="0D1BE49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符合</w:t>
                  </w:r>
                </w:p>
              </w:tc>
            </w:tr>
            <w:tr w14:paraId="5A123BC3">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3" w:type="pct"/>
                  <w:tcMar>
                    <w:top w:w="0" w:type="dxa"/>
                    <w:left w:w="45" w:type="dxa"/>
                    <w:bottom w:w="0" w:type="dxa"/>
                    <w:right w:w="45" w:type="dxa"/>
                  </w:tcMar>
                  <w:vAlign w:val="center"/>
                </w:tcPr>
                <w:p w14:paraId="6AD590F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严把准入关口</w:t>
                  </w:r>
                </w:p>
              </w:tc>
              <w:tc>
                <w:tcPr>
                  <w:tcW w:w="2866" w:type="pct"/>
                  <w:tcMar>
                    <w:top w:w="0" w:type="dxa"/>
                    <w:left w:w="45" w:type="dxa"/>
                    <w:bottom w:w="0" w:type="dxa"/>
                    <w:right w:w="45" w:type="dxa"/>
                  </w:tcMar>
                  <w:vAlign w:val="center"/>
                </w:tcPr>
                <w:p w14:paraId="0B53B88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坚持环境质量“只能更好，不能变坏”的底线，严格落实污染物排放总量和产能总量控制刚性要求。实施“四上四压”，坚持“上新压旧”“上大压小”“上高压低”“上整压散”。“两高”项目确有必要建设的，须严格落实产能、煤耗、能耗、碳排放和污染物排放“五个减量替代”要求，新（改、扩）建项目要减量替代，已建项目要减量运行。依据国家相关产业政策，对钢铁、地炼、焦化、煤电、电解铝、水泥、轮胎、平板玻璃、氮肥、铁合金等重点行业严格执行产能置换要求，确保产能总量只减不增。原则上不再审批新建煤矿项目。严禁省外水泥熟料、粉磨、焦化产能转入，严禁新增水泥熟料、粉磨产能。</w:t>
                  </w:r>
                </w:p>
              </w:tc>
              <w:tc>
                <w:tcPr>
                  <w:tcW w:w="1169" w:type="pct"/>
                  <w:tcMar>
                    <w:top w:w="0" w:type="dxa"/>
                    <w:left w:w="45" w:type="dxa"/>
                    <w:bottom w:w="0" w:type="dxa"/>
                    <w:right w:w="45" w:type="dxa"/>
                  </w:tcMar>
                  <w:vAlign w:val="center"/>
                </w:tcPr>
                <w:p w14:paraId="05A2643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项目不属于两高项目。</w:t>
                  </w:r>
                </w:p>
              </w:tc>
              <w:tc>
                <w:tcPr>
                  <w:tcW w:w="450" w:type="pct"/>
                  <w:tcMar>
                    <w:top w:w="0" w:type="dxa"/>
                    <w:left w:w="45" w:type="dxa"/>
                    <w:bottom w:w="0" w:type="dxa"/>
                    <w:right w:w="45" w:type="dxa"/>
                  </w:tcMar>
                  <w:vAlign w:val="center"/>
                </w:tcPr>
                <w:p w14:paraId="3297AB8D">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符合</w:t>
                  </w:r>
                </w:p>
              </w:tc>
            </w:tr>
          </w:tbl>
          <w:p w14:paraId="4B50FD6D">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综上，项目建设符合《关于印发山东省“十四五”生态环境保护规划的通知》（鲁政发〔2021〕12号）要求。</w:t>
            </w:r>
          </w:p>
          <w:p w14:paraId="0BEA614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t>（</w:t>
            </w:r>
            <w:r>
              <w:rPr>
                <w:rFonts w:hint="eastAsia" w:cs="Times New Roman"/>
                <w:color w:val="auto"/>
                <w:lang w:val="en-US" w:eastAsia="zh-CN"/>
              </w:rPr>
              <w:t>7</w:t>
            </w:r>
            <w:r>
              <w:rPr>
                <w:rFonts w:hint="default" w:ascii="Times New Roman" w:hAnsi="Times New Roman" w:cs="Times New Roman"/>
                <w:color w:val="auto"/>
              </w:rPr>
              <w:t>）、与关于印发《全市工业企业大气污染治理品质提升实施方案》的通知（淄环委办〔2022〕10号）的符合性分析</w:t>
            </w:r>
          </w:p>
          <w:p w14:paraId="4518CF51">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表1-</w:t>
            </w:r>
            <w:r>
              <w:rPr>
                <w:rFonts w:hint="eastAsia" w:cs="Times New Roman"/>
                <w:b/>
                <w:bCs/>
                <w:color w:val="auto"/>
                <w:highlight w:val="none"/>
                <w:lang w:val="en-US" w:eastAsia="zh-CN"/>
              </w:rPr>
              <w:t>10</w:t>
            </w:r>
            <w:r>
              <w:rPr>
                <w:rFonts w:hint="default" w:ascii="Times New Roman" w:hAnsi="Times New Roman" w:cs="Times New Roman"/>
                <w:b/>
                <w:bCs/>
                <w:color w:val="auto"/>
                <w:highlight w:val="none"/>
              </w:rPr>
              <w:t>项目与淄环委办〔2022〕10号的符合性分析</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90"/>
              <w:gridCol w:w="4442"/>
              <w:gridCol w:w="2660"/>
              <w:gridCol w:w="657"/>
            </w:tblGrid>
            <w:tr w14:paraId="5B76D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964" w:type="pct"/>
                  <w:gridSpan w:val="2"/>
                  <w:vAlign w:val="center"/>
                </w:tcPr>
                <w:p w14:paraId="7895A2C6">
                  <w:pPr>
                    <w:pStyle w:val="200"/>
                    <w:spacing w:beforeLines="0" w:afterLines="0" w:line="240" w:lineRule="atLeast"/>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文件要求</w:t>
                  </w:r>
                </w:p>
              </w:tc>
              <w:tc>
                <w:tcPr>
                  <w:tcW w:w="1632" w:type="pct"/>
                  <w:vAlign w:val="center"/>
                </w:tcPr>
                <w:p w14:paraId="328B87A1">
                  <w:pPr>
                    <w:pStyle w:val="200"/>
                    <w:spacing w:beforeLines="0" w:afterLines="0" w:line="240" w:lineRule="atLeast"/>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项目情况</w:t>
                  </w:r>
                </w:p>
              </w:tc>
              <w:tc>
                <w:tcPr>
                  <w:tcW w:w="403" w:type="pct"/>
                  <w:tcMar>
                    <w:left w:w="28" w:type="dxa"/>
                    <w:right w:w="28" w:type="dxa"/>
                  </w:tcMar>
                  <w:vAlign w:val="center"/>
                </w:tcPr>
                <w:p w14:paraId="63CA91E2">
                  <w:pPr>
                    <w:pStyle w:val="200"/>
                    <w:spacing w:beforeLines="0" w:afterLines="0" w:line="240" w:lineRule="atLeast"/>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符合性</w:t>
                  </w:r>
                </w:p>
              </w:tc>
            </w:tr>
            <w:tr w14:paraId="7363E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restart"/>
                  <w:vAlign w:val="center"/>
                </w:tcPr>
                <w:p w14:paraId="6B0E67C4">
                  <w:pPr>
                    <w:pStyle w:val="200"/>
                    <w:spacing w:beforeLines="0" w:afterLines="0" w:line="24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提升颗粒物治理水平</w:t>
                  </w:r>
                </w:p>
              </w:tc>
              <w:tc>
                <w:tcPr>
                  <w:tcW w:w="2724" w:type="pct"/>
                  <w:vAlign w:val="center"/>
                </w:tcPr>
                <w:p w14:paraId="6930C9CC">
                  <w:pPr>
                    <w:pStyle w:val="200"/>
                    <w:spacing w:before="24" w:after="24" w:line="240" w:lineRule="atLeast"/>
                    <w:rPr>
                      <w:rFonts w:hint="default" w:ascii="Times New Roman" w:hAnsi="Times New Roman" w:cs="Times New Roman"/>
                      <w:color w:val="auto"/>
                      <w:sz w:val="18"/>
                      <w:szCs w:val="18"/>
                      <w:shd w:val="clear" w:color="auto" w:fill="FFFFFF"/>
                    </w:rPr>
                  </w:pPr>
                  <w:r>
                    <w:rPr>
                      <w:rFonts w:hint="default" w:ascii="Times New Roman" w:hAnsi="Times New Roman" w:cs="Times New Roman"/>
                      <w:color w:val="auto"/>
                      <w:sz w:val="18"/>
                      <w:szCs w:val="18"/>
                      <w:shd w:val="clear" w:color="auto" w:fill="FFFFFF"/>
                    </w:rPr>
                    <w:t>23.粉性原料、物料（含易起尘的粒状）等贮存场所要全密闭，非道路移动机械（铲车、挖掘机等）内部作业时宜安装并启用喷雾降尘装置</w:t>
                  </w:r>
                </w:p>
              </w:tc>
              <w:tc>
                <w:tcPr>
                  <w:tcW w:w="1632" w:type="pct"/>
                  <w:vAlign w:val="center"/>
                </w:tcPr>
                <w:p w14:paraId="7DA4619A">
                  <w:pPr>
                    <w:spacing w:beforeLines="0" w:afterLines="0" w:line="240" w:lineRule="atLeast"/>
                    <w:jc w:val="both"/>
                    <w:rPr>
                      <w:rFonts w:hint="default" w:ascii="Times New Roman" w:hAnsi="Times New Roman" w:eastAsia="宋体" w:cs="Times New Roman"/>
                      <w:color w:val="FF0000"/>
                      <w:sz w:val="18"/>
                      <w:szCs w:val="18"/>
                      <w:highlight w:val="yellow"/>
                      <w:lang w:val="en-US" w:eastAsia="zh-CN"/>
                    </w:rPr>
                  </w:pPr>
                  <w:r>
                    <w:rPr>
                      <w:rFonts w:hint="eastAsia" w:cs="Times New Roman"/>
                      <w:color w:val="auto"/>
                      <w:sz w:val="18"/>
                      <w:szCs w:val="21"/>
                      <w:highlight w:val="none"/>
                      <w:lang w:val="en-US" w:eastAsia="zh-CN"/>
                    </w:rPr>
                    <w:t>项目</w:t>
                  </w:r>
                  <w:r>
                    <w:rPr>
                      <w:rFonts w:hint="eastAsia" w:ascii="Times New Roman" w:hAnsi="Times New Roman" w:cs="Times New Roman"/>
                      <w:color w:val="auto"/>
                      <w:sz w:val="18"/>
                      <w:szCs w:val="21"/>
                      <w:highlight w:val="none"/>
                      <w:lang w:val="en-US" w:eastAsia="zh-CN"/>
                    </w:rPr>
                    <w:t>硫酸铵部分为散装，堆存在仓库中，仓库为密闭，且堆存物料和运输车辆上方均设置</w:t>
                  </w:r>
                  <w:r>
                    <w:rPr>
                      <w:rFonts w:hint="default" w:ascii="Times New Roman" w:hAnsi="Times New Roman" w:cs="Times New Roman"/>
                      <w:color w:val="auto"/>
                      <w:sz w:val="18"/>
                      <w:szCs w:val="18"/>
                      <w:highlight w:val="none"/>
                    </w:rPr>
                    <w:t>抑尘网</w:t>
                  </w:r>
                  <w:r>
                    <w:rPr>
                      <w:rFonts w:hint="eastAsia" w:ascii="Times New Roman" w:hAnsi="Times New Roman" w:cs="Times New Roman"/>
                      <w:color w:val="auto"/>
                      <w:sz w:val="18"/>
                      <w:szCs w:val="21"/>
                      <w:highlight w:val="none"/>
                      <w:lang w:val="en-US" w:eastAsia="zh-CN"/>
                    </w:rPr>
                    <w:t>。其他物料均为袋装</w:t>
                  </w:r>
                </w:p>
              </w:tc>
              <w:tc>
                <w:tcPr>
                  <w:tcW w:w="403" w:type="pct"/>
                  <w:vAlign w:val="center"/>
                </w:tcPr>
                <w:p w14:paraId="582907E9">
                  <w:pPr>
                    <w:pStyle w:val="200"/>
                    <w:spacing w:beforeLines="0" w:afterLines="0" w:line="24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符合</w:t>
                  </w:r>
                </w:p>
              </w:tc>
            </w:tr>
            <w:tr w14:paraId="11149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continue"/>
                  <w:vAlign w:val="center"/>
                </w:tcPr>
                <w:p w14:paraId="2540E04F">
                  <w:pPr>
                    <w:pStyle w:val="200"/>
                    <w:spacing w:beforeLines="0" w:afterLines="0" w:line="240" w:lineRule="atLeast"/>
                    <w:rPr>
                      <w:rFonts w:hint="default" w:ascii="Times New Roman" w:hAnsi="Times New Roman" w:cs="Times New Roman"/>
                      <w:color w:val="auto"/>
                      <w:sz w:val="18"/>
                      <w:szCs w:val="18"/>
                    </w:rPr>
                  </w:pPr>
                </w:p>
              </w:tc>
              <w:tc>
                <w:tcPr>
                  <w:tcW w:w="2724" w:type="pct"/>
                  <w:vAlign w:val="center"/>
                </w:tcPr>
                <w:p w14:paraId="4DAC84EB">
                  <w:pPr>
                    <w:pStyle w:val="200"/>
                    <w:spacing w:before="24" w:after="24" w:line="240" w:lineRule="atLeast"/>
                    <w:rPr>
                      <w:rFonts w:hint="default" w:ascii="Times New Roman" w:hAnsi="Times New Roman" w:cs="Times New Roman"/>
                      <w:color w:val="auto"/>
                      <w:sz w:val="18"/>
                      <w:szCs w:val="18"/>
                      <w:highlight w:val="none"/>
                      <w:shd w:val="clear" w:color="auto" w:fill="FFFFFF"/>
                    </w:rPr>
                  </w:pPr>
                  <w:r>
                    <w:rPr>
                      <w:rFonts w:hint="default" w:ascii="Times New Roman" w:hAnsi="Times New Roman" w:cs="Times New Roman"/>
                      <w:color w:val="auto"/>
                      <w:sz w:val="18"/>
                      <w:szCs w:val="18"/>
                      <w:highlight w:val="none"/>
                      <w:shd w:val="clear" w:color="auto" w:fill="FFFFFF"/>
                    </w:rPr>
                    <w:t>24.粉状物料破碎、粉磨以及产品烘干、冷却、混料、包装等过程中产生的粉尘，要设置布袋除尘器或者其他粉尘收集处理设施进行有效收集处理。其中，要根据企业生产情况和布袋除尘器压差变化情况，合理确定反吹时间间隔与频次。</w:t>
                  </w:r>
                </w:p>
              </w:tc>
              <w:tc>
                <w:tcPr>
                  <w:tcW w:w="1632" w:type="pct"/>
                  <w:vAlign w:val="center"/>
                </w:tcPr>
                <w:p w14:paraId="4A42C21E">
                  <w:pPr>
                    <w:spacing w:beforeLines="0" w:afterLines="0" w:line="240" w:lineRule="atLeast"/>
                    <w:jc w:val="both"/>
                    <w:rPr>
                      <w:rFonts w:hint="default" w:ascii="Times New Roman" w:hAnsi="Times New Roman" w:cs="Times New Roman"/>
                      <w:color w:val="auto"/>
                      <w:sz w:val="18"/>
                      <w:szCs w:val="18"/>
                      <w:highlight w:val="none"/>
                    </w:rPr>
                  </w:pPr>
                  <w:r>
                    <w:rPr>
                      <w:rFonts w:hint="default" w:ascii="Times New Roman" w:hAnsi="Times New Roman" w:cs="Times New Roman"/>
                      <w:bCs/>
                      <w:color w:val="auto"/>
                      <w:sz w:val="18"/>
                      <w:szCs w:val="18"/>
                      <w:highlight w:val="none"/>
                      <w:lang w:eastAsia="zh-CN"/>
                    </w:rPr>
                    <w:t>粉状物料袋装密闭保存。</w:t>
                  </w:r>
                  <w:r>
                    <w:rPr>
                      <w:rFonts w:hint="eastAsia" w:cs="Times New Roman"/>
                      <w:color w:val="auto"/>
                      <w:sz w:val="18"/>
                      <w:szCs w:val="21"/>
                      <w:highlight w:val="none"/>
                      <w:lang w:val="en-US" w:eastAsia="zh-CN"/>
                    </w:rPr>
                    <w:t>生产</w:t>
                  </w:r>
                  <w:r>
                    <w:rPr>
                      <w:rFonts w:hint="default" w:ascii="Times New Roman" w:hAnsi="Times New Roman" w:cs="Times New Roman"/>
                      <w:color w:val="auto"/>
                      <w:sz w:val="18"/>
                      <w:szCs w:val="21"/>
                      <w:highlight w:val="none"/>
                      <w:lang w:val="en-US" w:eastAsia="zh-CN"/>
                    </w:rPr>
                    <w:t>过程产生的粉尘设置集气罩收集后经除尘器处理后有组织排放</w:t>
                  </w:r>
                </w:p>
              </w:tc>
              <w:tc>
                <w:tcPr>
                  <w:tcW w:w="403" w:type="pct"/>
                  <w:vAlign w:val="center"/>
                </w:tcPr>
                <w:p w14:paraId="09540A78">
                  <w:pPr>
                    <w:pStyle w:val="200"/>
                    <w:spacing w:beforeLines="0" w:afterLines="0" w:line="24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符合</w:t>
                  </w:r>
                </w:p>
              </w:tc>
            </w:tr>
            <w:tr w14:paraId="4E19F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continue"/>
                  <w:vAlign w:val="center"/>
                </w:tcPr>
                <w:p w14:paraId="4EEA4315">
                  <w:pPr>
                    <w:pStyle w:val="200"/>
                    <w:spacing w:beforeLines="0" w:afterLines="0" w:line="240" w:lineRule="atLeast"/>
                    <w:rPr>
                      <w:rFonts w:hint="default" w:ascii="Times New Roman" w:hAnsi="Times New Roman" w:cs="Times New Roman"/>
                      <w:color w:val="auto"/>
                      <w:sz w:val="18"/>
                      <w:szCs w:val="18"/>
                    </w:rPr>
                  </w:pPr>
                </w:p>
              </w:tc>
              <w:tc>
                <w:tcPr>
                  <w:tcW w:w="2724" w:type="pct"/>
                  <w:vAlign w:val="center"/>
                </w:tcPr>
                <w:p w14:paraId="1ABCCBAE">
                  <w:pPr>
                    <w:pStyle w:val="200"/>
                    <w:spacing w:before="24" w:after="24" w:line="240" w:lineRule="atLeast"/>
                    <w:rPr>
                      <w:rFonts w:hint="default" w:ascii="Times New Roman" w:hAnsi="Times New Roman" w:cs="Times New Roman"/>
                      <w:color w:val="auto"/>
                      <w:sz w:val="18"/>
                      <w:szCs w:val="18"/>
                      <w:highlight w:val="none"/>
                      <w:shd w:val="clear" w:color="auto" w:fill="FFFFFF"/>
                    </w:rPr>
                  </w:pPr>
                  <w:r>
                    <w:rPr>
                      <w:rFonts w:hint="default" w:ascii="Times New Roman" w:hAnsi="Times New Roman" w:cs="Times New Roman"/>
                      <w:color w:val="auto"/>
                      <w:sz w:val="18"/>
                      <w:szCs w:val="18"/>
                      <w:highlight w:val="none"/>
                      <w:shd w:val="clear" w:color="auto" w:fill="FFFFFF"/>
                    </w:rPr>
                    <w:t>25.厂内道路要全部硬化，地面要硬化或者绿化，不得出现裸露地面。定期对厂内及车间内道路、地面等进行洒扫保洁，原则上每周冲洗不少于1次，每天洒扫不少于2次，地面无积尘。</w:t>
                  </w:r>
                </w:p>
              </w:tc>
              <w:tc>
                <w:tcPr>
                  <w:tcW w:w="1632" w:type="pct"/>
                  <w:vAlign w:val="center"/>
                </w:tcPr>
                <w:p w14:paraId="500838BB">
                  <w:pPr>
                    <w:pStyle w:val="200"/>
                    <w:spacing w:beforeLines="0" w:afterLines="0" w:line="240" w:lineRule="atLeast"/>
                    <w:jc w:val="both"/>
                    <w:rPr>
                      <w:rFonts w:hint="default" w:ascii="Times New Roman" w:hAnsi="Times New Roman" w:cs="Times New Roman"/>
                      <w:color w:val="auto"/>
                      <w:sz w:val="18"/>
                      <w:szCs w:val="18"/>
                      <w:highlight w:val="none"/>
                    </w:rPr>
                  </w:pPr>
                  <w:r>
                    <w:rPr>
                      <w:rFonts w:hint="eastAsia" w:ascii="Times New Roman" w:cs="Times New Roman"/>
                      <w:color w:val="auto"/>
                      <w:sz w:val="18"/>
                      <w:szCs w:val="18"/>
                      <w:highlight w:val="none"/>
                      <w:lang w:eastAsia="zh-CN"/>
                    </w:rPr>
                    <w:t>项目</w:t>
                  </w:r>
                  <w:r>
                    <w:rPr>
                      <w:rFonts w:hint="default" w:ascii="Times New Roman" w:hAnsi="Times New Roman" w:cs="Times New Roman"/>
                      <w:color w:val="auto"/>
                      <w:sz w:val="18"/>
                      <w:szCs w:val="18"/>
                      <w:highlight w:val="none"/>
                    </w:rPr>
                    <w:t>厂区道路全部硬化，无裸露地面。</w:t>
                  </w:r>
                  <w:r>
                    <w:rPr>
                      <w:rFonts w:hint="eastAsia" w:ascii="Times New Roman" w:cs="Times New Roman"/>
                      <w:color w:val="auto"/>
                      <w:sz w:val="18"/>
                      <w:szCs w:val="18"/>
                      <w:highlight w:val="none"/>
                      <w:lang w:eastAsia="zh-CN"/>
                    </w:rPr>
                    <w:t>项目</w:t>
                  </w:r>
                  <w:r>
                    <w:rPr>
                      <w:rFonts w:hint="default" w:ascii="Times New Roman" w:hAnsi="Times New Roman" w:cs="Times New Roman"/>
                      <w:color w:val="auto"/>
                      <w:sz w:val="18"/>
                      <w:szCs w:val="18"/>
                      <w:highlight w:val="none"/>
                    </w:rPr>
                    <w:t>建成后将按照要求对厂内道路、车间地面进行</w:t>
                  </w:r>
                  <w:r>
                    <w:rPr>
                      <w:rFonts w:hint="eastAsia" w:ascii="Times New Roman" w:cs="Times New Roman"/>
                      <w:color w:val="auto"/>
                      <w:sz w:val="18"/>
                      <w:szCs w:val="18"/>
                      <w:highlight w:val="none"/>
                      <w:lang w:val="en-US" w:eastAsia="zh-CN"/>
                    </w:rPr>
                    <w:t>清扫</w:t>
                  </w:r>
                  <w:r>
                    <w:rPr>
                      <w:rFonts w:hint="default" w:ascii="Times New Roman" w:hAnsi="Times New Roman" w:cs="Times New Roman"/>
                      <w:color w:val="auto"/>
                      <w:sz w:val="18"/>
                      <w:szCs w:val="18"/>
                      <w:highlight w:val="none"/>
                    </w:rPr>
                    <w:t>，做到地面无积尘</w:t>
                  </w:r>
                </w:p>
              </w:tc>
              <w:tc>
                <w:tcPr>
                  <w:tcW w:w="403" w:type="pct"/>
                  <w:vAlign w:val="center"/>
                </w:tcPr>
                <w:p w14:paraId="49859C68">
                  <w:pPr>
                    <w:pStyle w:val="200"/>
                    <w:spacing w:beforeLines="0" w:afterLines="0" w:line="24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符合</w:t>
                  </w:r>
                </w:p>
              </w:tc>
            </w:tr>
            <w:tr w14:paraId="56C0A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restart"/>
                  <w:vAlign w:val="center"/>
                </w:tcPr>
                <w:p w14:paraId="5F7CFED8">
                  <w:pPr>
                    <w:pStyle w:val="200"/>
                    <w:spacing w:beforeLines="0" w:afterLines="0" w:line="24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提升精细化管理水平</w:t>
                  </w:r>
                </w:p>
              </w:tc>
              <w:tc>
                <w:tcPr>
                  <w:tcW w:w="2724" w:type="pct"/>
                  <w:vAlign w:val="center"/>
                </w:tcPr>
                <w:p w14:paraId="215CCA19">
                  <w:pPr>
                    <w:pStyle w:val="200"/>
                    <w:spacing w:before="24" w:after="24" w:line="240" w:lineRule="atLeast"/>
                    <w:rPr>
                      <w:rFonts w:hint="default" w:ascii="Times New Roman" w:hAnsi="Times New Roman" w:cs="Times New Roman"/>
                      <w:color w:val="auto"/>
                      <w:sz w:val="18"/>
                      <w:szCs w:val="18"/>
                      <w:highlight w:val="none"/>
                      <w:shd w:val="clear" w:color="auto" w:fill="FFFFFF"/>
                    </w:rPr>
                  </w:pPr>
                  <w:r>
                    <w:rPr>
                      <w:rFonts w:hint="default" w:ascii="Times New Roman" w:hAnsi="Times New Roman" w:cs="Times New Roman"/>
                      <w:color w:val="auto"/>
                      <w:sz w:val="18"/>
                      <w:szCs w:val="18"/>
                      <w:highlight w:val="none"/>
                      <w:shd w:val="clear" w:color="auto" w:fill="FFFFFF"/>
                    </w:rPr>
                    <w:t>28.企业要按照排污许可证相关要求，完整记录和保存生产设施运行、脱硫脱硝剂消费、活性炭等吸附剂更换、原辅料及能源消费、污染设施运行等台账信息，相关台账信息要与DCS记录一致。DCS记录应定期备份，保存时间不少于书面台账。</w:t>
                  </w:r>
                </w:p>
              </w:tc>
              <w:tc>
                <w:tcPr>
                  <w:tcW w:w="1632" w:type="pct"/>
                  <w:vMerge w:val="restart"/>
                  <w:vAlign w:val="center"/>
                </w:tcPr>
                <w:p w14:paraId="35FBF56F">
                  <w:pPr>
                    <w:pStyle w:val="200"/>
                    <w:spacing w:beforeLines="0" w:afterLines="0" w:line="240" w:lineRule="atLeast"/>
                    <w:jc w:val="both"/>
                    <w:rPr>
                      <w:rFonts w:hint="default" w:ascii="Times New Roman" w:hAnsi="Times New Roman" w:cs="Times New Roman"/>
                      <w:color w:val="auto"/>
                      <w:sz w:val="18"/>
                      <w:szCs w:val="18"/>
                      <w:highlight w:val="none"/>
                    </w:rPr>
                  </w:pPr>
                  <w:r>
                    <w:rPr>
                      <w:rFonts w:hint="eastAsia" w:ascii="Times New Roman" w:cs="Times New Roman"/>
                      <w:color w:val="auto"/>
                      <w:sz w:val="18"/>
                      <w:szCs w:val="18"/>
                      <w:highlight w:val="none"/>
                      <w:lang w:eastAsia="zh-CN"/>
                    </w:rPr>
                    <w:t>项目</w:t>
                  </w:r>
                  <w:r>
                    <w:rPr>
                      <w:rFonts w:hint="default" w:ascii="Times New Roman" w:hAnsi="Times New Roman" w:cs="Times New Roman"/>
                      <w:color w:val="auto"/>
                      <w:sz w:val="18"/>
                      <w:szCs w:val="18"/>
                      <w:highlight w:val="none"/>
                    </w:rPr>
                    <w:t>建成后将按照要求进行精细化管理</w:t>
                  </w:r>
                </w:p>
              </w:tc>
              <w:tc>
                <w:tcPr>
                  <w:tcW w:w="403" w:type="pct"/>
                  <w:vMerge w:val="restart"/>
                  <w:vAlign w:val="center"/>
                </w:tcPr>
                <w:p w14:paraId="18B9E8DF">
                  <w:pPr>
                    <w:pStyle w:val="200"/>
                    <w:spacing w:beforeLines="0" w:afterLines="0" w:line="240" w:lineRule="atLeas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符合</w:t>
                  </w:r>
                </w:p>
              </w:tc>
            </w:tr>
            <w:tr w14:paraId="3888F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continue"/>
                  <w:vAlign w:val="center"/>
                </w:tcPr>
                <w:p w14:paraId="620786BD">
                  <w:pPr>
                    <w:pStyle w:val="200"/>
                    <w:spacing w:beforeLines="0" w:afterLines="0" w:line="240" w:lineRule="atLeast"/>
                    <w:rPr>
                      <w:rFonts w:hint="default" w:ascii="Times New Roman" w:hAnsi="Times New Roman" w:cs="Times New Roman"/>
                      <w:color w:val="auto"/>
                      <w:sz w:val="18"/>
                      <w:szCs w:val="18"/>
                    </w:rPr>
                  </w:pPr>
                </w:p>
              </w:tc>
              <w:tc>
                <w:tcPr>
                  <w:tcW w:w="2724" w:type="pct"/>
                  <w:vAlign w:val="center"/>
                </w:tcPr>
                <w:p w14:paraId="31A47333">
                  <w:pPr>
                    <w:pStyle w:val="200"/>
                    <w:spacing w:before="24" w:after="24" w:line="240" w:lineRule="atLeast"/>
                    <w:rPr>
                      <w:rFonts w:hint="default" w:ascii="Times New Roman" w:hAnsi="Times New Roman" w:cs="Times New Roman"/>
                      <w:color w:val="auto"/>
                      <w:sz w:val="18"/>
                      <w:szCs w:val="18"/>
                      <w:highlight w:val="none"/>
                      <w:shd w:val="clear" w:color="auto" w:fill="FFFFFF"/>
                    </w:rPr>
                  </w:pPr>
                  <w:r>
                    <w:rPr>
                      <w:rFonts w:hint="default" w:ascii="Times New Roman" w:hAnsi="Times New Roman" w:cs="Times New Roman"/>
                      <w:color w:val="auto"/>
                      <w:sz w:val="18"/>
                      <w:szCs w:val="18"/>
                      <w:highlight w:val="none"/>
                      <w:shd w:val="clear" w:color="auto" w:fill="FFFFFF"/>
                    </w:rPr>
                    <w:t>30.废气处理系统应与生产工艺设备“同启同停”，企业要根据处理工艺，在治污设施操作规程中规定要操作方法，明确启停时间、温度、压力、烟气量等参数</w:t>
                  </w:r>
                </w:p>
              </w:tc>
              <w:tc>
                <w:tcPr>
                  <w:tcW w:w="1632" w:type="pct"/>
                  <w:vMerge w:val="continue"/>
                  <w:vAlign w:val="center"/>
                </w:tcPr>
                <w:p w14:paraId="439FCD42">
                  <w:pPr>
                    <w:pStyle w:val="200"/>
                    <w:spacing w:beforeLines="0" w:afterLines="0" w:line="240" w:lineRule="atLeast"/>
                    <w:jc w:val="both"/>
                    <w:rPr>
                      <w:rFonts w:hint="default" w:ascii="Times New Roman" w:hAnsi="Times New Roman" w:cs="Times New Roman"/>
                      <w:color w:val="auto"/>
                      <w:sz w:val="18"/>
                      <w:szCs w:val="18"/>
                      <w:highlight w:val="none"/>
                    </w:rPr>
                  </w:pPr>
                </w:p>
              </w:tc>
              <w:tc>
                <w:tcPr>
                  <w:tcW w:w="403" w:type="pct"/>
                  <w:vMerge w:val="continue"/>
                  <w:vAlign w:val="center"/>
                </w:tcPr>
                <w:p w14:paraId="0ED62D43">
                  <w:pPr>
                    <w:pStyle w:val="200"/>
                    <w:spacing w:beforeLines="0" w:afterLines="0" w:line="240" w:lineRule="atLeast"/>
                    <w:jc w:val="center"/>
                    <w:rPr>
                      <w:rFonts w:hint="default" w:ascii="Times New Roman" w:hAnsi="Times New Roman" w:cs="Times New Roman"/>
                      <w:color w:val="auto"/>
                      <w:sz w:val="18"/>
                      <w:szCs w:val="18"/>
                      <w:highlight w:val="none"/>
                    </w:rPr>
                  </w:pPr>
                </w:p>
              </w:tc>
            </w:tr>
            <w:tr w14:paraId="78378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continue"/>
                  <w:vAlign w:val="center"/>
                </w:tcPr>
                <w:p w14:paraId="279466D2">
                  <w:pPr>
                    <w:pStyle w:val="200"/>
                    <w:spacing w:beforeLines="0" w:afterLines="0" w:line="240" w:lineRule="atLeast"/>
                    <w:rPr>
                      <w:rFonts w:hint="default" w:ascii="Times New Roman" w:hAnsi="Times New Roman" w:cs="Times New Roman"/>
                      <w:color w:val="auto"/>
                      <w:sz w:val="18"/>
                      <w:szCs w:val="18"/>
                    </w:rPr>
                  </w:pPr>
                </w:p>
              </w:tc>
              <w:tc>
                <w:tcPr>
                  <w:tcW w:w="2724" w:type="pct"/>
                  <w:vAlign w:val="center"/>
                </w:tcPr>
                <w:p w14:paraId="46BA1CC7">
                  <w:pPr>
                    <w:pStyle w:val="200"/>
                    <w:spacing w:before="24" w:after="24" w:line="240" w:lineRule="atLeast"/>
                    <w:rPr>
                      <w:rFonts w:hint="default" w:ascii="Times New Roman" w:hAnsi="Times New Roman" w:cs="Times New Roman"/>
                      <w:color w:val="auto"/>
                      <w:sz w:val="18"/>
                      <w:szCs w:val="18"/>
                      <w:highlight w:val="none"/>
                      <w:shd w:val="clear" w:color="auto" w:fill="FFFFFF"/>
                    </w:rPr>
                  </w:pPr>
                  <w:r>
                    <w:rPr>
                      <w:rFonts w:hint="default" w:ascii="Times New Roman" w:hAnsi="Times New Roman" w:cs="Times New Roman"/>
                      <w:color w:val="auto"/>
                      <w:sz w:val="18"/>
                      <w:szCs w:val="18"/>
                      <w:highlight w:val="none"/>
                      <w:shd w:val="clear" w:color="auto" w:fill="FFFFFF"/>
                    </w:rPr>
                    <w:t>31.企业应建立健全大气污染治理责任制、管理制度和操作规程，定期开展专项培训或综合培训。其中，治污设施操作人员的专项培训，每季度至少开展一次公司级培训，每月至少开展一次车间级培训，考核合格后方可上岗。</w:t>
                  </w:r>
                </w:p>
              </w:tc>
              <w:tc>
                <w:tcPr>
                  <w:tcW w:w="1632" w:type="pct"/>
                  <w:vMerge w:val="continue"/>
                  <w:vAlign w:val="center"/>
                </w:tcPr>
                <w:p w14:paraId="19AC1633">
                  <w:pPr>
                    <w:pStyle w:val="200"/>
                    <w:spacing w:beforeLines="0" w:afterLines="0" w:line="240" w:lineRule="atLeast"/>
                    <w:jc w:val="both"/>
                    <w:rPr>
                      <w:rFonts w:hint="default" w:ascii="Times New Roman" w:hAnsi="Times New Roman" w:cs="Times New Roman"/>
                      <w:color w:val="auto"/>
                      <w:sz w:val="18"/>
                      <w:szCs w:val="18"/>
                      <w:highlight w:val="none"/>
                    </w:rPr>
                  </w:pPr>
                </w:p>
              </w:tc>
              <w:tc>
                <w:tcPr>
                  <w:tcW w:w="403" w:type="pct"/>
                  <w:vMerge w:val="continue"/>
                  <w:vAlign w:val="center"/>
                </w:tcPr>
                <w:p w14:paraId="0F50B90A">
                  <w:pPr>
                    <w:pStyle w:val="200"/>
                    <w:spacing w:beforeLines="0" w:afterLines="0" w:line="240" w:lineRule="atLeast"/>
                    <w:jc w:val="center"/>
                    <w:rPr>
                      <w:rFonts w:hint="default" w:ascii="Times New Roman" w:hAnsi="Times New Roman" w:cs="Times New Roman"/>
                      <w:color w:val="auto"/>
                      <w:sz w:val="18"/>
                      <w:szCs w:val="18"/>
                      <w:highlight w:val="none"/>
                    </w:rPr>
                  </w:pPr>
                </w:p>
              </w:tc>
            </w:tr>
            <w:tr w14:paraId="2A9C1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continue"/>
                  <w:vAlign w:val="center"/>
                </w:tcPr>
                <w:p w14:paraId="59AC65EB">
                  <w:pPr>
                    <w:pStyle w:val="200"/>
                    <w:spacing w:beforeLines="0" w:afterLines="0" w:line="240" w:lineRule="atLeast"/>
                    <w:rPr>
                      <w:rFonts w:hint="default" w:ascii="Times New Roman" w:hAnsi="Times New Roman" w:cs="Times New Roman"/>
                      <w:color w:val="auto"/>
                      <w:sz w:val="18"/>
                      <w:szCs w:val="18"/>
                    </w:rPr>
                  </w:pPr>
                </w:p>
              </w:tc>
              <w:tc>
                <w:tcPr>
                  <w:tcW w:w="2724" w:type="pct"/>
                  <w:vAlign w:val="center"/>
                </w:tcPr>
                <w:p w14:paraId="00B4E355">
                  <w:pPr>
                    <w:pStyle w:val="200"/>
                    <w:spacing w:before="24" w:after="24" w:line="240" w:lineRule="atLeast"/>
                    <w:rPr>
                      <w:rFonts w:hint="default" w:ascii="Times New Roman" w:hAnsi="Times New Roman" w:cs="Times New Roman"/>
                      <w:color w:val="auto"/>
                      <w:sz w:val="18"/>
                      <w:szCs w:val="18"/>
                      <w:shd w:val="clear" w:color="auto" w:fill="FFFFFF"/>
                    </w:rPr>
                  </w:pPr>
                  <w:r>
                    <w:rPr>
                      <w:rFonts w:hint="default" w:ascii="Times New Roman" w:hAnsi="Times New Roman" w:cs="Times New Roman"/>
                      <w:color w:val="auto"/>
                      <w:sz w:val="18"/>
                      <w:szCs w:val="18"/>
                      <w:shd w:val="clear" w:color="auto" w:fill="FFFFFF"/>
                    </w:rPr>
                    <w:t>32.企业应建立治污设施运行巡查制度，定期巡查治污设施运行情况，巡查间隔时间不得超过半小时。治污设施运行参数要张贴悬挂于醒目位置，并明确异常问题的处理办法。巡查发现的问题要及时处置，不能整改的启用备用治污设施或有序停产，确保污染物达标排放</w:t>
                  </w:r>
                </w:p>
              </w:tc>
              <w:tc>
                <w:tcPr>
                  <w:tcW w:w="1632" w:type="pct"/>
                  <w:vMerge w:val="continue"/>
                  <w:vAlign w:val="center"/>
                </w:tcPr>
                <w:p w14:paraId="5D567986">
                  <w:pPr>
                    <w:pStyle w:val="200"/>
                    <w:spacing w:beforeLines="0" w:afterLines="0" w:line="240" w:lineRule="atLeast"/>
                    <w:jc w:val="both"/>
                    <w:rPr>
                      <w:rFonts w:hint="default" w:ascii="Times New Roman" w:hAnsi="Times New Roman" w:cs="Times New Roman"/>
                      <w:color w:val="auto"/>
                      <w:sz w:val="18"/>
                      <w:szCs w:val="18"/>
                      <w:highlight w:val="none"/>
                    </w:rPr>
                  </w:pPr>
                </w:p>
              </w:tc>
              <w:tc>
                <w:tcPr>
                  <w:tcW w:w="403" w:type="pct"/>
                  <w:vMerge w:val="continue"/>
                  <w:vAlign w:val="center"/>
                </w:tcPr>
                <w:p w14:paraId="0454CB96">
                  <w:pPr>
                    <w:pStyle w:val="200"/>
                    <w:spacing w:beforeLines="0" w:afterLines="0" w:line="240" w:lineRule="atLeast"/>
                    <w:jc w:val="center"/>
                    <w:rPr>
                      <w:rFonts w:hint="default" w:ascii="Times New Roman" w:hAnsi="Times New Roman" w:cs="Times New Roman"/>
                      <w:color w:val="auto"/>
                      <w:sz w:val="18"/>
                      <w:szCs w:val="18"/>
                      <w:highlight w:val="yellow"/>
                    </w:rPr>
                  </w:pPr>
                </w:p>
              </w:tc>
            </w:tr>
            <w:tr w14:paraId="730EC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Align w:val="center"/>
                </w:tcPr>
                <w:p w14:paraId="514F2AA6">
                  <w:pPr>
                    <w:pStyle w:val="200"/>
                    <w:spacing w:beforeLines="0" w:afterLines="0" w:line="24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坚决淘汰落后处理工艺</w:t>
                  </w:r>
                </w:p>
              </w:tc>
              <w:tc>
                <w:tcPr>
                  <w:tcW w:w="2724" w:type="pct"/>
                  <w:vAlign w:val="center"/>
                </w:tcPr>
                <w:p w14:paraId="36C92BC0">
                  <w:pPr>
                    <w:pStyle w:val="200"/>
                    <w:spacing w:before="24" w:after="24" w:line="240" w:lineRule="atLeast"/>
                    <w:rPr>
                      <w:rFonts w:hint="default" w:ascii="Times New Roman" w:hAnsi="Times New Roman" w:cs="Times New Roman"/>
                      <w:color w:val="auto"/>
                      <w:sz w:val="18"/>
                      <w:szCs w:val="18"/>
                      <w:shd w:val="clear" w:color="auto" w:fill="FFFFFF"/>
                    </w:rPr>
                  </w:pPr>
                  <w:r>
                    <w:rPr>
                      <w:rFonts w:hint="default" w:ascii="Times New Roman" w:hAnsi="Times New Roman" w:cs="Times New Roman"/>
                      <w:color w:val="auto"/>
                      <w:sz w:val="18"/>
                      <w:szCs w:val="18"/>
                      <w:shd w:val="clear" w:color="auto" w:fill="FFFFFF"/>
                    </w:rPr>
                    <w:t>全面淘汰除尘脱硫一体化、简易脱硫脱硝一体化、水洗法脱硫、氨法脱硫、生物脱硫以及无法实现精准管控的双碱法等脱硫工艺；全面淘汰微生物法脱硝及难以实现精准有效控制的氧化法脱硝和湿法脱硝工艺；全面淘汰水膜除尘、重力降尘、旋风除尘等单一措施除尘工艺。</w:t>
                  </w:r>
                </w:p>
              </w:tc>
              <w:tc>
                <w:tcPr>
                  <w:tcW w:w="1632" w:type="pct"/>
                  <w:vAlign w:val="center"/>
                </w:tcPr>
                <w:p w14:paraId="77C9A10D">
                  <w:pPr>
                    <w:pStyle w:val="200"/>
                    <w:spacing w:beforeLines="0" w:afterLines="0" w:line="240" w:lineRule="atLeast"/>
                    <w:jc w:val="both"/>
                    <w:rPr>
                      <w:rFonts w:hint="default" w:ascii="Times New Roman" w:hAnsi="Times New Roman" w:eastAsia="宋体" w:cs="Times New Roman"/>
                      <w:color w:val="auto"/>
                      <w:sz w:val="18"/>
                      <w:szCs w:val="18"/>
                      <w:highlight w:val="none"/>
                      <w:lang w:eastAsia="zh-CN"/>
                    </w:rPr>
                  </w:pPr>
                  <w:r>
                    <w:rPr>
                      <w:rFonts w:hint="eastAsia" w:ascii="Times New Roman" w:cs="Times New Roman"/>
                      <w:color w:val="auto"/>
                      <w:sz w:val="18"/>
                      <w:szCs w:val="18"/>
                      <w:highlight w:val="none"/>
                      <w:lang w:eastAsia="zh-CN"/>
                    </w:rPr>
                    <w:t>项目</w:t>
                  </w:r>
                  <w:r>
                    <w:rPr>
                      <w:rFonts w:hint="default" w:ascii="Times New Roman" w:hAnsi="Times New Roman" w:cs="Times New Roman"/>
                      <w:color w:val="auto"/>
                      <w:sz w:val="18"/>
                      <w:szCs w:val="18"/>
                      <w:highlight w:val="none"/>
                      <w:lang w:eastAsia="zh-CN"/>
                    </w:rPr>
                    <w:t>不涉及落后处理工艺。</w:t>
                  </w:r>
                </w:p>
              </w:tc>
              <w:tc>
                <w:tcPr>
                  <w:tcW w:w="403" w:type="pct"/>
                  <w:vAlign w:val="center"/>
                </w:tcPr>
                <w:p w14:paraId="03815E64">
                  <w:pPr>
                    <w:pStyle w:val="200"/>
                    <w:spacing w:beforeLines="0" w:afterLines="0" w:line="24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符合</w:t>
                  </w:r>
                </w:p>
              </w:tc>
            </w:tr>
          </w:tbl>
          <w:p w14:paraId="3931E19A">
            <w:pPr>
              <w:pStyle w:val="381"/>
              <w:ind w:firstLine="420"/>
              <w:rPr>
                <w:rFonts w:hint="default" w:ascii="Times New Roman" w:hAnsi="Times New Roman" w:eastAsia="宋体" w:cs="Times New Roman"/>
                <w:color w:val="auto"/>
                <w:sz w:val="21"/>
                <w:highlight w:val="none"/>
                <w:lang w:eastAsia="zh-CN"/>
              </w:rPr>
            </w:pPr>
            <w:r>
              <w:rPr>
                <w:rFonts w:hint="default" w:ascii="Times New Roman" w:hAnsi="Times New Roman" w:cs="Times New Roman"/>
                <w:color w:val="auto"/>
                <w:sz w:val="21"/>
                <w:szCs w:val="18"/>
                <w:lang w:val="en-US"/>
              </w:rPr>
              <w:t>综上分析，项目符合</w:t>
            </w:r>
            <w:r>
              <w:rPr>
                <w:rFonts w:hint="default" w:ascii="Times New Roman" w:hAnsi="Times New Roman" w:cs="Times New Roman"/>
                <w:color w:val="auto"/>
                <w:sz w:val="21"/>
              </w:rPr>
              <w:t>《全市工业企业大气污染治理品质提升实施方案》的通知（</w:t>
            </w:r>
            <w:r>
              <w:rPr>
                <w:rFonts w:hint="default" w:ascii="Times New Roman" w:hAnsi="Times New Roman" w:cs="Times New Roman"/>
                <w:color w:val="auto"/>
                <w:kern w:val="0"/>
                <w:sz w:val="21"/>
                <w:szCs w:val="18"/>
                <w:shd w:val="clear" w:color="auto" w:fill="FFFFFF"/>
              </w:rPr>
              <w:t>淄环委办〔2022〕10号</w:t>
            </w:r>
            <w:r>
              <w:rPr>
                <w:rFonts w:hint="default" w:ascii="Times New Roman" w:hAnsi="Times New Roman" w:cs="Times New Roman"/>
                <w:color w:val="auto"/>
                <w:sz w:val="21"/>
              </w:rPr>
              <w:t>）</w:t>
            </w:r>
            <w:r>
              <w:rPr>
                <w:rFonts w:hint="default" w:ascii="Times New Roman" w:hAnsi="Times New Roman" w:cs="Times New Roman"/>
                <w:color w:val="auto"/>
                <w:sz w:val="21"/>
                <w:highlight w:val="none"/>
              </w:rPr>
              <w:t>中相关要求</w:t>
            </w:r>
            <w:r>
              <w:rPr>
                <w:rFonts w:hint="default" w:ascii="Times New Roman" w:hAnsi="Times New Roman" w:cs="Times New Roman"/>
                <w:color w:val="auto"/>
                <w:sz w:val="21"/>
                <w:highlight w:val="none"/>
                <w:lang w:eastAsia="zh-CN"/>
              </w:rPr>
              <w:t>。</w:t>
            </w:r>
          </w:p>
          <w:p w14:paraId="7A472A37">
            <w:pPr>
              <w:pStyle w:val="8"/>
              <w:spacing w:line="36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8</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与《山东省环境保护条例》符合性分析</w:t>
            </w:r>
          </w:p>
          <w:p w14:paraId="6F5C8D24">
            <w:pPr>
              <w:pStyle w:val="8"/>
              <w:spacing w:line="36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该项目与</w:t>
            </w:r>
            <w:r>
              <w:rPr>
                <w:rFonts w:hint="eastAsia" w:cs="Times New Roman"/>
                <w:color w:val="auto"/>
                <w:sz w:val="21"/>
                <w:szCs w:val="21"/>
                <w:highlight w:val="none"/>
                <w:lang w:val="en-US" w:eastAsia="zh-CN"/>
              </w:rPr>
              <w:t>《山东省环境保护条例》</w:t>
            </w:r>
            <w:r>
              <w:rPr>
                <w:rFonts w:hint="default" w:ascii="Times New Roman" w:hAnsi="Times New Roman" w:cs="Times New Roman"/>
                <w:color w:val="auto"/>
                <w:sz w:val="21"/>
                <w:szCs w:val="21"/>
                <w:highlight w:val="none"/>
              </w:rPr>
              <w:t>的符合性见下表：</w:t>
            </w:r>
          </w:p>
          <w:p w14:paraId="03490C79">
            <w:pPr>
              <w:spacing w:line="36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表1-</w:t>
            </w:r>
            <w:r>
              <w:rPr>
                <w:rFonts w:hint="default" w:eastAsia="宋体" w:cs="Times New Roman"/>
                <w:b/>
                <w:bCs/>
                <w:color w:val="auto"/>
                <w:sz w:val="21"/>
                <w:szCs w:val="21"/>
                <w:highlight w:val="none"/>
                <w:lang w:val="en-US" w:eastAsia="zh-CN"/>
              </w:rPr>
              <w:t xml:space="preserve">11 </w:t>
            </w:r>
            <w:r>
              <w:rPr>
                <w:rFonts w:hint="default" w:ascii="Times New Roman" w:hAnsi="Times New Roman" w:eastAsia="宋体" w:cs="Times New Roman"/>
                <w:b/>
                <w:bCs/>
                <w:color w:val="auto"/>
                <w:sz w:val="21"/>
                <w:szCs w:val="21"/>
                <w:highlight w:val="none"/>
              </w:rPr>
              <w:t>项目与</w:t>
            </w:r>
            <w:r>
              <w:rPr>
                <w:rFonts w:hint="default" w:ascii="Times New Roman" w:hAnsi="Times New Roman" w:eastAsia="宋体" w:cs="Times New Roman"/>
                <w:b/>
                <w:bCs/>
                <w:color w:val="auto"/>
                <w:sz w:val="21"/>
                <w:szCs w:val="21"/>
                <w:highlight w:val="none"/>
                <w:lang w:val="en-US" w:eastAsia="zh-CN"/>
              </w:rPr>
              <w:t>《山东省环境保护条例》</w:t>
            </w:r>
            <w:r>
              <w:rPr>
                <w:rFonts w:hint="default" w:ascii="Times New Roman" w:hAnsi="Times New Roman" w:eastAsia="宋体" w:cs="Times New Roman"/>
                <w:b/>
                <w:bCs/>
                <w:color w:val="auto"/>
                <w:sz w:val="21"/>
                <w:szCs w:val="21"/>
                <w:highlight w:val="none"/>
              </w:rPr>
              <w:t>符合情况分析</w:t>
            </w:r>
          </w:p>
          <w:tbl>
            <w:tblPr>
              <w:tblStyle w:val="8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8"/>
              <w:gridCol w:w="4190"/>
              <w:gridCol w:w="2821"/>
              <w:gridCol w:w="603"/>
            </w:tblGrid>
            <w:tr w14:paraId="1DA77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 w:hRule="atLeast"/>
              </w:trPr>
              <w:tc>
                <w:tcPr>
                  <w:tcW w:w="2899" w:type="pct"/>
                  <w:gridSpan w:val="2"/>
                  <w:vAlign w:val="center"/>
                </w:tcPr>
                <w:p w14:paraId="755B395D">
                  <w:pPr>
                    <w:keepNext w:val="0"/>
                    <w:keepLines w:val="0"/>
                    <w:adjustRightInd w:val="0"/>
                    <w:snapToGrid w:val="0"/>
                    <w:spacing w:line="240" w:lineRule="auto"/>
                    <w:jc w:val="center"/>
                    <w:rPr>
                      <w:rFonts w:hint="default" w:ascii="Times New Roman" w:hAnsi="Times New Roman" w:eastAsia="宋体"/>
                      <w:color w:val="auto"/>
                      <w:sz w:val="18"/>
                      <w:szCs w:val="18"/>
                      <w:highlight w:val="none"/>
                      <w:vertAlign w:val="baseline"/>
                      <w:lang w:val="en-US" w:eastAsia="zh-CN"/>
                    </w:rPr>
                  </w:pPr>
                  <w:r>
                    <w:rPr>
                      <w:rFonts w:hint="default" w:ascii="Times New Roman" w:hAnsi="Times New Roman"/>
                      <w:color w:val="auto"/>
                      <w:sz w:val="18"/>
                      <w:szCs w:val="18"/>
                      <w:highlight w:val="none"/>
                    </w:rPr>
                    <w:t>山东省环境保护条例</w:t>
                  </w:r>
                </w:p>
              </w:tc>
              <w:tc>
                <w:tcPr>
                  <w:tcW w:w="1730" w:type="pct"/>
                  <w:vAlign w:val="center"/>
                </w:tcPr>
                <w:p w14:paraId="4DCE11F7">
                  <w:pPr>
                    <w:keepNext w:val="0"/>
                    <w:keepLines w:val="0"/>
                    <w:adjustRightInd w:val="0"/>
                    <w:snapToGrid w:val="0"/>
                    <w:spacing w:line="240" w:lineRule="auto"/>
                    <w:jc w:val="center"/>
                    <w:rPr>
                      <w:rFonts w:hint="default" w:ascii="Times New Roman" w:hAnsi="Times New Roman" w:eastAsia="宋体"/>
                      <w:color w:val="auto"/>
                      <w:sz w:val="18"/>
                      <w:szCs w:val="18"/>
                      <w:highlight w:val="none"/>
                      <w:vertAlign w:val="baseline"/>
                      <w:lang w:val="en-US" w:eastAsia="zh-CN"/>
                    </w:rPr>
                  </w:pPr>
                  <w:r>
                    <w:rPr>
                      <w:rFonts w:hint="eastAsia"/>
                      <w:color w:val="auto"/>
                      <w:sz w:val="18"/>
                      <w:szCs w:val="18"/>
                      <w:highlight w:val="none"/>
                      <w:vertAlign w:val="baseline"/>
                      <w:lang w:val="en-US" w:eastAsia="zh-CN"/>
                    </w:rPr>
                    <w:t>项目情况</w:t>
                  </w:r>
                </w:p>
              </w:tc>
              <w:tc>
                <w:tcPr>
                  <w:tcW w:w="370" w:type="pct"/>
                  <w:vAlign w:val="center"/>
                </w:tcPr>
                <w:p w14:paraId="05406515">
                  <w:pPr>
                    <w:keepNext w:val="0"/>
                    <w:keepLines w:val="0"/>
                    <w:adjustRightInd w:val="0"/>
                    <w:snapToGrid w:val="0"/>
                    <w:spacing w:line="240" w:lineRule="auto"/>
                    <w:jc w:val="center"/>
                    <w:rPr>
                      <w:rFonts w:hint="default" w:ascii="Times New Roman" w:hAnsi="Times New Roman" w:eastAsia="宋体"/>
                      <w:color w:val="auto"/>
                      <w:sz w:val="18"/>
                      <w:szCs w:val="18"/>
                      <w:highlight w:val="none"/>
                      <w:vertAlign w:val="baseline"/>
                      <w:lang w:val="en-US" w:eastAsia="zh-CN"/>
                    </w:rPr>
                  </w:pPr>
                  <w:r>
                    <w:rPr>
                      <w:rFonts w:hint="eastAsia" w:ascii="Times New Roman" w:hAnsi="Times New Roman"/>
                      <w:color w:val="auto"/>
                      <w:sz w:val="18"/>
                      <w:szCs w:val="18"/>
                      <w:highlight w:val="none"/>
                      <w:vertAlign w:val="baseline"/>
                      <w:lang w:val="en-US" w:eastAsia="zh-CN"/>
                    </w:rPr>
                    <w:t>符合性</w:t>
                  </w:r>
                </w:p>
              </w:tc>
            </w:tr>
            <w:tr w14:paraId="4861A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 w:hRule="atLeast"/>
              </w:trPr>
              <w:tc>
                <w:tcPr>
                  <w:tcW w:w="330" w:type="pct"/>
                  <w:vAlign w:val="center"/>
                </w:tcPr>
                <w:p w14:paraId="3C6622D1">
                  <w:pPr>
                    <w:keepNext w:val="0"/>
                    <w:keepLines w:val="0"/>
                    <w:adjustRightInd w:val="0"/>
                    <w:snapToGrid w:val="0"/>
                    <w:spacing w:line="240" w:lineRule="auto"/>
                    <w:jc w:val="center"/>
                    <w:rPr>
                      <w:rFonts w:hint="default" w:ascii="Times New Roman" w:hAnsi="Times New Roman" w:eastAsia="宋体"/>
                      <w:color w:val="auto"/>
                      <w:sz w:val="18"/>
                      <w:szCs w:val="18"/>
                      <w:highlight w:val="none"/>
                      <w:vertAlign w:val="baseline"/>
                      <w:lang w:val="en-US" w:eastAsia="zh-CN"/>
                    </w:rPr>
                  </w:pPr>
                  <w:r>
                    <w:rPr>
                      <w:rFonts w:hint="eastAsia" w:ascii="Times New Roman" w:hAnsi="Times New Roman" w:eastAsia="宋体"/>
                      <w:color w:val="auto"/>
                      <w:sz w:val="18"/>
                      <w:szCs w:val="18"/>
                      <w:highlight w:val="none"/>
                      <w:vertAlign w:val="baseline"/>
                      <w:lang w:val="en-US" w:eastAsia="zh-CN"/>
                    </w:rPr>
                    <w:t>1</w:t>
                  </w:r>
                </w:p>
              </w:tc>
              <w:tc>
                <w:tcPr>
                  <w:tcW w:w="2568" w:type="pct"/>
                  <w:vAlign w:val="center"/>
                </w:tcPr>
                <w:p w14:paraId="52D6C420">
                  <w:pPr>
                    <w:keepNext w:val="0"/>
                    <w:keepLines w:val="0"/>
                    <w:adjustRightInd w:val="0"/>
                    <w:snapToGrid w:val="0"/>
                    <w:spacing w:line="240" w:lineRule="auto"/>
                    <w:jc w:val="center"/>
                    <w:rPr>
                      <w:rFonts w:hint="default" w:ascii="Times New Roman" w:hAnsi="Times New Roman" w:eastAsia="宋体"/>
                      <w:color w:val="auto"/>
                      <w:sz w:val="18"/>
                      <w:szCs w:val="18"/>
                      <w:highlight w:val="none"/>
                      <w:vertAlign w:val="baseline"/>
                      <w:lang w:val="en-US" w:eastAsia="zh-CN"/>
                    </w:rPr>
                  </w:pPr>
                  <w:r>
                    <w:rPr>
                      <w:rFonts w:hint="default" w:ascii="Times New Roman" w:hAnsi="Times New Roman" w:eastAsia="宋体"/>
                      <w:color w:val="auto"/>
                      <w:sz w:val="18"/>
                      <w:szCs w:val="18"/>
                      <w:highlight w:val="none"/>
                      <w:vertAlign w:val="baseline"/>
                      <w:lang w:val="en-US" w:eastAsia="zh-CN"/>
                    </w:rPr>
                    <w:t>排污单位应当采取措施，防治在生产建设或者其他活动中产生的废气、废水、废渣、医疗废物、粉尘、恶臭气体、放射性物质以及噪声、振动、光辐射、电磁辐射等对环境的污染和危害，其污染排放不得超过排放标准和重点污染物排放总量控制指标。实行排污许可管理的排污单位，应当按照排污许可证规定的污染物种类、浓度、排放去向和许可排放量等要求排放污染物。</w:t>
                  </w:r>
                </w:p>
              </w:tc>
              <w:tc>
                <w:tcPr>
                  <w:tcW w:w="1730" w:type="pct"/>
                  <w:vAlign w:val="center"/>
                </w:tcPr>
                <w:p w14:paraId="25225542">
                  <w:pPr>
                    <w:keepNext w:val="0"/>
                    <w:keepLines w:val="0"/>
                    <w:adjustRightInd w:val="0"/>
                    <w:snapToGrid w:val="0"/>
                    <w:spacing w:line="240" w:lineRule="auto"/>
                    <w:jc w:val="center"/>
                    <w:rPr>
                      <w:rFonts w:hint="default" w:ascii="Times New Roman" w:hAnsi="Times New Roman" w:eastAsia="宋体"/>
                      <w:color w:val="auto"/>
                      <w:sz w:val="18"/>
                      <w:szCs w:val="18"/>
                      <w:highlight w:val="none"/>
                      <w:vertAlign w:val="baseline"/>
                      <w:lang w:val="en-US" w:eastAsia="zh-CN"/>
                    </w:rPr>
                  </w:pPr>
                  <w:r>
                    <w:rPr>
                      <w:rFonts w:hint="eastAsia" w:cs="Times New Roman" w:eastAsiaTheme="minorEastAsia"/>
                      <w:color w:val="auto"/>
                      <w:sz w:val="18"/>
                      <w:szCs w:val="16"/>
                      <w:highlight w:val="none"/>
                      <w:lang w:eastAsia="zh-CN"/>
                    </w:rPr>
                    <w:t>项目</w:t>
                  </w:r>
                  <w:r>
                    <w:rPr>
                      <w:rFonts w:hint="eastAsia" w:ascii="Times New Roman" w:hAnsi="Times New Roman" w:cs="Times New Roman" w:eastAsiaTheme="minorEastAsia"/>
                      <w:color w:val="auto"/>
                      <w:sz w:val="18"/>
                      <w:szCs w:val="16"/>
                      <w:highlight w:val="none"/>
                      <w:lang w:val="en-US" w:eastAsia="zh-CN"/>
                    </w:rPr>
                    <w:t>原料破碎、筛分、配料、部分筛分、混合、粗筛、整形过程</w:t>
                  </w:r>
                  <w:r>
                    <w:rPr>
                      <w:rFonts w:hint="eastAsia" w:ascii="Times New Roman" w:hAnsi="Times New Roman" w:cs="Times New Roman" w:eastAsiaTheme="minorEastAsia"/>
                      <w:color w:val="auto"/>
                      <w:sz w:val="18"/>
                      <w:szCs w:val="16"/>
                      <w:highlight w:val="none"/>
                      <w:lang w:eastAsia="zh-CN"/>
                    </w:rPr>
                    <w:t>产生的颗粒物经集气罩收集后经1套布袋除尘器处理后通过同一根15m高DA00</w:t>
                  </w:r>
                  <w:r>
                    <w:rPr>
                      <w:rFonts w:hint="eastAsia" w:ascii="Times New Roman" w:hAnsi="Times New Roman" w:cs="Times New Roman" w:eastAsiaTheme="minorEastAsia"/>
                      <w:color w:val="auto"/>
                      <w:sz w:val="18"/>
                      <w:szCs w:val="16"/>
                      <w:highlight w:val="none"/>
                      <w:lang w:val="en-US" w:eastAsia="zh-CN"/>
                    </w:rPr>
                    <w:t>3</w:t>
                  </w:r>
                  <w:r>
                    <w:rPr>
                      <w:rFonts w:hint="eastAsia" w:ascii="Times New Roman" w:hAnsi="Times New Roman" w:cs="Times New Roman" w:eastAsiaTheme="minorEastAsia"/>
                      <w:color w:val="auto"/>
                      <w:sz w:val="18"/>
                      <w:szCs w:val="16"/>
                      <w:highlight w:val="none"/>
                      <w:lang w:eastAsia="zh-CN"/>
                    </w:rPr>
                    <w:t>排气筒有组织排放；</w:t>
                  </w:r>
                  <w:r>
                    <w:rPr>
                      <w:rFonts w:hint="eastAsia" w:ascii="Times New Roman" w:hAnsi="Times New Roman" w:cs="Times New Roman" w:eastAsiaTheme="minorEastAsia"/>
                      <w:color w:val="auto"/>
                      <w:sz w:val="18"/>
                      <w:szCs w:val="16"/>
                      <w:highlight w:val="none"/>
                      <w:lang w:val="en-US" w:eastAsia="zh-CN"/>
                    </w:rPr>
                    <w:t>天然气燃烧废气（烟尘、SO</w:t>
                  </w:r>
                  <w:r>
                    <w:rPr>
                      <w:rFonts w:hint="eastAsia" w:ascii="Times New Roman" w:hAnsi="Times New Roman" w:cs="Times New Roman" w:eastAsiaTheme="minorEastAsia"/>
                      <w:color w:val="auto"/>
                      <w:sz w:val="18"/>
                      <w:szCs w:val="16"/>
                      <w:highlight w:val="none"/>
                      <w:vertAlign w:val="subscript"/>
                      <w:lang w:val="en-US" w:eastAsia="zh-CN"/>
                    </w:rPr>
                    <w:t>2</w:t>
                  </w:r>
                  <w:r>
                    <w:rPr>
                      <w:rFonts w:hint="eastAsia" w:ascii="Times New Roman" w:hAnsi="Times New Roman" w:cs="Times New Roman" w:eastAsiaTheme="minorEastAsia"/>
                      <w:color w:val="auto"/>
                      <w:sz w:val="18"/>
                      <w:szCs w:val="16"/>
                      <w:highlight w:val="none"/>
                      <w:lang w:val="en-US" w:eastAsia="zh-CN"/>
                    </w:rPr>
                    <w:t>、NOx）、造粒工序、和烘干工序产生的粉尘、氨气、臭气浓度</w:t>
                  </w:r>
                  <w:r>
                    <w:rPr>
                      <w:rFonts w:hint="eastAsia" w:ascii="Times New Roman" w:hAnsi="Times New Roman" w:cs="Times New Roman" w:eastAsiaTheme="minorEastAsia"/>
                      <w:color w:val="auto"/>
                      <w:sz w:val="18"/>
                      <w:szCs w:val="16"/>
                      <w:highlight w:val="none"/>
                      <w:lang w:eastAsia="zh-CN"/>
                    </w:rPr>
                    <w:t>经</w:t>
                  </w:r>
                  <w:r>
                    <w:rPr>
                      <w:rFonts w:hint="eastAsia" w:ascii="Times New Roman" w:hAnsi="Times New Roman" w:cs="Times New Roman" w:eastAsiaTheme="minorEastAsia"/>
                      <w:color w:val="auto"/>
                      <w:sz w:val="18"/>
                      <w:szCs w:val="16"/>
                      <w:highlight w:val="none"/>
                      <w:lang w:val="en-US" w:eastAsia="zh-CN"/>
                    </w:rPr>
                    <w:t>布袋除尘器+水喷淋处理</w:t>
                  </w:r>
                  <w:r>
                    <w:rPr>
                      <w:rFonts w:hint="eastAsia" w:ascii="Times New Roman" w:hAnsi="Times New Roman" w:cs="Times New Roman" w:eastAsiaTheme="minorEastAsia"/>
                      <w:color w:val="auto"/>
                      <w:sz w:val="18"/>
                      <w:szCs w:val="16"/>
                      <w:highlight w:val="none"/>
                      <w:lang w:eastAsia="zh-CN"/>
                    </w:rPr>
                    <w:t>后由同一根15m高DA00</w:t>
                  </w:r>
                  <w:r>
                    <w:rPr>
                      <w:rFonts w:hint="eastAsia" w:ascii="Times New Roman" w:hAnsi="Times New Roman" w:cs="Times New Roman" w:eastAsiaTheme="minorEastAsia"/>
                      <w:color w:val="auto"/>
                      <w:sz w:val="18"/>
                      <w:szCs w:val="16"/>
                      <w:highlight w:val="none"/>
                      <w:lang w:val="en-US" w:eastAsia="zh-CN"/>
                    </w:rPr>
                    <w:t>1</w:t>
                  </w:r>
                  <w:r>
                    <w:rPr>
                      <w:rFonts w:hint="eastAsia" w:ascii="Times New Roman" w:hAnsi="Times New Roman" w:cs="Times New Roman" w:eastAsiaTheme="minorEastAsia"/>
                      <w:color w:val="auto"/>
                      <w:sz w:val="18"/>
                      <w:szCs w:val="16"/>
                      <w:highlight w:val="none"/>
                      <w:lang w:eastAsia="zh-CN"/>
                    </w:rPr>
                    <w:t>排气筒有组织排放；</w:t>
                  </w:r>
                  <w:r>
                    <w:rPr>
                      <w:rFonts w:hint="eastAsia" w:ascii="Times New Roman" w:hAnsi="Times New Roman" w:cs="Times New Roman" w:eastAsiaTheme="minorEastAsia"/>
                      <w:color w:val="auto"/>
                      <w:sz w:val="18"/>
                      <w:szCs w:val="16"/>
                      <w:highlight w:val="none"/>
                      <w:lang w:val="en-US" w:eastAsia="zh-CN"/>
                    </w:rPr>
                    <w:t>冷却、精筛、入仓、包膜、包装过程</w:t>
                  </w:r>
                  <w:r>
                    <w:rPr>
                      <w:rFonts w:hint="eastAsia" w:ascii="Times New Roman" w:hAnsi="Times New Roman" w:cs="Times New Roman" w:eastAsiaTheme="minorEastAsia"/>
                      <w:color w:val="auto"/>
                      <w:sz w:val="18"/>
                      <w:szCs w:val="16"/>
                      <w:highlight w:val="none"/>
                      <w:lang w:eastAsia="zh-CN"/>
                    </w:rPr>
                    <w:t>产生的颗粒物经集气罩收集后经1套布袋除尘器处理后通过同一根15m高DA00</w:t>
                  </w:r>
                  <w:r>
                    <w:rPr>
                      <w:rFonts w:hint="eastAsia" w:ascii="Times New Roman" w:hAnsi="Times New Roman" w:cs="Times New Roman" w:eastAsiaTheme="minorEastAsia"/>
                      <w:color w:val="auto"/>
                      <w:sz w:val="18"/>
                      <w:szCs w:val="16"/>
                      <w:highlight w:val="none"/>
                      <w:lang w:val="en-US" w:eastAsia="zh-CN"/>
                    </w:rPr>
                    <w:t>2</w:t>
                  </w:r>
                  <w:r>
                    <w:rPr>
                      <w:rFonts w:hint="eastAsia" w:ascii="Times New Roman" w:hAnsi="Times New Roman" w:cs="Times New Roman" w:eastAsiaTheme="minorEastAsia"/>
                      <w:color w:val="auto"/>
                      <w:sz w:val="18"/>
                      <w:szCs w:val="16"/>
                      <w:highlight w:val="none"/>
                      <w:lang w:eastAsia="zh-CN"/>
                    </w:rPr>
                    <w:t>排气筒有组织排放。</w:t>
                  </w:r>
                  <w:r>
                    <w:rPr>
                      <w:rFonts w:hint="eastAsia" w:ascii="Times New Roman" w:hAnsi="Times New Roman" w:cs="Times New Roman" w:eastAsiaTheme="minorEastAsia"/>
                      <w:color w:val="auto"/>
                      <w:sz w:val="18"/>
                      <w:szCs w:val="16"/>
                      <w:highlight w:val="none"/>
                      <w:lang w:val="en-US" w:eastAsia="zh-CN"/>
                    </w:rPr>
                    <w:t>食堂油烟经油烟净化装置处理后经高于建筑物1.5m排气筒有组织排放</w:t>
                  </w:r>
                  <w:r>
                    <w:rPr>
                      <w:rFonts w:hint="eastAsia" w:ascii="Times New Roman" w:hAnsi="Times New Roman" w:cs="Times New Roman" w:eastAsiaTheme="minorEastAsia"/>
                      <w:color w:val="auto"/>
                      <w:sz w:val="18"/>
                      <w:szCs w:val="16"/>
                      <w:highlight w:val="none"/>
                      <w:lang w:eastAsia="zh-CN"/>
                    </w:rPr>
                    <w:t>；</w:t>
                  </w:r>
                  <w:r>
                    <w:rPr>
                      <w:rFonts w:hint="eastAsia" w:ascii="Times New Roman" w:hAnsi="Times New Roman" w:cs="Times New Roman" w:eastAsiaTheme="minorEastAsia"/>
                      <w:color w:val="auto"/>
                      <w:sz w:val="18"/>
                      <w:szCs w:val="16"/>
                      <w:highlight w:val="none"/>
                      <w:lang w:val="zh-CN" w:eastAsia="zh-CN"/>
                    </w:rPr>
                    <w:t>生活污水经化粪池预处理后由环卫部门定期清运；固体废物均得到合理处置，去向明确</w:t>
                  </w:r>
                </w:p>
              </w:tc>
              <w:tc>
                <w:tcPr>
                  <w:tcW w:w="370" w:type="pct"/>
                  <w:vAlign w:val="center"/>
                </w:tcPr>
                <w:p w14:paraId="0D15C762">
                  <w:pPr>
                    <w:keepNext w:val="0"/>
                    <w:keepLines w:val="0"/>
                    <w:adjustRightInd w:val="0"/>
                    <w:snapToGrid w:val="0"/>
                    <w:spacing w:line="240" w:lineRule="auto"/>
                    <w:jc w:val="center"/>
                    <w:rPr>
                      <w:rFonts w:hint="default" w:ascii="Times New Roman" w:hAnsi="Times New Roman" w:eastAsia="宋体"/>
                      <w:color w:val="auto"/>
                      <w:sz w:val="18"/>
                      <w:szCs w:val="18"/>
                      <w:highlight w:val="none"/>
                      <w:vertAlign w:val="baseline"/>
                      <w:lang w:val="en-US" w:eastAsia="zh-CN"/>
                    </w:rPr>
                  </w:pPr>
                  <w:r>
                    <w:rPr>
                      <w:rFonts w:hint="eastAsia" w:ascii="Times New Roman" w:hAnsi="Times New Roman"/>
                      <w:color w:val="auto"/>
                      <w:sz w:val="18"/>
                      <w:szCs w:val="18"/>
                      <w:highlight w:val="none"/>
                      <w:vertAlign w:val="baseline"/>
                      <w:lang w:val="en-US" w:eastAsia="zh-CN"/>
                    </w:rPr>
                    <w:t>符合</w:t>
                  </w:r>
                </w:p>
              </w:tc>
            </w:tr>
            <w:tr w14:paraId="20439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 w:hRule="atLeast"/>
              </w:trPr>
              <w:tc>
                <w:tcPr>
                  <w:tcW w:w="330" w:type="pct"/>
                  <w:vAlign w:val="center"/>
                </w:tcPr>
                <w:p w14:paraId="52F3C1D9">
                  <w:pPr>
                    <w:keepNext w:val="0"/>
                    <w:keepLines w:val="0"/>
                    <w:adjustRightInd w:val="0"/>
                    <w:snapToGrid w:val="0"/>
                    <w:spacing w:line="240" w:lineRule="auto"/>
                    <w:jc w:val="center"/>
                    <w:rPr>
                      <w:rFonts w:hint="default" w:ascii="Times New Roman" w:hAnsi="Times New Roman" w:eastAsia="宋体"/>
                      <w:color w:val="auto"/>
                      <w:sz w:val="18"/>
                      <w:szCs w:val="18"/>
                      <w:highlight w:val="none"/>
                      <w:vertAlign w:val="baseline"/>
                      <w:lang w:val="en-US" w:eastAsia="zh-CN"/>
                    </w:rPr>
                  </w:pPr>
                  <w:r>
                    <w:rPr>
                      <w:rFonts w:hint="eastAsia" w:ascii="Times New Roman" w:hAnsi="Times New Roman" w:eastAsia="宋体"/>
                      <w:color w:val="auto"/>
                      <w:sz w:val="18"/>
                      <w:szCs w:val="18"/>
                      <w:highlight w:val="none"/>
                      <w:vertAlign w:val="baseline"/>
                      <w:lang w:val="en-US" w:eastAsia="zh-CN"/>
                    </w:rPr>
                    <w:t>2</w:t>
                  </w:r>
                </w:p>
              </w:tc>
              <w:tc>
                <w:tcPr>
                  <w:tcW w:w="2568" w:type="pct"/>
                  <w:vAlign w:val="center"/>
                </w:tcPr>
                <w:p w14:paraId="37B8FE85">
                  <w:pPr>
                    <w:keepNext w:val="0"/>
                    <w:keepLines w:val="0"/>
                    <w:adjustRightInd w:val="0"/>
                    <w:snapToGrid w:val="0"/>
                    <w:spacing w:line="240" w:lineRule="auto"/>
                    <w:jc w:val="center"/>
                    <w:rPr>
                      <w:rFonts w:hint="default" w:ascii="Times New Roman" w:hAnsi="Times New Roman" w:eastAsia="宋体"/>
                      <w:color w:val="auto"/>
                      <w:sz w:val="18"/>
                      <w:szCs w:val="18"/>
                      <w:highlight w:val="none"/>
                      <w:vertAlign w:val="baseline"/>
                      <w:lang w:val="en-US" w:eastAsia="zh-CN"/>
                    </w:rPr>
                  </w:pPr>
                  <w:r>
                    <w:rPr>
                      <w:rFonts w:hint="default" w:ascii="Times New Roman" w:hAnsi="Times New Roman" w:eastAsia="宋体"/>
                      <w:color w:val="auto"/>
                      <w:sz w:val="18"/>
                      <w:szCs w:val="18"/>
                      <w:highlight w:val="none"/>
                      <w:vertAlign w:val="baseline"/>
                      <w:lang w:val="en-US" w:eastAsia="zh-CN"/>
                    </w:rPr>
                    <w:t>新建、改建、扩建建设项目，应当根据环境影响评价文件以及生态环境主管部门审批决定的要求建设环境保护设施、落实环境保护措施。环境保护设施应当与主体工程同时设计、同时施工、同时投产使用。</w:t>
                  </w:r>
                </w:p>
              </w:tc>
              <w:tc>
                <w:tcPr>
                  <w:tcW w:w="1730" w:type="pct"/>
                  <w:vAlign w:val="center"/>
                </w:tcPr>
                <w:p w14:paraId="74CFD968">
                  <w:pPr>
                    <w:keepNext w:val="0"/>
                    <w:keepLines w:val="0"/>
                    <w:adjustRightInd w:val="0"/>
                    <w:snapToGrid w:val="0"/>
                    <w:spacing w:line="240" w:lineRule="auto"/>
                    <w:jc w:val="center"/>
                    <w:rPr>
                      <w:rFonts w:hint="default" w:ascii="Times New Roman" w:hAnsi="Times New Roman" w:eastAsia="宋体"/>
                      <w:color w:val="auto"/>
                      <w:sz w:val="18"/>
                      <w:szCs w:val="18"/>
                      <w:highlight w:val="none"/>
                      <w:vertAlign w:val="baseline"/>
                      <w:lang w:val="en-US" w:eastAsia="zh-CN"/>
                    </w:rPr>
                  </w:pPr>
                  <w:r>
                    <w:rPr>
                      <w:rFonts w:hint="default" w:ascii="Times New Roman" w:hAnsi="Times New Roman" w:eastAsia="宋体"/>
                      <w:color w:val="auto"/>
                      <w:sz w:val="18"/>
                      <w:szCs w:val="18"/>
                      <w:highlight w:val="none"/>
                      <w:vertAlign w:val="baseline"/>
                      <w:lang w:val="en-US" w:eastAsia="zh-CN"/>
                    </w:rPr>
                    <w:t>项目严格按照环评文件及环评批复的要求建设环境保护设施、落实环境保护措施，并严格落实环境保护设施与主体工程同时设计、同 时施工、同时投产使用的三同时制度</w:t>
                  </w:r>
                </w:p>
              </w:tc>
              <w:tc>
                <w:tcPr>
                  <w:tcW w:w="370" w:type="pct"/>
                  <w:vAlign w:val="center"/>
                </w:tcPr>
                <w:p w14:paraId="776F0863">
                  <w:pPr>
                    <w:keepNext w:val="0"/>
                    <w:keepLines w:val="0"/>
                    <w:adjustRightInd w:val="0"/>
                    <w:snapToGrid w:val="0"/>
                    <w:spacing w:line="240" w:lineRule="auto"/>
                    <w:jc w:val="center"/>
                    <w:rPr>
                      <w:rFonts w:hint="default" w:ascii="Times New Roman" w:hAnsi="Times New Roman" w:eastAsia="宋体"/>
                      <w:color w:val="auto"/>
                      <w:sz w:val="18"/>
                      <w:szCs w:val="18"/>
                      <w:highlight w:val="none"/>
                      <w:vertAlign w:val="baseline"/>
                      <w:lang w:val="en-US" w:eastAsia="zh-CN"/>
                    </w:rPr>
                  </w:pPr>
                  <w:r>
                    <w:rPr>
                      <w:rFonts w:hint="eastAsia" w:ascii="Times New Roman" w:hAnsi="Times New Roman"/>
                      <w:color w:val="auto"/>
                      <w:sz w:val="18"/>
                      <w:szCs w:val="18"/>
                      <w:highlight w:val="none"/>
                      <w:vertAlign w:val="baseline"/>
                      <w:lang w:val="en-US" w:eastAsia="zh-CN"/>
                    </w:rPr>
                    <w:t>符合</w:t>
                  </w:r>
                </w:p>
              </w:tc>
            </w:tr>
            <w:tr w14:paraId="19EBD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 w:hRule="atLeast"/>
              </w:trPr>
              <w:tc>
                <w:tcPr>
                  <w:tcW w:w="330" w:type="pct"/>
                  <w:vAlign w:val="center"/>
                </w:tcPr>
                <w:p w14:paraId="314FD6F4">
                  <w:pPr>
                    <w:keepNext w:val="0"/>
                    <w:keepLines w:val="0"/>
                    <w:adjustRightInd w:val="0"/>
                    <w:snapToGrid w:val="0"/>
                    <w:spacing w:line="240" w:lineRule="auto"/>
                    <w:jc w:val="center"/>
                    <w:rPr>
                      <w:rFonts w:hint="default" w:ascii="Times New Roman" w:hAnsi="Times New Roman"/>
                      <w:color w:val="auto"/>
                      <w:sz w:val="18"/>
                      <w:szCs w:val="18"/>
                      <w:highlight w:val="none"/>
                      <w:vertAlign w:val="baseline"/>
                      <w:lang w:val="en-US" w:eastAsia="zh-CN"/>
                    </w:rPr>
                  </w:pPr>
                  <w:r>
                    <w:rPr>
                      <w:rFonts w:hint="eastAsia" w:ascii="Times New Roman" w:hAnsi="Times New Roman"/>
                      <w:color w:val="auto"/>
                      <w:sz w:val="18"/>
                      <w:szCs w:val="18"/>
                      <w:highlight w:val="none"/>
                      <w:vertAlign w:val="baseline"/>
                      <w:lang w:val="en-US" w:eastAsia="zh-CN"/>
                    </w:rPr>
                    <w:t>3</w:t>
                  </w:r>
                </w:p>
              </w:tc>
              <w:tc>
                <w:tcPr>
                  <w:tcW w:w="2568" w:type="pct"/>
                  <w:vAlign w:val="center"/>
                </w:tcPr>
                <w:p w14:paraId="559ADFB7">
                  <w:pPr>
                    <w:keepNext w:val="0"/>
                    <w:keepLines w:val="0"/>
                    <w:adjustRightInd w:val="0"/>
                    <w:snapToGrid w:val="0"/>
                    <w:spacing w:line="240" w:lineRule="auto"/>
                    <w:jc w:val="center"/>
                    <w:rPr>
                      <w:rFonts w:hint="default" w:ascii="Times New Roman" w:hAnsi="Times New Roman" w:eastAsia="宋体"/>
                      <w:color w:val="auto"/>
                      <w:sz w:val="18"/>
                      <w:szCs w:val="18"/>
                      <w:highlight w:val="none"/>
                      <w:vertAlign w:val="baseline"/>
                      <w:lang w:val="en-US" w:eastAsia="zh-CN"/>
                    </w:rPr>
                  </w:pPr>
                  <w:r>
                    <w:rPr>
                      <w:rFonts w:hint="default" w:ascii="Times New Roman" w:hAnsi="Times New Roman" w:eastAsia="宋体"/>
                      <w:color w:val="auto"/>
                      <w:sz w:val="18"/>
                      <w:szCs w:val="18"/>
                      <w:highlight w:val="none"/>
                      <w:vertAlign w:val="baseline"/>
                      <w:lang w:val="en-US" w:eastAsia="zh-CN"/>
                    </w:rPr>
                    <w:t>排污单位应当按照环境保护设施的设计要求和排污许可证规定的排放要求，制定完善环境保护管理制度和操作规程，并保障环境保护设施正常运行。排污单位应当根据生产经营和污染防治的需要，建设应急环境保护设施。鼓励排污单位建设污染防治备用设施，在必要时投入使用。</w:t>
                  </w:r>
                </w:p>
              </w:tc>
              <w:tc>
                <w:tcPr>
                  <w:tcW w:w="1730" w:type="pct"/>
                  <w:vAlign w:val="center"/>
                </w:tcPr>
                <w:p w14:paraId="2CD67E1C">
                  <w:pPr>
                    <w:keepNext w:val="0"/>
                    <w:keepLines w:val="0"/>
                    <w:adjustRightInd w:val="0"/>
                    <w:snapToGrid w:val="0"/>
                    <w:spacing w:line="240" w:lineRule="auto"/>
                    <w:jc w:val="center"/>
                    <w:rPr>
                      <w:rFonts w:hint="default" w:ascii="Times New Roman" w:hAnsi="Times New Roman" w:eastAsia="宋体"/>
                      <w:color w:val="auto"/>
                      <w:sz w:val="18"/>
                      <w:szCs w:val="18"/>
                      <w:highlight w:val="none"/>
                      <w:vertAlign w:val="baseline"/>
                      <w:lang w:val="en-US" w:eastAsia="zh-CN"/>
                    </w:rPr>
                  </w:pPr>
                  <w:r>
                    <w:rPr>
                      <w:rFonts w:hint="default" w:ascii="Times New Roman" w:hAnsi="Times New Roman" w:eastAsia="宋体"/>
                      <w:color w:val="auto"/>
                      <w:sz w:val="18"/>
                      <w:szCs w:val="18"/>
                      <w:highlight w:val="none"/>
                      <w:vertAlign w:val="baseline"/>
                      <w:lang w:val="en-US" w:eastAsia="zh-CN"/>
                    </w:rPr>
                    <w:t>企业应按照环境保护设施的设计要求和排污许可规定的排放要求，制定完善环 境保护管理制度和操作规程，并保障环境保护设施正常运行。企业设计建设了应 急事故水池，保证突发应急</w:t>
                  </w:r>
                </w:p>
                <w:p w14:paraId="46189D55">
                  <w:pPr>
                    <w:keepNext w:val="0"/>
                    <w:keepLines w:val="0"/>
                    <w:adjustRightInd w:val="0"/>
                    <w:snapToGrid w:val="0"/>
                    <w:spacing w:line="240" w:lineRule="auto"/>
                    <w:jc w:val="center"/>
                    <w:rPr>
                      <w:rFonts w:hint="default" w:ascii="Times New Roman" w:hAnsi="Times New Roman" w:eastAsia="宋体"/>
                      <w:color w:val="auto"/>
                      <w:sz w:val="18"/>
                      <w:szCs w:val="18"/>
                      <w:highlight w:val="none"/>
                      <w:vertAlign w:val="baseline"/>
                      <w:lang w:val="en-US" w:eastAsia="zh-CN"/>
                    </w:rPr>
                  </w:pPr>
                  <w:r>
                    <w:rPr>
                      <w:rFonts w:hint="default" w:ascii="Times New Roman" w:hAnsi="Times New Roman" w:eastAsia="宋体"/>
                      <w:color w:val="auto"/>
                      <w:sz w:val="18"/>
                      <w:szCs w:val="18"/>
                      <w:highlight w:val="none"/>
                      <w:vertAlign w:val="baseline"/>
                      <w:lang w:val="en-US" w:eastAsia="zh-CN"/>
                    </w:rPr>
                    <w:t>事故的处理能力</w:t>
                  </w:r>
                </w:p>
              </w:tc>
              <w:tc>
                <w:tcPr>
                  <w:tcW w:w="370" w:type="pct"/>
                  <w:vAlign w:val="center"/>
                </w:tcPr>
                <w:p w14:paraId="069FB9F7">
                  <w:pPr>
                    <w:keepNext w:val="0"/>
                    <w:keepLines w:val="0"/>
                    <w:adjustRightInd w:val="0"/>
                    <w:snapToGrid w:val="0"/>
                    <w:spacing w:line="240" w:lineRule="auto"/>
                    <w:jc w:val="center"/>
                    <w:rPr>
                      <w:rFonts w:hint="default" w:ascii="Times New Roman" w:hAnsi="Times New Roman"/>
                      <w:color w:val="auto"/>
                      <w:sz w:val="18"/>
                      <w:szCs w:val="18"/>
                      <w:highlight w:val="none"/>
                      <w:vertAlign w:val="baseline"/>
                      <w:lang w:val="en-US" w:eastAsia="zh-CN"/>
                    </w:rPr>
                  </w:pPr>
                  <w:r>
                    <w:rPr>
                      <w:rFonts w:hint="eastAsia" w:ascii="Times New Roman" w:hAnsi="Times New Roman"/>
                      <w:color w:val="auto"/>
                      <w:sz w:val="18"/>
                      <w:szCs w:val="18"/>
                      <w:highlight w:val="none"/>
                      <w:vertAlign w:val="baseline"/>
                      <w:lang w:val="en-US" w:eastAsia="zh-CN"/>
                    </w:rPr>
                    <w:t>符合</w:t>
                  </w:r>
                </w:p>
              </w:tc>
            </w:tr>
            <w:tr w14:paraId="25E15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 w:hRule="atLeast"/>
              </w:trPr>
              <w:tc>
                <w:tcPr>
                  <w:tcW w:w="330" w:type="pct"/>
                  <w:vAlign w:val="center"/>
                </w:tcPr>
                <w:p w14:paraId="564192DF">
                  <w:pPr>
                    <w:keepNext w:val="0"/>
                    <w:keepLines w:val="0"/>
                    <w:adjustRightInd w:val="0"/>
                    <w:snapToGrid w:val="0"/>
                    <w:spacing w:line="240" w:lineRule="auto"/>
                    <w:jc w:val="center"/>
                    <w:rPr>
                      <w:rFonts w:hint="default" w:ascii="Times New Roman" w:hAnsi="Times New Roman"/>
                      <w:color w:val="auto"/>
                      <w:sz w:val="18"/>
                      <w:szCs w:val="18"/>
                      <w:highlight w:val="none"/>
                      <w:vertAlign w:val="baseline"/>
                      <w:lang w:val="en-US" w:eastAsia="zh-CN"/>
                    </w:rPr>
                  </w:pPr>
                </w:p>
              </w:tc>
              <w:tc>
                <w:tcPr>
                  <w:tcW w:w="2568" w:type="pct"/>
                  <w:vAlign w:val="center"/>
                </w:tcPr>
                <w:p w14:paraId="22C2F8FC">
                  <w:pPr>
                    <w:keepNext w:val="0"/>
                    <w:keepLines w:val="0"/>
                    <w:adjustRightInd w:val="0"/>
                    <w:snapToGrid w:val="0"/>
                    <w:spacing w:line="240" w:lineRule="auto"/>
                    <w:jc w:val="center"/>
                    <w:rPr>
                      <w:rFonts w:hint="default" w:ascii="Times New Roman" w:hAnsi="Times New Roman" w:eastAsia="宋体"/>
                      <w:color w:val="auto"/>
                      <w:sz w:val="18"/>
                      <w:szCs w:val="18"/>
                      <w:highlight w:val="none"/>
                      <w:vertAlign w:val="baseline"/>
                      <w:lang w:val="en-US" w:eastAsia="zh-CN"/>
                    </w:rPr>
                  </w:pPr>
                  <w:r>
                    <w:rPr>
                      <w:rFonts w:hint="default" w:ascii="Times New Roman" w:hAnsi="Times New Roman" w:eastAsia="宋体"/>
                      <w:color w:val="auto"/>
                      <w:sz w:val="18"/>
                      <w:szCs w:val="18"/>
                      <w:highlight w:val="none"/>
                      <w:vertAlign w:val="baseline"/>
                      <w:lang w:val="en-US" w:eastAsia="zh-CN"/>
                    </w:rPr>
                    <w:t>排污单位可以委托具有相应能力的第三方机构运营其环境保护设施或者实施污染治理。委托运营不免除排污单位的责任。</w:t>
                  </w:r>
                </w:p>
              </w:tc>
              <w:tc>
                <w:tcPr>
                  <w:tcW w:w="1730" w:type="pct"/>
                  <w:vAlign w:val="center"/>
                </w:tcPr>
                <w:p w14:paraId="4DEC5BF9">
                  <w:pPr>
                    <w:keepNext w:val="0"/>
                    <w:keepLines w:val="0"/>
                    <w:adjustRightInd w:val="0"/>
                    <w:snapToGrid w:val="0"/>
                    <w:spacing w:line="240" w:lineRule="auto"/>
                    <w:jc w:val="center"/>
                    <w:rPr>
                      <w:rFonts w:hint="default" w:ascii="Times New Roman" w:hAnsi="Times New Roman" w:eastAsia="宋体"/>
                      <w:color w:val="auto"/>
                      <w:sz w:val="18"/>
                      <w:szCs w:val="18"/>
                      <w:highlight w:val="none"/>
                      <w:vertAlign w:val="baseline"/>
                      <w:lang w:val="en-US" w:eastAsia="zh-CN"/>
                    </w:rPr>
                  </w:pPr>
                  <w:r>
                    <w:rPr>
                      <w:rFonts w:hint="default" w:ascii="Times New Roman" w:hAnsi="Times New Roman" w:eastAsia="宋体"/>
                      <w:color w:val="auto"/>
                      <w:sz w:val="18"/>
                      <w:szCs w:val="18"/>
                      <w:highlight w:val="none"/>
                      <w:vertAlign w:val="baseline"/>
                      <w:lang w:val="en-US" w:eastAsia="zh-CN"/>
                    </w:rPr>
                    <w:t>已制定例行监测计划</w:t>
                  </w:r>
                </w:p>
              </w:tc>
              <w:tc>
                <w:tcPr>
                  <w:tcW w:w="370" w:type="pct"/>
                  <w:vAlign w:val="center"/>
                </w:tcPr>
                <w:p w14:paraId="2A590EA9">
                  <w:pPr>
                    <w:keepNext w:val="0"/>
                    <w:keepLines w:val="0"/>
                    <w:adjustRightInd w:val="0"/>
                    <w:snapToGrid w:val="0"/>
                    <w:spacing w:line="240" w:lineRule="auto"/>
                    <w:jc w:val="center"/>
                    <w:rPr>
                      <w:rFonts w:hint="default" w:ascii="Times New Roman" w:hAnsi="Times New Roman"/>
                      <w:color w:val="auto"/>
                      <w:sz w:val="18"/>
                      <w:szCs w:val="18"/>
                      <w:highlight w:val="none"/>
                      <w:vertAlign w:val="baseline"/>
                      <w:lang w:val="en-US" w:eastAsia="zh-CN"/>
                    </w:rPr>
                  </w:pPr>
                  <w:r>
                    <w:rPr>
                      <w:rFonts w:hint="eastAsia" w:ascii="Times New Roman" w:hAnsi="Times New Roman"/>
                      <w:color w:val="auto"/>
                      <w:sz w:val="18"/>
                      <w:szCs w:val="18"/>
                      <w:highlight w:val="none"/>
                      <w:vertAlign w:val="baseline"/>
                      <w:lang w:val="en-US" w:eastAsia="zh-CN"/>
                    </w:rPr>
                    <w:t>符合</w:t>
                  </w:r>
                </w:p>
              </w:tc>
            </w:tr>
            <w:tr w14:paraId="688A8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 w:hRule="atLeast"/>
              </w:trPr>
              <w:tc>
                <w:tcPr>
                  <w:tcW w:w="330" w:type="pct"/>
                  <w:vAlign w:val="center"/>
                </w:tcPr>
                <w:p w14:paraId="50D053DA">
                  <w:pPr>
                    <w:keepNext w:val="0"/>
                    <w:keepLines w:val="0"/>
                    <w:adjustRightInd w:val="0"/>
                    <w:snapToGrid w:val="0"/>
                    <w:spacing w:line="240" w:lineRule="auto"/>
                    <w:jc w:val="center"/>
                    <w:rPr>
                      <w:rFonts w:hint="default" w:ascii="Times New Roman" w:hAnsi="Times New Roman"/>
                      <w:color w:val="auto"/>
                      <w:sz w:val="18"/>
                      <w:szCs w:val="18"/>
                      <w:highlight w:val="none"/>
                      <w:vertAlign w:val="baseline"/>
                      <w:lang w:val="en-US" w:eastAsia="zh-CN"/>
                    </w:rPr>
                  </w:pPr>
                  <w:r>
                    <w:rPr>
                      <w:rFonts w:hint="eastAsia" w:ascii="Times New Roman" w:hAnsi="Times New Roman"/>
                      <w:color w:val="auto"/>
                      <w:sz w:val="18"/>
                      <w:szCs w:val="18"/>
                      <w:highlight w:val="none"/>
                      <w:vertAlign w:val="baseline"/>
                      <w:lang w:val="en-US" w:eastAsia="zh-CN"/>
                    </w:rPr>
                    <w:t>4</w:t>
                  </w:r>
                </w:p>
              </w:tc>
              <w:tc>
                <w:tcPr>
                  <w:tcW w:w="2568" w:type="pct"/>
                  <w:vAlign w:val="center"/>
                </w:tcPr>
                <w:p w14:paraId="18BE951F">
                  <w:pPr>
                    <w:keepNext w:val="0"/>
                    <w:keepLines w:val="0"/>
                    <w:adjustRightInd w:val="0"/>
                    <w:snapToGrid w:val="0"/>
                    <w:spacing w:line="240" w:lineRule="auto"/>
                    <w:jc w:val="center"/>
                    <w:rPr>
                      <w:rFonts w:hint="default" w:ascii="Times New Roman" w:hAnsi="Times New Roman" w:eastAsia="宋体"/>
                      <w:color w:val="auto"/>
                      <w:sz w:val="18"/>
                      <w:szCs w:val="18"/>
                      <w:highlight w:val="none"/>
                      <w:vertAlign w:val="baseline"/>
                      <w:lang w:val="en-US" w:eastAsia="zh-CN"/>
                    </w:rPr>
                  </w:pPr>
                  <w:r>
                    <w:rPr>
                      <w:rFonts w:hint="default" w:ascii="Times New Roman" w:hAnsi="Times New Roman" w:eastAsia="宋体"/>
                      <w:color w:val="auto"/>
                      <w:sz w:val="18"/>
                      <w:szCs w:val="18"/>
                      <w:highlight w:val="none"/>
                      <w:vertAlign w:val="baseline"/>
                      <w:lang w:val="en-US" w:eastAsia="zh-CN"/>
                    </w:rPr>
                    <w:t>重点排污单位应当按照规定安装污染物排放自动监测设备，并保障其正常运行，不得擅自拆除、停用、改变或者损毁。自动监测设备应当与生态环境主管部门的监控设备联网。重点排污单位由设区的市生态环境主管部门确定，并向社会公布。对未实行自动监测的污染物，排污单位应当按照国家和省的规定进行人工监测，并保存原始监测记录。自动监测数据以及生态环境主管部门委托的具有相应资质的环境监测机构的监测数据，可以作为环境执法和管理的依据。</w:t>
                  </w:r>
                </w:p>
              </w:tc>
              <w:tc>
                <w:tcPr>
                  <w:tcW w:w="1730" w:type="pct"/>
                  <w:vAlign w:val="center"/>
                </w:tcPr>
                <w:p w14:paraId="19F8C9A3">
                  <w:pPr>
                    <w:keepNext w:val="0"/>
                    <w:keepLines w:val="0"/>
                    <w:adjustRightInd w:val="0"/>
                    <w:snapToGrid w:val="0"/>
                    <w:spacing w:line="240" w:lineRule="auto"/>
                    <w:jc w:val="center"/>
                    <w:rPr>
                      <w:rFonts w:hint="default" w:ascii="Times New Roman" w:hAnsi="Times New Roman" w:eastAsia="宋体"/>
                      <w:color w:val="auto"/>
                      <w:sz w:val="18"/>
                      <w:szCs w:val="18"/>
                      <w:highlight w:val="none"/>
                      <w:vertAlign w:val="baseline"/>
                      <w:lang w:val="en-US" w:eastAsia="zh-CN"/>
                    </w:rPr>
                  </w:pPr>
                  <w:r>
                    <w:rPr>
                      <w:rFonts w:hint="default" w:ascii="Times New Roman" w:hAnsi="Times New Roman" w:eastAsia="宋体"/>
                      <w:color w:val="auto"/>
                      <w:sz w:val="18"/>
                      <w:szCs w:val="18"/>
                      <w:highlight w:val="none"/>
                      <w:vertAlign w:val="baseline"/>
                      <w:lang w:val="en-US" w:eastAsia="zh-CN"/>
                    </w:rPr>
                    <w:t>企业排污许可证管理级别为重点管理</w:t>
                  </w:r>
                  <w:r>
                    <w:rPr>
                      <w:rFonts w:hint="eastAsia"/>
                      <w:color w:val="auto"/>
                      <w:sz w:val="18"/>
                      <w:szCs w:val="18"/>
                      <w:highlight w:val="none"/>
                      <w:vertAlign w:val="baseline"/>
                      <w:lang w:val="en-US" w:eastAsia="zh-CN"/>
                    </w:rPr>
                    <w:t>，按要求对DA001排气筒进行自动监控设施的安装</w:t>
                  </w:r>
                </w:p>
              </w:tc>
              <w:tc>
                <w:tcPr>
                  <w:tcW w:w="370" w:type="pct"/>
                  <w:vAlign w:val="center"/>
                </w:tcPr>
                <w:p w14:paraId="48C35105">
                  <w:pPr>
                    <w:keepNext w:val="0"/>
                    <w:keepLines w:val="0"/>
                    <w:adjustRightInd w:val="0"/>
                    <w:snapToGrid w:val="0"/>
                    <w:spacing w:line="240" w:lineRule="auto"/>
                    <w:jc w:val="center"/>
                    <w:rPr>
                      <w:rFonts w:hint="default" w:ascii="Times New Roman" w:hAnsi="Times New Roman"/>
                      <w:color w:val="auto"/>
                      <w:sz w:val="18"/>
                      <w:szCs w:val="18"/>
                      <w:highlight w:val="none"/>
                      <w:vertAlign w:val="baseline"/>
                      <w:lang w:val="en-US" w:eastAsia="zh-CN"/>
                    </w:rPr>
                  </w:pPr>
                  <w:r>
                    <w:rPr>
                      <w:rFonts w:hint="eastAsia" w:ascii="Times New Roman" w:hAnsi="Times New Roman"/>
                      <w:color w:val="auto"/>
                      <w:sz w:val="18"/>
                      <w:szCs w:val="18"/>
                      <w:highlight w:val="none"/>
                      <w:vertAlign w:val="baseline"/>
                      <w:lang w:val="en-US" w:eastAsia="zh-CN"/>
                    </w:rPr>
                    <w:t>符合</w:t>
                  </w:r>
                </w:p>
              </w:tc>
            </w:tr>
          </w:tbl>
          <w:p w14:paraId="0BA18987">
            <w:pPr>
              <w:adjustRightInd w:val="0"/>
              <w:snapToGrid w:val="0"/>
              <w:spacing w:line="360" w:lineRule="auto"/>
              <w:ind w:firstLine="420" w:firstLineChars="200"/>
              <w:rPr>
                <w:color w:val="auto"/>
                <w:highlight w:val="none"/>
              </w:rPr>
            </w:pPr>
            <w:r>
              <w:rPr>
                <w:color w:val="auto"/>
                <w:highlight w:val="none"/>
              </w:rPr>
              <w:t>（</w:t>
            </w:r>
            <w:r>
              <w:rPr>
                <w:rFonts w:hint="eastAsia"/>
                <w:color w:val="auto"/>
                <w:highlight w:val="none"/>
                <w:lang w:val="en-US" w:eastAsia="zh-CN"/>
              </w:rPr>
              <w:t>9</w:t>
            </w:r>
            <w:r>
              <w:rPr>
                <w:color w:val="auto"/>
                <w:highlight w:val="none"/>
              </w:rPr>
              <w:t>）与《关于严格项目审批工作坚决防止新上“散乱污”项目的通知》（鲁环字[2021]58号）的符合性分析。</w:t>
            </w:r>
          </w:p>
          <w:p w14:paraId="2E6A6365">
            <w:pPr>
              <w:pStyle w:val="732"/>
              <w:snapToGrid w:val="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表1-12项目与《关于严格项目审批工作坚决防止新上“散乱污”项目的通知》（鲁环字[2021]58号）的符合性分析</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1"/>
              <w:gridCol w:w="4258"/>
              <w:gridCol w:w="2149"/>
              <w:gridCol w:w="814"/>
            </w:tblGrid>
            <w:tr w14:paraId="32A38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1" w:type="pct"/>
                  <w:noWrap w:val="0"/>
                  <w:vAlign w:val="center"/>
                </w:tcPr>
                <w:p w14:paraId="7EB98868">
                  <w:pPr>
                    <w:jc w:val="center"/>
                    <w:rPr>
                      <w:b/>
                      <w:bCs/>
                      <w:color w:val="auto"/>
                      <w:sz w:val="18"/>
                      <w:szCs w:val="18"/>
                      <w:highlight w:val="none"/>
                    </w:rPr>
                  </w:pPr>
                  <w:r>
                    <w:rPr>
                      <w:b/>
                      <w:bCs/>
                      <w:color w:val="auto"/>
                      <w:sz w:val="18"/>
                      <w:szCs w:val="18"/>
                      <w:highlight w:val="none"/>
                    </w:rPr>
                    <w:t>序号</w:t>
                  </w:r>
                </w:p>
              </w:tc>
              <w:tc>
                <w:tcPr>
                  <w:tcW w:w="2611" w:type="pct"/>
                  <w:noWrap w:val="0"/>
                  <w:vAlign w:val="center"/>
                </w:tcPr>
                <w:p w14:paraId="7537DE4C">
                  <w:pPr>
                    <w:jc w:val="center"/>
                    <w:rPr>
                      <w:b/>
                      <w:bCs/>
                      <w:color w:val="auto"/>
                      <w:sz w:val="18"/>
                      <w:szCs w:val="18"/>
                      <w:highlight w:val="none"/>
                    </w:rPr>
                  </w:pPr>
                  <w:r>
                    <w:rPr>
                      <w:b/>
                      <w:bCs/>
                      <w:color w:val="auto"/>
                      <w:sz w:val="18"/>
                      <w:szCs w:val="18"/>
                      <w:highlight w:val="none"/>
                    </w:rPr>
                    <w:t>关于严格项目审批工作坚决防止新上“散乱污”项目的通知（鲁环字[2021]58号）</w:t>
                  </w:r>
                </w:p>
              </w:tc>
              <w:tc>
                <w:tcPr>
                  <w:tcW w:w="1318" w:type="pct"/>
                  <w:noWrap w:val="0"/>
                  <w:vAlign w:val="center"/>
                </w:tcPr>
                <w:p w14:paraId="47108489">
                  <w:pPr>
                    <w:jc w:val="center"/>
                    <w:rPr>
                      <w:b/>
                      <w:bCs/>
                      <w:color w:val="auto"/>
                      <w:sz w:val="18"/>
                      <w:szCs w:val="18"/>
                      <w:highlight w:val="none"/>
                    </w:rPr>
                  </w:pPr>
                  <w:r>
                    <w:rPr>
                      <w:b/>
                      <w:bCs/>
                      <w:color w:val="auto"/>
                      <w:sz w:val="18"/>
                      <w:szCs w:val="18"/>
                      <w:highlight w:val="none"/>
                    </w:rPr>
                    <w:t>项目符合情况</w:t>
                  </w:r>
                </w:p>
              </w:tc>
              <w:tc>
                <w:tcPr>
                  <w:tcW w:w="499" w:type="pct"/>
                  <w:noWrap w:val="0"/>
                  <w:vAlign w:val="center"/>
                </w:tcPr>
                <w:p w14:paraId="536F14AE">
                  <w:pPr>
                    <w:jc w:val="center"/>
                    <w:rPr>
                      <w:b/>
                      <w:bCs/>
                      <w:color w:val="auto"/>
                      <w:sz w:val="18"/>
                      <w:szCs w:val="18"/>
                      <w:highlight w:val="none"/>
                    </w:rPr>
                  </w:pPr>
                  <w:r>
                    <w:rPr>
                      <w:b/>
                      <w:bCs/>
                      <w:color w:val="auto"/>
                      <w:sz w:val="18"/>
                      <w:szCs w:val="18"/>
                      <w:highlight w:val="none"/>
                    </w:rPr>
                    <w:t>符合情况</w:t>
                  </w:r>
                </w:p>
              </w:tc>
            </w:tr>
            <w:tr w14:paraId="331D0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1" w:type="pct"/>
                  <w:noWrap w:val="0"/>
                  <w:vAlign w:val="center"/>
                </w:tcPr>
                <w:p w14:paraId="0EC7800B">
                  <w:pPr>
                    <w:snapToGrid w:val="0"/>
                    <w:jc w:val="center"/>
                    <w:rPr>
                      <w:color w:val="auto"/>
                      <w:sz w:val="18"/>
                      <w:szCs w:val="18"/>
                      <w:highlight w:val="none"/>
                    </w:rPr>
                  </w:pPr>
                  <w:r>
                    <w:rPr>
                      <w:color w:val="auto"/>
                      <w:sz w:val="18"/>
                      <w:szCs w:val="18"/>
                      <w:highlight w:val="none"/>
                    </w:rPr>
                    <w:t>一</w:t>
                  </w:r>
                </w:p>
              </w:tc>
              <w:tc>
                <w:tcPr>
                  <w:tcW w:w="2611" w:type="pct"/>
                  <w:noWrap w:val="0"/>
                  <w:vAlign w:val="center"/>
                </w:tcPr>
                <w:p w14:paraId="51D327CE">
                  <w:pPr>
                    <w:snapToGrid w:val="0"/>
                    <w:jc w:val="center"/>
                    <w:rPr>
                      <w:color w:val="auto"/>
                      <w:sz w:val="18"/>
                      <w:szCs w:val="18"/>
                      <w:highlight w:val="none"/>
                    </w:rPr>
                  </w:pPr>
                  <w:r>
                    <w:rPr>
                      <w:rFonts w:hint="eastAsia"/>
                      <w:color w:val="auto"/>
                      <w:sz w:val="18"/>
                      <w:szCs w:val="18"/>
                      <w:highlight w:val="none"/>
                    </w:rPr>
                    <w:t>认真贯彻执行产业政策。新上项目必须符合国家产业政策要求，禁止采用国家公布的淘汰工艺和落后设备，不得引进耗能高、污染大、生产粗放、不符合国家产业政策的项目。各级立项部门在为企业办理手续时，要认真对照《产业结构调整指导目录（2019年本）》（如有更新，以更新后文件为准），对鼓励类项目，按照有关规定审批、核准或备案；对限制类项目，禁止新建，现有生产能力允许在一定期限内改造升级；对淘汰类项目，市场主体不得进入，行政机关不予审批</w:t>
                  </w:r>
                  <w:r>
                    <w:rPr>
                      <w:color w:val="auto"/>
                      <w:sz w:val="18"/>
                      <w:szCs w:val="18"/>
                      <w:highlight w:val="none"/>
                    </w:rPr>
                    <w:t>。</w:t>
                  </w:r>
                </w:p>
              </w:tc>
              <w:tc>
                <w:tcPr>
                  <w:tcW w:w="1318" w:type="pct"/>
                  <w:noWrap w:val="0"/>
                  <w:vAlign w:val="center"/>
                </w:tcPr>
                <w:p w14:paraId="5BDF34AA">
                  <w:pPr>
                    <w:snapToGrid w:val="0"/>
                    <w:jc w:val="center"/>
                    <w:rPr>
                      <w:color w:val="auto"/>
                      <w:sz w:val="18"/>
                      <w:szCs w:val="18"/>
                      <w:highlight w:val="none"/>
                    </w:rPr>
                  </w:pPr>
                  <w:r>
                    <w:rPr>
                      <w:color w:val="auto"/>
                      <w:sz w:val="18"/>
                      <w:szCs w:val="18"/>
                      <w:highlight w:val="none"/>
                    </w:rPr>
                    <w:t>项目工艺、设备不属于国家公布的淘汰工艺和落后设备；项目不属于耗能高、污染大、生产粗放、不符合国家产业政策的项目；经查询</w:t>
                  </w:r>
                  <w:r>
                    <w:rPr>
                      <w:rFonts w:hint="eastAsia"/>
                      <w:color w:val="auto"/>
                      <w:sz w:val="18"/>
                      <w:szCs w:val="18"/>
                      <w:highlight w:val="none"/>
                      <w:lang w:eastAsia="zh-CN"/>
                    </w:rPr>
                    <w:t>《产业结构调整指导目录（2024年本）》</w:t>
                  </w:r>
                  <w:r>
                    <w:rPr>
                      <w:color w:val="auto"/>
                      <w:sz w:val="18"/>
                      <w:szCs w:val="18"/>
                      <w:highlight w:val="none"/>
                    </w:rPr>
                    <w:t>，项目为允许类项目。</w:t>
                  </w:r>
                </w:p>
              </w:tc>
              <w:tc>
                <w:tcPr>
                  <w:tcW w:w="499" w:type="pct"/>
                  <w:noWrap w:val="0"/>
                  <w:vAlign w:val="center"/>
                </w:tcPr>
                <w:p w14:paraId="0E6015D9">
                  <w:pPr>
                    <w:snapToGrid w:val="0"/>
                    <w:jc w:val="center"/>
                    <w:rPr>
                      <w:color w:val="auto"/>
                      <w:sz w:val="18"/>
                      <w:szCs w:val="18"/>
                      <w:highlight w:val="none"/>
                    </w:rPr>
                  </w:pPr>
                  <w:r>
                    <w:rPr>
                      <w:color w:val="auto"/>
                      <w:sz w:val="18"/>
                      <w:szCs w:val="18"/>
                      <w:highlight w:val="none"/>
                    </w:rPr>
                    <w:t>符合</w:t>
                  </w:r>
                </w:p>
              </w:tc>
            </w:tr>
            <w:tr w14:paraId="5D6A3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1" w:type="pct"/>
                  <w:noWrap w:val="0"/>
                  <w:vAlign w:val="center"/>
                </w:tcPr>
                <w:p w14:paraId="4C893EF3">
                  <w:pPr>
                    <w:snapToGrid w:val="0"/>
                    <w:jc w:val="center"/>
                    <w:rPr>
                      <w:color w:val="auto"/>
                      <w:sz w:val="18"/>
                      <w:szCs w:val="18"/>
                      <w:highlight w:val="none"/>
                    </w:rPr>
                  </w:pPr>
                  <w:r>
                    <w:rPr>
                      <w:color w:val="auto"/>
                      <w:sz w:val="18"/>
                      <w:szCs w:val="18"/>
                      <w:highlight w:val="none"/>
                    </w:rPr>
                    <w:t>二</w:t>
                  </w:r>
                </w:p>
              </w:tc>
              <w:tc>
                <w:tcPr>
                  <w:tcW w:w="2611" w:type="pct"/>
                  <w:noWrap w:val="0"/>
                  <w:vAlign w:val="center"/>
                </w:tcPr>
                <w:p w14:paraId="37A510FD">
                  <w:pPr>
                    <w:snapToGrid w:val="0"/>
                    <w:jc w:val="center"/>
                    <w:rPr>
                      <w:color w:val="auto"/>
                      <w:sz w:val="18"/>
                      <w:szCs w:val="18"/>
                      <w:highlight w:val="none"/>
                    </w:rPr>
                  </w:pPr>
                  <w:r>
                    <w:rPr>
                      <w:color w:val="auto"/>
                      <w:sz w:val="18"/>
                      <w:szCs w:val="18"/>
                      <w:highlight w:val="none"/>
                    </w:rPr>
                    <w:t>强化规划刚性约束。新上项目必须符合国土空间规划、产业发展规划等要求，积极引导产业园区外“散乱污”整治搬迁改造企业进入产业园区或工业集聚区，并鼓励租赁标准厂房。按照“布局集中、用地集约、产业集聚、空间优化”的原则，高标准制定产业发展规划，明确主导产业、布局和产业</w:t>
                  </w:r>
                  <w:r>
                    <w:rPr>
                      <w:rFonts w:hint="eastAsia"/>
                      <w:color w:val="auto"/>
                      <w:sz w:val="18"/>
                      <w:szCs w:val="18"/>
                      <w:highlight w:val="none"/>
                    </w:rPr>
                    <w:t>发</w:t>
                  </w:r>
                  <w:r>
                    <w:rPr>
                      <w:color w:val="auto"/>
                      <w:sz w:val="18"/>
                      <w:szCs w:val="18"/>
                      <w:highlight w:val="none"/>
                    </w:rPr>
                    <w:cr/>
                  </w:r>
                  <w:r>
                    <w:rPr>
                      <w:color w:val="auto"/>
                      <w:sz w:val="18"/>
                      <w:szCs w:val="18"/>
                      <w:highlight w:val="none"/>
                    </w:rPr>
                    <w:t>展方向，引导企业规范化、规模化、集约化发展。</w:t>
                  </w:r>
                </w:p>
              </w:tc>
              <w:tc>
                <w:tcPr>
                  <w:tcW w:w="1318" w:type="pct"/>
                  <w:noWrap w:val="0"/>
                  <w:vAlign w:val="center"/>
                </w:tcPr>
                <w:p w14:paraId="69D0565A">
                  <w:pPr>
                    <w:snapToGrid w:val="0"/>
                    <w:jc w:val="center"/>
                    <w:rPr>
                      <w:color w:val="auto"/>
                      <w:sz w:val="18"/>
                      <w:szCs w:val="18"/>
                      <w:highlight w:val="none"/>
                    </w:rPr>
                  </w:pPr>
                  <w:r>
                    <w:rPr>
                      <w:color w:val="auto"/>
                      <w:sz w:val="18"/>
                      <w:szCs w:val="18"/>
                      <w:highlight w:val="none"/>
                    </w:rPr>
                    <w:t>项目位于淄博市淄川区</w:t>
                  </w:r>
                  <w:r>
                    <w:rPr>
                      <w:rFonts w:hint="eastAsia"/>
                      <w:color w:val="auto"/>
                      <w:sz w:val="18"/>
                      <w:szCs w:val="18"/>
                      <w:highlight w:val="none"/>
                      <w:lang w:eastAsia="zh-CN"/>
                    </w:rPr>
                    <w:t>双杨镇</w:t>
                  </w:r>
                  <w:r>
                    <w:rPr>
                      <w:color w:val="auto"/>
                      <w:sz w:val="18"/>
                      <w:szCs w:val="18"/>
                      <w:highlight w:val="none"/>
                    </w:rPr>
                    <w:t>，该项目符合</w:t>
                  </w:r>
                  <w:r>
                    <w:rPr>
                      <w:rFonts w:hint="eastAsia"/>
                      <w:color w:val="auto"/>
                      <w:sz w:val="18"/>
                      <w:szCs w:val="18"/>
                      <w:highlight w:val="none"/>
                      <w:lang w:eastAsia="zh-CN"/>
                    </w:rPr>
                    <w:t>《淄博市淄川区双杨镇总体规划（2017-2035年）》</w:t>
                  </w:r>
                  <w:r>
                    <w:rPr>
                      <w:color w:val="auto"/>
                      <w:sz w:val="18"/>
                      <w:szCs w:val="18"/>
                      <w:highlight w:val="none"/>
                    </w:rPr>
                    <w:t>。</w:t>
                  </w:r>
                </w:p>
              </w:tc>
              <w:tc>
                <w:tcPr>
                  <w:tcW w:w="499" w:type="pct"/>
                  <w:noWrap w:val="0"/>
                  <w:vAlign w:val="center"/>
                </w:tcPr>
                <w:p w14:paraId="66070959">
                  <w:pPr>
                    <w:snapToGrid w:val="0"/>
                    <w:jc w:val="center"/>
                    <w:rPr>
                      <w:color w:val="auto"/>
                      <w:sz w:val="18"/>
                      <w:szCs w:val="18"/>
                      <w:highlight w:val="none"/>
                    </w:rPr>
                  </w:pPr>
                  <w:r>
                    <w:rPr>
                      <w:color w:val="auto"/>
                      <w:sz w:val="18"/>
                      <w:szCs w:val="18"/>
                      <w:highlight w:val="none"/>
                    </w:rPr>
                    <w:t>符合</w:t>
                  </w:r>
                </w:p>
              </w:tc>
            </w:tr>
            <w:tr w14:paraId="37095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1" w:type="pct"/>
                  <w:noWrap w:val="0"/>
                  <w:vAlign w:val="center"/>
                </w:tcPr>
                <w:p w14:paraId="756B6DF2">
                  <w:pPr>
                    <w:snapToGrid w:val="0"/>
                    <w:jc w:val="center"/>
                    <w:rPr>
                      <w:color w:val="auto"/>
                      <w:sz w:val="18"/>
                      <w:szCs w:val="18"/>
                      <w:highlight w:val="none"/>
                    </w:rPr>
                  </w:pPr>
                  <w:r>
                    <w:rPr>
                      <w:color w:val="auto"/>
                      <w:sz w:val="18"/>
                      <w:szCs w:val="18"/>
                      <w:highlight w:val="none"/>
                    </w:rPr>
                    <w:t>三</w:t>
                  </w:r>
                </w:p>
              </w:tc>
              <w:tc>
                <w:tcPr>
                  <w:tcW w:w="2611" w:type="pct"/>
                  <w:noWrap w:val="0"/>
                  <w:vAlign w:val="center"/>
                </w:tcPr>
                <w:p w14:paraId="73EE2D9E">
                  <w:pPr>
                    <w:snapToGrid w:val="0"/>
                    <w:jc w:val="center"/>
                    <w:rPr>
                      <w:color w:val="auto"/>
                      <w:sz w:val="18"/>
                      <w:szCs w:val="18"/>
                      <w:highlight w:val="none"/>
                    </w:rPr>
                  </w:pPr>
                  <w:r>
                    <w:rPr>
                      <w:rFonts w:hint="eastAsia"/>
                      <w:color w:val="auto"/>
                      <w:sz w:val="18"/>
                      <w:szCs w:val="18"/>
                      <w:highlight w:val="none"/>
                    </w:rPr>
                    <w:t>科学把好项目选址关。新建有污染物排放的工业项目，除在安全生产等方面有特殊要求的以外，应当进入工业园区或工业集聚区。各市要本着节约利用土地的原则，充分考虑项目周边环境、资金投入、推进速度等关键要素，合理选址，科学布局，切实做到符合用地政策，确保规划建设的项目有利于长远发展</w:t>
                  </w:r>
                  <w:r>
                    <w:rPr>
                      <w:color w:val="auto"/>
                      <w:sz w:val="18"/>
                      <w:szCs w:val="18"/>
                      <w:highlight w:val="none"/>
                    </w:rPr>
                    <w:t>。</w:t>
                  </w:r>
                </w:p>
              </w:tc>
              <w:tc>
                <w:tcPr>
                  <w:tcW w:w="1318" w:type="pct"/>
                  <w:noWrap w:val="0"/>
                  <w:vAlign w:val="center"/>
                </w:tcPr>
                <w:p w14:paraId="7AFB2DB5">
                  <w:pPr>
                    <w:snapToGrid w:val="0"/>
                    <w:jc w:val="center"/>
                    <w:rPr>
                      <w:color w:val="auto"/>
                      <w:sz w:val="18"/>
                      <w:szCs w:val="18"/>
                      <w:highlight w:val="none"/>
                    </w:rPr>
                  </w:pPr>
                  <w:r>
                    <w:rPr>
                      <w:color w:val="auto"/>
                      <w:sz w:val="18"/>
                      <w:szCs w:val="18"/>
                      <w:highlight w:val="none"/>
                    </w:rPr>
                    <w:t>项目位于淄博市淄川区</w:t>
                  </w:r>
                  <w:r>
                    <w:rPr>
                      <w:rFonts w:hint="eastAsia"/>
                      <w:color w:val="auto"/>
                      <w:sz w:val="18"/>
                      <w:szCs w:val="18"/>
                      <w:highlight w:val="none"/>
                      <w:lang w:eastAsia="zh-CN"/>
                    </w:rPr>
                    <w:t>双杨镇</w:t>
                  </w:r>
                  <w:r>
                    <w:rPr>
                      <w:color w:val="auto"/>
                      <w:sz w:val="18"/>
                      <w:szCs w:val="18"/>
                      <w:highlight w:val="none"/>
                    </w:rPr>
                    <w:t>，该项目符合</w:t>
                  </w:r>
                  <w:r>
                    <w:rPr>
                      <w:rFonts w:hint="eastAsia"/>
                      <w:color w:val="auto"/>
                      <w:sz w:val="18"/>
                      <w:szCs w:val="18"/>
                      <w:highlight w:val="none"/>
                      <w:lang w:eastAsia="zh-CN"/>
                    </w:rPr>
                    <w:t>《淄博市淄川区双杨镇总体规划（2017-2035年）》</w:t>
                  </w:r>
                  <w:r>
                    <w:rPr>
                      <w:color w:val="auto"/>
                      <w:sz w:val="18"/>
                      <w:szCs w:val="18"/>
                      <w:highlight w:val="none"/>
                    </w:rPr>
                    <w:t>。</w:t>
                  </w:r>
                </w:p>
              </w:tc>
              <w:tc>
                <w:tcPr>
                  <w:tcW w:w="499" w:type="pct"/>
                  <w:noWrap w:val="0"/>
                  <w:vAlign w:val="center"/>
                </w:tcPr>
                <w:p w14:paraId="1330B7E6">
                  <w:pPr>
                    <w:snapToGrid w:val="0"/>
                    <w:jc w:val="center"/>
                    <w:rPr>
                      <w:color w:val="auto"/>
                      <w:sz w:val="18"/>
                      <w:szCs w:val="18"/>
                      <w:highlight w:val="none"/>
                    </w:rPr>
                  </w:pPr>
                  <w:r>
                    <w:rPr>
                      <w:color w:val="auto"/>
                      <w:sz w:val="18"/>
                      <w:szCs w:val="18"/>
                      <w:highlight w:val="none"/>
                    </w:rPr>
                    <w:t>符合</w:t>
                  </w:r>
                </w:p>
              </w:tc>
            </w:tr>
            <w:tr w14:paraId="79D85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1" w:type="pct"/>
                  <w:noWrap w:val="0"/>
                  <w:vAlign w:val="center"/>
                </w:tcPr>
                <w:p w14:paraId="0CD51D7C">
                  <w:pPr>
                    <w:snapToGrid w:val="0"/>
                    <w:jc w:val="center"/>
                    <w:rPr>
                      <w:color w:val="auto"/>
                      <w:sz w:val="18"/>
                      <w:szCs w:val="18"/>
                      <w:highlight w:val="none"/>
                    </w:rPr>
                  </w:pPr>
                  <w:r>
                    <w:rPr>
                      <w:color w:val="auto"/>
                      <w:sz w:val="18"/>
                      <w:szCs w:val="18"/>
                      <w:highlight w:val="none"/>
                    </w:rPr>
                    <w:t>四</w:t>
                  </w:r>
                </w:p>
              </w:tc>
              <w:tc>
                <w:tcPr>
                  <w:tcW w:w="2611" w:type="pct"/>
                  <w:noWrap w:val="0"/>
                  <w:vAlign w:val="center"/>
                </w:tcPr>
                <w:p w14:paraId="0988BA4D">
                  <w:pPr>
                    <w:snapToGrid w:val="0"/>
                    <w:jc w:val="center"/>
                    <w:rPr>
                      <w:color w:val="auto"/>
                      <w:sz w:val="18"/>
                      <w:szCs w:val="18"/>
                      <w:highlight w:val="none"/>
                    </w:rPr>
                  </w:pPr>
                  <w:r>
                    <w:rPr>
                      <w:rFonts w:hint="eastAsia"/>
                      <w:color w:val="auto"/>
                      <w:sz w:val="18"/>
                      <w:szCs w:val="18"/>
                      <w:highlight w:val="none"/>
                    </w:rPr>
                    <w:t>严把项目环评审批关。新上项目必须严格执行环评审批“三挂钩”机制和“五个不批”要求，落实“三线一单”生态环境分区管控要求。强化替代约束，涉及主要污染物排放的，必须落实区域污染物排放替代，确保增产减污；涉及煤炭消耗的，必须落实煤炭消费减量替代，否则各级环评审批部门一律不予审批通过</w:t>
                  </w:r>
                  <w:r>
                    <w:rPr>
                      <w:color w:val="auto"/>
                      <w:sz w:val="18"/>
                      <w:szCs w:val="18"/>
                      <w:highlight w:val="none"/>
                    </w:rPr>
                    <w:t>。</w:t>
                  </w:r>
                </w:p>
              </w:tc>
              <w:tc>
                <w:tcPr>
                  <w:tcW w:w="1318" w:type="pct"/>
                  <w:noWrap w:val="0"/>
                  <w:vAlign w:val="center"/>
                </w:tcPr>
                <w:p w14:paraId="37E9CECE">
                  <w:pPr>
                    <w:snapToGrid w:val="0"/>
                    <w:jc w:val="center"/>
                    <w:rPr>
                      <w:color w:val="auto"/>
                      <w:sz w:val="18"/>
                      <w:szCs w:val="18"/>
                      <w:highlight w:val="none"/>
                    </w:rPr>
                  </w:pPr>
                  <w:r>
                    <w:rPr>
                      <w:color w:val="auto"/>
                      <w:sz w:val="18"/>
                      <w:szCs w:val="18"/>
                      <w:highlight w:val="none"/>
                    </w:rPr>
                    <w:t>项目不在生态保护红线区。选址符合</w:t>
                  </w:r>
                  <w:r>
                    <w:rPr>
                      <w:rFonts w:hint="eastAsia"/>
                      <w:color w:val="auto"/>
                      <w:sz w:val="18"/>
                      <w:szCs w:val="18"/>
                      <w:highlight w:val="none"/>
                    </w:rPr>
                    <w:t>“三线一单”生态环境分区管控要求</w:t>
                  </w:r>
                  <w:r>
                    <w:rPr>
                      <w:color w:val="auto"/>
                      <w:sz w:val="18"/>
                      <w:szCs w:val="18"/>
                      <w:highlight w:val="none"/>
                    </w:rPr>
                    <w:t>。</w:t>
                  </w:r>
                </w:p>
              </w:tc>
              <w:tc>
                <w:tcPr>
                  <w:tcW w:w="499" w:type="pct"/>
                  <w:noWrap w:val="0"/>
                  <w:vAlign w:val="center"/>
                </w:tcPr>
                <w:p w14:paraId="4F237E5E">
                  <w:pPr>
                    <w:snapToGrid w:val="0"/>
                    <w:jc w:val="center"/>
                    <w:rPr>
                      <w:color w:val="auto"/>
                      <w:sz w:val="18"/>
                      <w:szCs w:val="18"/>
                      <w:highlight w:val="none"/>
                    </w:rPr>
                  </w:pPr>
                  <w:r>
                    <w:rPr>
                      <w:color w:val="auto"/>
                      <w:sz w:val="18"/>
                      <w:szCs w:val="18"/>
                      <w:highlight w:val="none"/>
                    </w:rPr>
                    <w:t>符合</w:t>
                  </w:r>
                </w:p>
              </w:tc>
            </w:tr>
            <w:tr w14:paraId="198A7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1" w:type="pct"/>
                  <w:noWrap w:val="0"/>
                  <w:vAlign w:val="center"/>
                </w:tcPr>
                <w:p w14:paraId="72C13764">
                  <w:pPr>
                    <w:snapToGrid w:val="0"/>
                    <w:jc w:val="center"/>
                    <w:rPr>
                      <w:color w:val="auto"/>
                      <w:sz w:val="18"/>
                      <w:szCs w:val="18"/>
                      <w:highlight w:val="none"/>
                    </w:rPr>
                  </w:pPr>
                  <w:r>
                    <w:rPr>
                      <w:color w:val="auto"/>
                      <w:sz w:val="18"/>
                      <w:szCs w:val="18"/>
                      <w:highlight w:val="none"/>
                    </w:rPr>
                    <w:t>五</w:t>
                  </w:r>
                </w:p>
              </w:tc>
              <w:tc>
                <w:tcPr>
                  <w:tcW w:w="2611" w:type="pct"/>
                  <w:noWrap w:val="0"/>
                  <w:vAlign w:val="center"/>
                </w:tcPr>
                <w:p w14:paraId="10EC5FDF">
                  <w:pPr>
                    <w:snapToGrid w:val="0"/>
                    <w:jc w:val="center"/>
                    <w:rPr>
                      <w:color w:val="auto"/>
                      <w:sz w:val="18"/>
                      <w:szCs w:val="18"/>
                      <w:highlight w:val="none"/>
                    </w:rPr>
                  </w:pPr>
                  <w:r>
                    <w:rPr>
                      <w:color w:val="auto"/>
                      <w:sz w:val="18"/>
                      <w:szCs w:val="18"/>
                      <w:highlight w:val="none"/>
                    </w:rPr>
                    <w:t>强化日常监管执法。持续加大对违反产业政策、规划</w:t>
                  </w:r>
                  <w:r>
                    <w:rPr>
                      <w:color w:val="auto"/>
                      <w:sz w:val="18"/>
                      <w:szCs w:val="18"/>
                      <w:highlight w:val="none"/>
                    </w:rPr>
                    <w:cr/>
                  </w:r>
                  <w:r>
                    <w:rPr>
                      <w:color w:val="auto"/>
                      <w:sz w:val="18"/>
                      <w:szCs w:val="18"/>
                      <w:highlight w:val="none"/>
                    </w:rPr>
                    <w:t>准入规定等违法违规建设行为的查处力度，坚决遏制“未批先建”等违法行为。畅通群众举报投诉渠道，对“散乱污”项目做到早发现、早应对、</w:t>
                  </w:r>
                  <w:r>
                    <w:rPr>
                      <w:rFonts w:hint="eastAsia"/>
                      <w:color w:val="auto"/>
                      <w:sz w:val="18"/>
                      <w:szCs w:val="18"/>
                      <w:highlight w:val="none"/>
                    </w:rPr>
                    <w:t>处理</w:t>
                  </w:r>
                  <w:r>
                    <w:rPr>
                      <w:color w:val="auto"/>
                      <w:sz w:val="18"/>
                      <w:szCs w:val="18"/>
                      <w:highlight w:val="none"/>
                    </w:rPr>
                    <w:cr/>
                  </w:r>
                  <w:r>
                    <w:rPr>
                      <w:color w:val="auto"/>
                      <w:sz w:val="18"/>
                      <w:szCs w:val="18"/>
                      <w:highlight w:val="none"/>
                    </w:rPr>
                    <w:t>，严防死灰复燃。</w:t>
                  </w:r>
                </w:p>
              </w:tc>
              <w:tc>
                <w:tcPr>
                  <w:tcW w:w="1318" w:type="pct"/>
                  <w:noWrap w:val="0"/>
                  <w:vAlign w:val="center"/>
                </w:tcPr>
                <w:p w14:paraId="06A7091E">
                  <w:pPr>
                    <w:snapToGrid w:val="0"/>
                    <w:jc w:val="center"/>
                    <w:rPr>
                      <w:color w:val="auto"/>
                      <w:sz w:val="18"/>
                      <w:szCs w:val="18"/>
                      <w:highlight w:val="none"/>
                    </w:rPr>
                  </w:pPr>
                  <w:r>
                    <w:rPr>
                      <w:color w:val="auto"/>
                      <w:sz w:val="18"/>
                      <w:szCs w:val="18"/>
                      <w:highlight w:val="none"/>
                    </w:rPr>
                    <w:t>项目不属于“未批先建”，无违法违规建设行为</w:t>
                  </w:r>
                </w:p>
              </w:tc>
              <w:tc>
                <w:tcPr>
                  <w:tcW w:w="499" w:type="pct"/>
                  <w:noWrap w:val="0"/>
                  <w:vAlign w:val="center"/>
                </w:tcPr>
                <w:p w14:paraId="1703285D">
                  <w:pPr>
                    <w:snapToGrid w:val="0"/>
                    <w:jc w:val="center"/>
                    <w:rPr>
                      <w:color w:val="auto"/>
                      <w:sz w:val="18"/>
                      <w:szCs w:val="18"/>
                      <w:highlight w:val="none"/>
                    </w:rPr>
                  </w:pPr>
                  <w:r>
                    <w:rPr>
                      <w:color w:val="auto"/>
                      <w:sz w:val="18"/>
                      <w:szCs w:val="18"/>
                      <w:highlight w:val="none"/>
                    </w:rPr>
                    <w:t>符合</w:t>
                  </w:r>
                </w:p>
              </w:tc>
            </w:tr>
          </w:tbl>
          <w:p w14:paraId="5502AE4E">
            <w:pPr>
              <w:pStyle w:val="80"/>
              <w:adjustRightInd w:val="0"/>
              <w:snapToGrid w:val="0"/>
              <w:spacing w:after="0" w:line="360" w:lineRule="auto"/>
              <w:ind w:left="0" w:leftChars="0"/>
              <w:rPr>
                <w:color w:val="auto"/>
                <w:sz w:val="21"/>
                <w:szCs w:val="21"/>
                <w:highlight w:val="none"/>
              </w:rPr>
            </w:pPr>
            <w:r>
              <w:rPr>
                <w:color w:val="auto"/>
                <w:sz w:val="21"/>
                <w:szCs w:val="21"/>
                <w:highlight w:val="none"/>
              </w:rPr>
              <w:t>由上表可见，项目的建设符合《关于严格项目审批工作坚决防止新上“散乱污”项目的通知》（鲁环字〔2021〕58号）的要求。</w:t>
            </w:r>
          </w:p>
          <w:p w14:paraId="67BF8EA3">
            <w:pPr>
              <w:spacing w:line="360" w:lineRule="auto"/>
              <w:ind w:firstLine="420" w:firstLineChars="200"/>
              <w:rPr>
                <w:color w:val="auto"/>
                <w:sz w:val="21"/>
                <w:szCs w:val="21"/>
                <w:highlight w:val="none"/>
              </w:rPr>
            </w:pPr>
            <w:r>
              <w:rPr>
                <w:color w:val="auto"/>
                <w:sz w:val="21"/>
                <w:szCs w:val="21"/>
                <w:highlight w:val="none"/>
              </w:rPr>
              <w:t>（</w:t>
            </w:r>
            <w:r>
              <w:rPr>
                <w:rFonts w:hint="eastAsia"/>
                <w:color w:val="auto"/>
                <w:sz w:val="21"/>
                <w:szCs w:val="21"/>
                <w:highlight w:val="none"/>
                <w:lang w:val="en-US" w:eastAsia="zh-CN"/>
              </w:rPr>
              <w:t>10</w:t>
            </w:r>
            <w:r>
              <w:rPr>
                <w:color w:val="auto"/>
                <w:sz w:val="21"/>
                <w:szCs w:val="21"/>
                <w:highlight w:val="none"/>
              </w:rPr>
              <w:t>）、与</w:t>
            </w:r>
            <w:r>
              <w:rPr>
                <w:rFonts w:hint="default" w:ascii="Times New Roman" w:hAnsi="Times New Roman" w:cs="Times New Roman"/>
                <w:color w:val="auto"/>
                <w:kern w:val="24"/>
                <w:sz w:val="21"/>
                <w:szCs w:val="21"/>
                <w:highlight w:val="none"/>
              </w:rPr>
              <w:t>《关于印发山东省深入打好蓝天保卫战行动计划（2021-2025年）、山东省深入打好碧水保卫战行动计划（2021-2025年）、山东省深入打好净土保卫战行动计划（2021-2025年）的通知》（鲁环委办[2021]30号）</w:t>
            </w:r>
            <w:r>
              <w:rPr>
                <w:color w:val="auto"/>
                <w:sz w:val="21"/>
                <w:szCs w:val="21"/>
                <w:highlight w:val="none"/>
              </w:rPr>
              <w:t>的符合性分析</w:t>
            </w:r>
          </w:p>
          <w:p w14:paraId="39DA7DA7">
            <w:pPr>
              <w:spacing w:line="36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表1-</w:t>
            </w:r>
            <w:r>
              <w:rPr>
                <w:rFonts w:hint="default" w:eastAsia="宋体" w:cs="Times New Roman"/>
                <w:b/>
                <w:bCs/>
                <w:color w:val="auto"/>
                <w:sz w:val="21"/>
                <w:szCs w:val="21"/>
                <w:highlight w:val="none"/>
                <w:lang w:val="en-US" w:eastAsia="zh-CN"/>
              </w:rPr>
              <w:t>13</w:t>
            </w:r>
            <w:r>
              <w:rPr>
                <w:rFonts w:hint="default" w:ascii="Times New Roman" w:hAnsi="Times New Roman" w:eastAsia="宋体" w:cs="Times New Roman"/>
                <w:b/>
                <w:bCs/>
                <w:color w:val="auto"/>
                <w:sz w:val="21"/>
                <w:szCs w:val="21"/>
                <w:highlight w:val="none"/>
                <w:lang w:val="en-US" w:eastAsia="zh-CN"/>
              </w:rPr>
              <w:t>项目与山东省深入打好蓝天保卫战行动计划（2021-2025年）的符合性分析</w:t>
            </w:r>
          </w:p>
          <w:tbl>
            <w:tblPr>
              <w:tblStyle w:val="81"/>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26"/>
              <w:gridCol w:w="4398"/>
              <w:gridCol w:w="2612"/>
              <w:gridCol w:w="609"/>
            </w:tblGrid>
            <w:tr w14:paraId="12E94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022" w:type="pct"/>
                  <w:gridSpan w:val="2"/>
                  <w:noWrap w:val="0"/>
                  <w:vAlign w:val="center"/>
                </w:tcPr>
                <w:p w14:paraId="7F0E01CE">
                  <w:pPr>
                    <w:pStyle w:val="200"/>
                    <w:spacing w:beforeLines="0" w:afterLines="0" w:line="240" w:lineRule="atLeast"/>
                    <w:rPr>
                      <w:rFonts w:ascii="Times New Roman"/>
                      <w:b/>
                      <w:bCs/>
                      <w:color w:val="auto"/>
                      <w:sz w:val="18"/>
                      <w:szCs w:val="18"/>
                      <w:highlight w:val="none"/>
                    </w:rPr>
                  </w:pPr>
                  <w:r>
                    <w:rPr>
                      <w:rFonts w:ascii="Times New Roman"/>
                      <w:b/>
                      <w:bCs/>
                      <w:color w:val="auto"/>
                      <w:sz w:val="18"/>
                      <w:szCs w:val="18"/>
                      <w:highlight w:val="none"/>
                    </w:rPr>
                    <w:t>文件要求</w:t>
                  </w:r>
                </w:p>
              </w:tc>
              <w:tc>
                <w:tcPr>
                  <w:tcW w:w="1603" w:type="pct"/>
                  <w:noWrap w:val="0"/>
                  <w:vAlign w:val="center"/>
                </w:tcPr>
                <w:p w14:paraId="24028F35">
                  <w:pPr>
                    <w:pStyle w:val="200"/>
                    <w:spacing w:beforeLines="0" w:afterLines="0" w:line="240" w:lineRule="atLeast"/>
                    <w:rPr>
                      <w:rFonts w:ascii="Times New Roman"/>
                      <w:b/>
                      <w:bCs/>
                      <w:color w:val="auto"/>
                      <w:sz w:val="18"/>
                      <w:szCs w:val="18"/>
                      <w:highlight w:val="none"/>
                    </w:rPr>
                  </w:pPr>
                  <w:r>
                    <w:rPr>
                      <w:rFonts w:ascii="Times New Roman"/>
                      <w:b/>
                      <w:bCs/>
                      <w:color w:val="auto"/>
                      <w:sz w:val="18"/>
                      <w:szCs w:val="18"/>
                      <w:highlight w:val="none"/>
                    </w:rPr>
                    <w:t>项目情况</w:t>
                  </w:r>
                </w:p>
              </w:tc>
              <w:tc>
                <w:tcPr>
                  <w:tcW w:w="374" w:type="pct"/>
                  <w:noWrap w:val="0"/>
                  <w:tcMar>
                    <w:left w:w="28" w:type="dxa"/>
                    <w:right w:w="28" w:type="dxa"/>
                  </w:tcMar>
                  <w:vAlign w:val="center"/>
                </w:tcPr>
                <w:p w14:paraId="0F14D070">
                  <w:pPr>
                    <w:pStyle w:val="200"/>
                    <w:spacing w:beforeLines="0" w:afterLines="0" w:line="240" w:lineRule="atLeast"/>
                    <w:rPr>
                      <w:rFonts w:ascii="Times New Roman"/>
                      <w:b/>
                      <w:bCs/>
                      <w:color w:val="auto"/>
                      <w:sz w:val="18"/>
                      <w:szCs w:val="18"/>
                      <w:highlight w:val="none"/>
                    </w:rPr>
                  </w:pPr>
                  <w:r>
                    <w:rPr>
                      <w:rFonts w:ascii="Times New Roman"/>
                      <w:b/>
                      <w:bCs/>
                      <w:color w:val="auto"/>
                      <w:sz w:val="18"/>
                      <w:szCs w:val="18"/>
                      <w:highlight w:val="none"/>
                    </w:rPr>
                    <w:t>符合性</w:t>
                  </w:r>
                </w:p>
              </w:tc>
            </w:tr>
            <w:tr w14:paraId="4B218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23" w:type="pct"/>
                  <w:noWrap w:val="0"/>
                  <w:vAlign w:val="center"/>
                </w:tcPr>
                <w:p w14:paraId="629F51DA">
                  <w:pPr>
                    <w:pStyle w:val="200"/>
                    <w:spacing w:beforeLines="0" w:afterLines="0" w:line="240" w:lineRule="atLeast"/>
                    <w:rPr>
                      <w:rFonts w:ascii="Times New Roman"/>
                      <w:color w:val="auto"/>
                      <w:sz w:val="18"/>
                      <w:szCs w:val="18"/>
                      <w:highlight w:val="none"/>
                    </w:rPr>
                  </w:pPr>
                  <w:r>
                    <w:rPr>
                      <w:rFonts w:hint="eastAsia" w:ascii="Times New Roman"/>
                      <w:color w:val="auto"/>
                      <w:sz w:val="18"/>
                      <w:szCs w:val="18"/>
                      <w:highlight w:val="none"/>
                      <w:lang w:val="en-US" w:eastAsia="zh-CN"/>
                    </w:rPr>
                    <w:t>1</w:t>
                  </w:r>
                </w:p>
              </w:tc>
              <w:tc>
                <w:tcPr>
                  <w:tcW w:w="2698" w:type="pct"/>
                  <w:noWrap w:val="0"/>
                  <w:vAlign w:val="center"/>
                </w:tcPr>
                <w:p w14:paraId="77862670">
                  <w:pPr>
                    <w:pStyle w:val="200"/>
                    <w:spacing w:before="24" w:after="24" w:line="240" w:lineRule="atLeast"/>
                    <w:rPr>
                      <w:rFonts w:ascii="Times New Roman"/>
                      <w:color w:val="auto"/>
                      <w:sz w:val="18"/>
                      <w:szCs w:val="18"/>
                      <w:highlight w:val="none"/>
                      <w:shd w:val="clear" w:color="auto" w:fill="FFFFFF"/>
                    </w:rPr>
                  </w:pPr>
                  <w:r>
                    <w:rPr>
                      <w:rFonts w:hint="eastAsia" w:ascii="Times New Roman"/>
                      <w:color w:val="auto"/>
                      <w:sz w:val="18"/>
                      <w:szCs w:val="18"/>
                      <w:highlight w:val="none"/>
                      <w:shd w:val="clear" w:color="auto" w:fill="FFFFFF"/>
                    </w:rPr>
                    <w:t>聚焦钢铁、地炼、焦化、煤电、水泥、轮胎、煤炭、化工8个重点行业,加快淘汰低效落后产能。严格执行质量、环保、能耗、安全等法规标准，按照《产业结构调整指导目录》，对“淘汰类”落后生产工艺装备和落后产品全部淘汰出清。</w:t>
                  </w:r>
                </w:p>
              </w:tc>
              <w:tc>
                <w:tcPr>
                  <w:tcW w:w="1603" w:type="pct"/>
                  <w:noWrap w:val="0"/>
                  <w:vAlign w:val="center"/>
                </w:tcPr>
                <w:p w14:paraId="38577B05">
                  <w:pPr>
                    <w:pStyle w:val="26"/>
                    <w:rPr>
                      <w:rFonts w:ascii="Times New Roman"/>
                      <w:color w:val="auto"/>
                      <w:sz w:val="18"/>
                      <w:szCs w:val="18"/>
                      <w:highlight w:val="none"/>
                    </w:rPr>
                  </w:pPr>
                  <w:r>
                    <w:rPr>
                      <w:rFonts w:hint="eastAsia" w:ascii="Times New Roman"/>
                      <w:color w:val="auto"/>
                      <w:sz w:val="18"/>
                      <w:szCs w:val="21"/>
                      <w:highlight w:val="none"/>
                    </w:rPr>
                    <w:t>项目的规模、产品、工艺以及采用的生产设备均不属于</w:t>
                  </w:r>
                  <w:r>
                    <w:rPr>
                      <w:rFonts w:hint="eastAsia" w:ascii="Times New Roman"/>
                      <w:color w:val="auto"/>
                      <w:sz w:val="18"/>
                      <w:szCs w:val="21"/>
                      <w:highlight w:val="none"/>
                      <w:lang w:eastAsia="zh-CN"/>
                    </w:rPr>
                    <w:t>《产业结构调整指导目录（2024年本）》</w:t>
                  </w:r>
                  <w:r>
                    <w:rPr>
                      <w:rFonts w:hint="eastAsia" w:ascii="Times New Roman"/>
                      <w:color w:val="auto"/>
                      <w:sz w:val="18"/>
                      <w:szCs w:val="21"/>
                      <w:highlight w:val="none"/>
                    </w:rPr>
                    <w:t>淘汰类和限制类项目</w:t>
                  </w:r>
                  <w:r>
                    <w:rPr>
                      <w:rFonts w:ascii="Times New Roman"/>
                      <w:color w:val="auto"/>
                      <w:sz w:val="18"/>
                      <w:szCs w:val="21"/>
                      <w:highlight w:val="none"/>
                    </w:rPr>
                    <w:t>。</w:t>
                  </w:r>
                </w:p>
              </w:tc>
              <w:tc>
                <w:tcPr>
                  <w:tcW w:w="374" w:type="pct"/>
                  <w:noWrap w:val="0"/>
                  <w:vAlign w:val="center"/>
                </w:tcPr>
                <w:p w14:paraId="6860641D">
                  <w:pPr>
                    <w:pStyle w:val="200"/>
                    <w:spacing w:beforeLines="0" w:afterLines="0" w:line="240" w:lineRule="atLeast"/>
                    <w:rPr>
                      <w:rFonts w:ascii="Times New Roman"/>
                      <w:color w:val="auto"/>
                      <w:sz w:val="18"/>
                      <w:szCs w:val="18"/>
                      <w:highlight w:val="none"/>
                    </w:rPr>
                  </w:pPr>
                  <w:r>
                    <w:rPr>
                      <w:rFonts w:ascii="Times New Roman"/>
                      <w:color w:val="auto"/>
                      <w:sz w:val="18"/>
                      <w:szCs w:val="18"/>
                      <w:highlight w:val="none"/>
                    </w:rPr>
                    <w:t>符合</w:t>
                  </w:r>
                </w:p>
              </w:tc>
            </w:tr>
            <w:tr w14:paraId="4C4DB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323" w:type="pct"/>
                  <w:noWrap w:val="0"/>
                  <w:vAlign w:val="center"/>
                </w:tcPr>
                <w:p w14:paraId="7BE72643">
                  <w:pPr>
                    <w:pStyle w:val="200"/>
                    <w:spacing w:beforeLines="0" w:afterLines="0" w:line="240" w:lineRule="atLeast"/>
                    <w:rPr>
                      <w:rFonts w:hint="eastAsia" w:ascii="Times New Roman" w:eastAsia="宋体"/>
                      <w:color w:val="auto"/>
                      <w:sz w:val="18"/>
                      <w:szCs w:val="18"/>
                      <w:highlight w:val="none"/>
                      <w:lang w:val="en-US" w:eastAsia="zh-CN"/>
                    </w:rPr>
                  </w:pPr>
                  <w:r>
                    <w:rPr>
                      <w:rFonts w:hint="eastAsia" w:ascii="Times New Roman"/>
                      <w:color w:val="auto"/>
                      <w:sz w:val="18"/>
                      <w:szCs w:val="18"/>
                      <w:highlight w:val="none"/>
                      <w:lang w:val="en-US" w:eastAsia="zh-CN"/>
                    </w:rPr>
                    <w:t>2</w:t>
                  </w:r>
                </w:p>
              </w:tc>
              <w:tc>
                <w:tcPr>
                  <w:tcW w:w="2698" w:type="pct"/>
                  <w:noWrap w:val="0"/>
                  <w:vAlign w:val="center"/>
                </w:tcPr>
                <w:p w14:paraId="01070466">
                  <w:pPr>
                    <w:pStyle w:val="200"/>
                    <w:spacing w:before="24" w:after="24" w:line="240" w:lineRule="atLeast"/>
                    <w:rPr>
                      <w:rFonts w:ascii="Times New Roman"/>
                      <w:color w:val="auto"/>
                      <w:sz w:val="18"/>
                      <w:szCs w:val="18"/>
                      <w:highlight w:val="none"/>
                      <w:shd w:val="clear" w:color="auto" w:fill="FFFFFF"/>
                    </w:rPr>
                  </w:pPr>
                  <w:r>
                    <w:rPr>
                      <w:rFonts w:hint="eastAsia" w:ascii="Times New Roman"/>
                      <w:color w:val="auto"/>
                      <w:sz w:val="18"/>
                      <w:szCs w:val="18"/>
                      <w:highlight w:val="none"/>
                      <w:shd w:val="clear" w:color="auto" w:fill="FFFFFF"/>
                    </w:rPr>
                    <w:t>有序推进“两高”项目清理工作，确保“三个坚决”落实到位，未纳入国家规划的炼油、乙烯、对二甲苯、煤制油气项目，一律不得建设</w:t>
                  </w:r>
                  <w:r>
                    <w:rPr>
                      <w:rFonts w:ascii="Times New Roman"/>
                      <w:color w:val="auto"/>
                      <w:sz w:val="18"/>
                      <w:szCs w:val="18"/>
                      <w:highlight w:val="none"/>
                      <w:shd w:val="clear" w:color="auto" w:fill="FFFFFF"/>
                    </w:rPr>
                    <w:t>。</w:t>
                  </w:r>
                </w:p>
              </w:tc>
              <w:tc>
                <w:tcPr>
                  <w:tcW w:w="1603" w:type="pct"/>
                  <w:noWrap w:val="0"/>
                  <w:vAlign w:val="center"/>
                </w:tcPr>
                <w:p w14:paraId="1E7AA314">
                  <w:pPr>
                    <w:pStyle w:val="200"/>
                    <w:spacing w:beforeLines="0" w:afterLines="0" w:line="240" w:lineRule="atLeast"/>
                    <w:jc w:val="both"/>
                    <w:rPr>
                      <w:rFonts w:ascii="Times New Roman"/>
                      <w:color w:val="auto"/>
                      <w:sz w:val="18"/>
                      <w:szCs w:val="18"/>
                      <w:highlight w:val="none"/>
                    </w:rPr>
                  </w:pPr>
                  <w:r>
                    <w:rPr>
                      <w:rFonts w:hint="eastAsia" w:ascii="Times New Roman"/>
                      <w:color w:val="auto"/>
                      <w:sz w:val="18"/>
                      <w:szCs w:val="21"/>
                      <w:highlight w:val="none"/>
                      <w:lang w:eastAsia="zh-CN"/>
                    </w:rPr>
                    <w:t>项目</w:t>
                  </w:r>
                  <w:r>
                    <w:rPr>
                      <w:rFonts w:hint="eastAsia" w:ascii="Times New Roman"/>
                      <w:color w:val="auto"/>
                      <w:sz w:val="18"/>
                      <w:szCs w:val="21"/>
                      <w:highlight w:val="none"/>
                    </w:rPr>
                    <w:t>不属于“两高”项目</w:t>
                  </w:r>
                  <w:r>
                    <w:rPr>
                      <w:rFonts w:ascii="Times New Roman"/>
                      <w:color w:val="auto"/>
                      <w:sz w:val="18"/>
                      <w:szCs w:val="21"/>
                      <w:highlight w:val="none"/>
                    </w:rPr>
                    <w:t>。</w:t>
                  </w:r>
                </w:p>
              </w:tc>
              <w:tc>
                <w:tcPr>
                  <w:tcW w:w="374" w:type="pct"/>
                  <w:noWrap w:val="0"/>
                  <w:vAlign w:val="center"/>
                </w:tcPr>
                <w:p w14:paraId="5DED8847">
                  <w:pPr>
                    <w:pStyle w:val="200"/>
                    <w:spacing w:beforeLines="0" w:afterLines="0" w:line="240" w:lineRule="atLeast"/>
                    <w:rPr>
                      <w:rFonts w:ascii="Times New Roman"/>
                      <w:color w:val="auto"/>
                      <w:sz w:val="18"/>
                      <w:szCs w:val="18"/>
                      <w:highlight w:val="none"/>
                    </w:rPr>
                  </w:pPr>
                  <w:r>
                    <w:rPr>
                      <w:rFonts w:ascii="Times New Roman"/>
                      <w:color w:val="auto"/>
                      <w:sz w:val="18"/>
                      <w:szCs w:val="18"/>
                      <w:highlight w:val="none"/>
                    </w:rPr>
                    <w:t>符合</w:t>
                  </w:r>
                </w:p>
              </w:tc>
            </w:tr>
            <w:tr w14:paraId="725E7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23" w:type="pct"/>
                  <w:noWrap w:val="0"/>
                  <w:vAlign w:val="center"/>
                </w:tcPr>
                <w:p w14:paraId="512C14FE">
                  <w:pPr>
                    <w:pStyle w:val="200"/>
                    <w:spacing w:beforeLines="0" w:afterLines="0" w:line="240" w:lineRule="atLeast"/>
                    <w:rPr>
                      <w:rFonts w:hint="default" w:ascii="Times New Roman"/>
                      <w:color w:val="auto"/>
                      <w:sz w:val="18"/>
                      <w:szCs w:val="18"/>
                      <w:highlight w:val="none"/>
                      <w:lang w:val="en-US" w:eastAsia="zh-CN"/>
                    </w:rPr>
                  </w:pPr>
                  <w:r>
                    <w:rPr>
                      <w:rFonts w:hint="eastAsia" w:ascii="Times New Roman"/>
                      <w:color w:val="auto"/>
                      <w:sz w:val="18"/>
                      <w:szCs w:val="18"/>
                      <w:highlight w:val="none"/>
                      <w:lang w:val="en-US" w:eastAsia="zh-CN"/>
                    </w:rPr>
                    <w:t>3</w:t>
                  </w:r>
                </w:p>
              </w:tc>
              <w:tc>
                <w:tcPr>
                  <w:tcW w:w="2698" w:type="pct"/>
                  <w:noWrap w:val="0"/>
                  <w:vAlign w:val="center"/>
                </w:tcPr>
                <w:p w14:paraId="203A36AD">
                  <w:pPr>
                    <w:pStyle w:val="200"/>
                    <w:spacing w:before="24" w:after="24" w:line="240" w:lineRule="atLeast"/>
                    <w:rPr>
                      <w:rFonts w:hint="eastAsia" w:ascii="Times New Roman"/>
                      <w:color w:val="auto"/>
                      <w:sz w:val="18"/>
                      <w:szCs w:val="18"/>
                      <w:highlight w:val="none"/>
                      <w:shd w:val="clear" w:color="auto" w:fill="FFFFFF"/>
                    </w:rPr>
                  </w:pPr>
                  <w:r>
                    <w:rPr>
                      <w:rFonts w:hint="eastAsia" w:ascii="Times New Roman"/>
                      <w:color w:val="auto"/>
                      <w:sz w:val="18"/>
                      <w:szCs w:val="18"/>
                      <w:highlight w:val="none"/>
                      <w:shd w:val="clear" w:color="auto" w:fill="FFFFFF"/>
                    </w:rPr>
                    <w:t>严格扬尘污染管控。加强施工扬尘精细化管控，建立并动态更新施工工地清单。</w:t>
                  </w:r>
                </w:p>
              </w:tc>
              <w:tc>
                <w:tcPr>
                  <w:tcW w:w="1603" w:type="pct"/>
                  <w:noWrap w:val="0"/>
                  <w:vAlign w:val="center"/>
                </w:tcPr>
                <w:p w14:paraId="6D37109C">
                  <w:pPr>
                    <w:pStyle w:val="200"/>
                    <w:spacing w:beforeLines="0" w:afterLines="0" w:line="240" w:lineRule="atLeast"/>
                    <w:jc w:val="both"/>
                    <w:rPr>
                      <w:rFonts w:ascii="Times New Roman"/>
                      <w:color w:val="auto"/>
                      <w:sz w:val="18"/>
                      <w:szCs w:val="18"/>
                      <w:highlight w:val="none"/>
                    </w:rPr>
                  </w:pPr>
                  <w:r>
                    <w:rPr>
                      <w:rFonts w:hint="eastAsia" w:ascii="Times New Roman"/>
                      <w:color w:val="auto"/>
                      <w:sz w:val="18"/>
                      <w:szCs w:val="18"/>
                      <w:highlight w:val="none"/>
                      <w:lang w:eastAsia="zh-CN"/>
                    </w:rPr>
                    <w:t>项目</w:t>
                  </w:r>
                  <w:r>
                    <w:rPr>
                      <w:rFonts w:hint="eastAsia" w:ascii="Times New Roman"/>
                      <w:color w:val="auto"/>
                      <w:sz w:val="18"/>
                      <w:szCs w:val="18"/>
                      <w:highlight w:val="none"/>
                    </w:rPr>
                    <w:t>施工期采取洒水措施，运输车辆离开施工场地时，进行冲洗。</w:t>
                  </w:r>
                </w:p>
              </w:tc>
              <w:tc>
                <w:tcPr>
                  <w:tcW w:w="374" w:type="pct"/>
                  <w:noWrap w:val="0"/>
                  <w:vAlign w:val="center"/>
                </w:tcPr>
                <w:p w14:paraId="1AFE20B0">
                  <w:pPr>
                    <w:pStyle w:val="200"/>
                    <w:spacing w:beforeLines="0" w:afterLines="0" w:line="240" w:lineRule="atLeast"/>
                    <w:rPr>
                      <w:rFonts w:ascii="Times New Roman"/>
                      <w:color w:val="auto"/>
                      <w:sz w:val="18"/>
                      <w:szCs w:val="18"/>
                      <w:highlight w:val="none"/>
                    </w:rPr>
                  </w:pPr>
                  <w:r>
                    <w:rPr>
                      <w:rFonts w:ascii="Times New Roman"/>
                      <w:color w:val="auto"/>
                      <w:sz w:val="18"/>
                      <w:szCs w:val="18"/>
                      <w:highlight w:val="none"/>
                    </w:rPr>
                    <w:t>符合</w:t>
                  </w:r>
                </w:p>
              </w:tc>
            </w:tr>
            <w:tr w14:paraId="18C43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23" w:type="pct"/>
                  <w:noWrap w:val="0"/>
                  <w:vAlign w:val="center"/>
                </w:tcPr>
                <w:p w14:paraId="2AEC0873">
                  <w:pPr>
                    <w:pStyle w:val="200"/>
                    <w:spacing w:beforeLines="0" w:afterLines="0" w:line="240" w:lineRule="atLeast"/>
                    <w:rPr>
                      <w:rFonts w:ascii="Times New Roman"/>
                      <w:color w:val="auto"/>
                      <w:sz w:val="18"/>
                      <w:szCs w:val="18"/>
                      <w:highlight w:val="none"/>
                    </w:rPr>
                  </w:pPr>
                  <w:r>
                    <w:rPr>
                      <w:rFonts w:hint="eastAsia" w:ascii="Times New Roman"/>
                      <w:color w:val="auto"/>
                      <w:sz w:val="18"/>
                      <w:szCs w:val="18"/>
                      <w:highlight w:val="none"/>
                      <w:lang w:val="en-US" w:eastAsia="zh-CN"/>
                    </w:rPr>
                    <w:t>4</w:t>
                  </w:r>
                </w:p>
              </w:tc>
              <w:tc>
                <w:tcPr>
                  <w:tcW w:w="2698" w:type="pct"/>
                  <w:noWrap w:val="0"/>
                  <w:vAlign w:val="center"/>
                </w:tcPr>
                <w:p w14:paraId="150ACCA8">
                  <w:pPr>
                    <w:pStyle w:val="200"/>
                    <w:spacing w:before="24" w:after="24" w:line="240" w:lineRule="atLeast"/>
                    <w:rPr>
                      <w:rFonts w:ascii="Times New Roman"/>
                      <w:color w:val="auto"/>
                      <w:sz w:val="18"/>
                      <w:szCs w:val="18"/>
                      <w:highlight w:val="none"/>
                      <w:shd w:val="clear" w:color="auto" w:fill="FFFFFF"/>
                    </w:rPr>
                  </w:pPr>
                  <w:r>
                    <w:rPr>
                      <w:rFonts w:hint="eastAsia" w:ascii="Times New Roman"/>
                      <w:color w:val="auto"/>
                      <w:sz w:val="18"/>
                      <w:szCs w:val="18"/>
                      <w:highlight w:val="none"/>
                      <w:shd w:val="clear" w:color="auto" w:fill="FFFFFF"/>
                    </w:rPr>
                    <w:t>优化交通运输结构，大力发展铁港联运，基本形成大宗货物和集装箱中长距离运输以铁路、水路或管道为主的格局。PM</w:t>
                  </w:r>
                  <w:r>
                    <w:rPr>
                      <w:rFonts w:hint="eastAsia" w:ascii="Times New Roman"/>
                      <w:color w:val="auto"/>
                      <w:sz w:val="18"/>
                      <w:szCs w:val="18"/>
                      <w:highlight w:val="none"/>
                      <w:shd w:val="clear" w:color="auto" w:fill="FFFFFF"/>
                      <w:vertAlign w:val="subscript"/>
                    </w:rPr>
                    <w:t>2.5</w:t>
                  </w:r>
                  <w:r>
                    <w:rPr>
                      <w:rFonts w:hint="eastAsia" w:ascii="Times New Roman"/>
                      <w:color w:val="auto"/>
                      <w:sz w:val="18"/>
                      <w:szCs w:val="18"/>
                      <w:highlight w:val="none"/>
                      <w:shd w:val="clear" w:color="auto" w:fill="FFFFFF"/>
                    </w:rPr>
                    <w:t>和O</w:t>
                  </w:r>
                  <w:r>
                    <w:rPr>
                      <w:rFonts w:hint="eastAsia" w:ascii="Times New Roman"/>
                      <w:color w:val="auto"/>
                      <w:sz w:val="18"/>
                      <w:szCs w:val="18"/>
                      <w:highlight w:val="none"/>
                      <w:shd w:val="clear" w:color="auto" w:fill="FFFFFF"/>
                      <w:vertAlign w:val="subscript"/>
                    </w:rPr>
                    <w:t>3</w:t>
                  </w:r>
                  <w:r>
                    <w:rPr>
                      <w:rFonts w:hint="eastAsia" w:ascii="Times New Roman"/>
                      <w:color w:val="auto"/>
                      <w:sz w:val="18"/>
                      <w:szCs w:val="18"/>
                      <w:highlight w:val="none"/>
                      <w:shd w:val="clear" w:color="auto" w:fill="FFFFFF"/>
                    </w:rPr>
                    <w:t>未达标的</w:t>
                  </w:r>
                  <w:r>
                    <w:rPr>
                      <w:rFonts w:hint="eastAsia" w:ascii="Times New Roman"/>
                      <w:color w:val="auto"/>
                      <w:sz w:val="18"/>
                      <w:szCs w:val="18"/>
                      <w:highlight w:val="none"/>
                      <w:shd w:val="clear" w:color="auto" w:fill="FFFFFF"/>
                      <w:lang w:val="en-US" w:eastAsia="zh-CN"/>
                    </w:rPr>
                    <w:t>城市</w:t>
                  </w:r>
                  <w:r>
                    <w:rPr>
                      <w:rFonts w:hint="eastAsia" w:ascii="Times New Roman"/>
                      <w:color w:val="auto"/>
                      <w:sz w:val="18"/>
                      <w:szCs w:val="18"/>
                      <w:highlight w:val="none"/>
                      <w:shd w:val="clear" w:color="auto" w:fill="FFFFFF"/>
                    </w:rPr>
                    <w:t>，新、改、扩建项目涉及大宗物料运输的，应采用清洁运输方式。</w:t>
                  </w:r>
                </w:p>
              </w:tc>
              <w:tc>
                <w:tcPr>
                  <w:tcW w:w="1603" w:type="pct"/>
                  <w:noWrap w:val="0"/>
                  <w:vAlign w:val="center"/>
                </w:tcPr>
                <w:p w14:paraId="682DA01F">
                  <w:pPr>
                    <w:pStyle w:val="200"/>
                    <w:spacing w:beforeLines="0" w:afterLines="0" w:line="240" w:lineRule="atLeast"/>
                    <w:jc w:val="both"/>
                    <w:rPr>
                      <w:rFonts w:ascii="Times New Roman"/>
                      <w:color w:val="auto"/>
                      <w:sz w:val="18"/>
                      <w:szCs w:val="18"/>
                      <w:highlight w:val="none"/>
                    </w:rPr>
                  </w:pPr>
                  <w:r>
                    <w:rPr>
                      <w:rFonts w:hint="eastAsia" w:ascii="Times New Roman"/>
                      <w:color w:val="auto"/>
                      <w:sz w:val="18"/>
                      <w:szCs w:val="18"/>
                      <w:highlight w:val="none"/>
                      <w:lang w:eastAsia="zh-CN"/>
                    </w:rPr>
                    <w:t>项目</w:t>
                  </w:r>
                  <w:r>
                    <w:rPr>
                      <w:rFonts w:hint="eastAsia" w:ascii="Times New Roman"/>
                      <w:color w:val="auto"/>
                      <w:sz w:val="18"/>
                      <w:szCs w:val="18"/>
                      <w:highlight w:val="none"/>
                    </w:rPr>
                    <w:t>采用符合环保要求的汽车运输</w:t>
                  </w:r>
                </w:p>
              </w:tc>
              <w:tc>
                <w:tcPr>
                  <w:tcW w:w="374" w:type="pct"/>
                  <w:noWrap w:val="0"/>
                  <w:vAlign w:val="center"/>
                </w:tcPr>
                <w:p w14:paraId="6FE04E5D">
                  <w:pPr>
                    <w:pStyle w:val="200"/>
                    <w:spacing w:beforeLines="0" w:afterLines="0" w:line="240" w:lineRule="atLeast"/>
                    <w:rPr>
                      <w:rFonts w:ascii="Times New Roman"/>
                      <w:color w:val="auto"/>
                      <w:sz w:val="18"/>
                      <w:szCs w:val="18"/>
                      <w:highlight w:val="none"/>
                    </w:rPr>
                  </w:pPr>
                  <w:r>
                    <w:rPr>
                      <w:rFonts w:ascii="Times New Roman"/>
                      <w:color w:val="auto"/>
                      <w:sz w:val="18"/>
                      <w:szCs w:val="18"/>
                      <w:highlight w:val="none"/>
                    </w:rPr>
                    <w:t>符合</w:t>
                  </w:r>
                </w:p>
              </w:tc>
            </w:tr>
          </w:tbl>
          <w:p w14:paraId="5B6F5BA4">
            <w:pPr>
              <w:snapToGrid w:val="0"/>
              <w:spacing w:line="360" w:lineRule="auto"/>
              <w:jc w:val="center"/>
              <w:rPr>
                <w:rFonts w:hint="default" w:ascii="Times New Roman" w:hAnsi="Times New Roman" w:eastAsia="宋体" w:cs="Times New Roman"/>
                <w:b/>
                <w:bCs/>
                <w:color w:val="auto"/>
                <w:kern w:val="2"/>
                <w:szCs w:val="21"/>
                <w:highlight w:val="none"/>
                <w:lang w:val="en-US" w:eastAsia="zh-CN"/>
              </w:rPr>
            </w:pPr>
            <w:bookmarkStart w:id="2" w:name="_Hlk85892377"/>
            <w:r>
              <w:rPr>
                <w:rFonts w:hint="default" w:ascii="Times New Roman" w:hAnsi="Times New Roman" w:eastAsia="宋体" w:cs="Times New Roman"/>
                <w:b/>
                <w:bCs/>
                <w:color w:val="auto"/>
                <w:kern w:val="2"/>
                <w:szCs w:val="21"/>
                <w:highlight w:val="none"/>
              </w:rPr>
              <w:t>表</w:t>
            </w:r>
            <w:r>
              <w:rPr>
                <w:rFonts w:hint="default" w:ascii="Times New Roman" w:hAnsi="Times New Roman" w:eastAsia="宋体" w:cs="Times New Roman"/>
                <w:b/>
                <w:bCs/>
                <w:color w:val="auto"/>
                <w:kern w:val="2"/>
                <w:szCs w:val="21"/>
                <w:highlight w:val="none"/>
                <w:lang w:val="en-US" w:eastAsia="zh-CN"/>
              </w:rPr>
              <w:t>1-1</w:t>
            </w:r>
            <w:r>
              <w:rPr>
                <w:rFonts w:hint="eastAsia" w:cs="Times New Roman"/>
                <w:b/>
                <w:bCs/>
                <w:color w:val="auto"/>
                <w:kern w:val="2"/>
                <w:szCs w:val="21"/>
                <w:highlight w:val="none"/>
                <w:lang w:val="en-US" w:eastAsia="zh-CN"/>
              </w:rPr>
              <w:t>4</w:t>
            </w:r>
            <w:r>
              <w:rPr>
                <w:rFonts w:hint="default" w:ascii="Times New Roman" w:hAnsi="Times New Roman" w:eastAsia="宋体" w:cs="Times New Roman"/>
                <w:b/>
                <w:bCs/>
                <w:color w:val="auto"/>
                <w:sz w:val="21"/>
                <w:szCs w:val="21"/>
                <w:highlight w:val="none"/>
                <w:lang w:val="en-US" w:eastAsia="zh-CN"/>
              </w:rPr>
              <w:t>项目与</w:t>
            </w:r>
            <w:r>
              <w:rPr>
                <w:rFonts w:hint="default" w:ascii="Times New Roman" w:hAnsi="Times New Roman" w:eastAsia="宋体" w:cs="Times New Roman"/>
                <w:b/>
                <w:bCs/>
                <w:color w:val="auto"/>
                <w:kern w:val="2"/>
                <w:szCs w:val="21"/>
                <w:highlight w:val="none"/>
              </w:rPr>
              <w:t>山东省深入打好碧水保卫战行动计划（2021-2025年）的</w:t>
            </w:r>
            <w:r>
              <w:rPr>
                <w:rFonts w:hint="default" w:ascii="Times New Roman" w:hAnsi="Times New Roman" w:eastAsia="宋体" w:cs="Times New Roman"/>
                <w:b/>
                <w:bCs/>
                <w:color w:val="auto"/>
                <w:kern w:val="2"/>
                <w:szCs w:val="21"/>
                <w:highlight w:val="none"/>
                <w:lang w:val="en-US" w:eastAsia="zh-CN"/>
              </w:rPr>
              <w:t>符合性分析</w:t>
            </w:r>
          </w:p>
          <w:bookmarkEnd w:id="2"/>
          <w:tbl>
            <w:tblPr>
              <w:tblStyle w:val="81"/>
              <w:tblW w:w="80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22"/>
              <w:gridCol w:w="4327"/>
              <w:gridCol w:w="2518"/>
              <w:gridCol w:w="656"/>
            </w:tblGrid>
            <w:tr w14:paraId="375AE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4849" w:type="dxa"/>
                  <w:gridSpan w:val="2"/>
                  <w:noWrap w:val="0"/>
                  <w:vAlign w:val="center"/>
                </w:tcPr>
                <w:p w14:paraId="74F8F179">
                  <w:pPr>
                    <w:pStyle w:val="200"/>
                    <w:spacing w:beforeLines="0" w:afterLines="0" w:line="240" w:lineRule="auto"/>
                    <w:rPr>
                      <w:rFonts w:hint="default" w:ascii="Times New Roman" w:hAnsi="Times New Roman" w:cs="Times New Roman"/>
                      <w:color w:val="auto"/>
                      <w:kern w:val="0"/>
                      <w:sz w:val="18"/>
                      <w:szCs w:val="18"/>
                      <w:highlight w:val="none"/>
                    </w:rPr>
                  </w:pPr>
                  <w:bookmarkStart w:id="3" w:name="_Hlk85892409"/>
                  <w:r>
                    <w:rPr>
                      <w:rFonts w:ascii="Times New Roman"/>
                      <w:b/>
                      <w:bCs/>
                      <w:color w:val="auto"/>
                      <w:sz w:val="18"/>
                      <w:szCs w:val="18"/>
                      <w:highlight w:val="none"/>
                    </w:rPr>
                    <w:t>文件要求</w:t>
                  </w:r>
                </w:p>
              </w:tc>
              <w:tc>
                <w:tcPr>
                  <w:tcW w:w="2518" w:type="dxa"/>
                  <w:noWrap w:val="0"/>
                  <w:vAlign w:val="center"/>
                </w:tcPr>
                <w:p w14:paraId="242EC2B6">
                  <w:pPr>
                    <w:pStyle w:val="200"/>
                    <w:spacing w:beforeLines="0" w:afterLines="0" w:line="240" w:lineRule="auto"/>
                    <w:rPr>
                      <w:rFonts w:hint="default" w:ascii="Times New Roman" w:hAnsi="Times New Roman" w:cs="Times New Roman"/>
                      <w:color w:val="auto"/>
                      <w:kern w:val="0"/>
                      <w:sz w:val="18"/>
                      <w:szCs w:val="18"/>
                      <w:highlight w:val="none"/>
                    </w:rPr>
                  </w:pPr>
                  <w:r>
                    <w:rPr>
                      <w:rFonts w:ascii="Times New Roman"/>
                      <w:b/>
                      <w:bCs/>
                      <w:color w:val="auto"/>
                      <w:sz w:val="18"/>
                      <w:szCs w:val="18"/>
                      <w:highlight w:val="none"/>
                    </w:rPr>
                    <w:t>项目情况</w:t>
                  </w:r>
                </w:p>
              </w:tc>
              <w:tc>
                <w:tcPr>
                  <w:tcW w:w="656" w:type="dxa"/>
                  <w:noWrap w:val="0"/>
                  <w:vAlign w:val="center"/>
                </w:tcPr>
                <w:p w14:paraId="6F41F09E">
                  <w:pPr>
                    <w:pStyle w:val="200"/>
                    <w:spacing w:beforeLines="0" w:afterLines="0" w:line="240" w:lineRule="auto"/>
                    <w:rPr>
                      <w:rFonts w:hint="default" w:ascii="Times New Roman" w:hAnsi="Times New Roman" w:cs="Times New Roman"/>
                      <w:color w:val="auto"/>
                      <w:kern w:val="0"/>
                      <w:sz w:val="18"/>
                      <w:szCs w:val="18"/>
                      <w:highlight w:val="none"/>
                    </w:rPr>
                  </w:pPr>
                  <w:r>
                    <w:rPr>
                      <w:rFonts w:ascii="Times New Roman"/>
                      <w:b/>
                      <w:bCs/>
                      <w:color w:val="auto"/>
                      <w:sz w:val="18"/>
                      <w:szCs w:val="18"/>
                      <w:highlight w:val="none"/>
                    </w:rPr>
                    <w:t>符合性</w:t>
                  </w:r>
                </w:p>
              </w:tc>
            </w:tr>
            <w:bookmarkEnd w:id="3"/>
            <w:tr w14:paraId="519BD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7" w:hRule="atLeast"/>
                <w:jc w:val="center"/>
              </w:trPr>
              <w:tc>
                <w:tcPr>
                  <w:tcW w:w="522" w:type="dxa"/>
                  <w:noWrap w:val="0"/>
                  <w:vAlign w:val="center"/>
                </w:tcPr>
                <w:p w14:paraId="6DB0FA14">
                  <w:pPr>
                    <w:adjustRightInd w:val="0"/>
                    <w:snapToGrid w:val="0"/>
                    <w:spacing w:beforeLines="0" w:afterLines="0" w:line="240" w:lineRule="auto"/>
                    <w:jc w:val="center"/>
                    <w:rPr>
                      <w:rFonts w:hint="default" w:ascii="Times New Roman" w:hAnsi="Times New Roman" w:cs="Times New Roman"/>
                      <w:color w:val="auto"/>
                      <w:sz w:val="18"/>
                      <w:szCs w:val="18"/>
                      <w:highlight w:val="none"/>
                    </w:rPr>
                  </w:pPr>
                  <w:bookmarkStart w:id="4" w:name="_Toc11703"/>
                  <w:bookmarkStart w:id="5" w:name="_Toc74117495"/>
                  <w:bookmarkStart w:id="6" w:name="_Toc1650"/>
                  <w:r>
                    <w:rPr>
                      <w:rFonts w:hint="eastAsia" w:ascii="Times New Roman" w:hAnsi="Times New Roman" w:cs="Times New Roman"/>
                      <w:color w:val="auto"/>
                      <w:sz w:val="18"/>
                      <w:szCs w:val="18"/>
                      <w:highlight w:val="none"/>
                      <w:lang w:val="en-US" w:eastAsia="zh-CN"/>
                    </w:rPr>
                    <w:t>1</w:t>
                  </w:r>
                  <w:bookmarkEnd w:id="4"/>
                  <w:bookmarkEnd w:id="5"/>
                  <w:bookmarkEnd w:id="6"/>
                </w:p>
              </w:tc>
              <w:tc>
                <w:tcPr>
                  <w:tcW w:w="4327" w:type="dxa"/>
                  <w:noWrap w:val="0"/>
                  <w:vAlign w:val="center"/>
                </w:tcPr>
                <w:p w14:paraId="3D0B2543">
                  <w:pPr>
                    <w:adjustRightInd w:val="0"/>
                    <w:snapToGrid w:val="0"/>
                    <w:spacing w:beforeLines="0" w:afterLines="0" w:line="240" w:lineRule="auto"/>
                    <w:ind w:firstLine="270" w:firstLineChars="15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开展“污水零直排区”建设，控制城市面源污染。彻底摸清城市（含县城）管网底数，加快雨污分流改造，推进实现整县域合流制管网清零。2025年年底前，新建改造修复城区污水管网5000公里，改造城区雨污合流管网3000余公里，基本消除城市管网空白区和生活污水直排口。开展城镇生活污水处理设施能力评估，优化生活污水处理厂布局，提升污水处理能力并适度超前。2025年年底前，新增污水处理能力200万吨/日以上。加强建制镇生活污水</w:t>
                  </w:r>
                </w:p>
                <w:p w14:paraId="4A288FA3">
                  <w:pPr>
                    <w:adjustRightInd w:val="0"/>
                    <w:snapToGrid w:val="0"/>
                    <w:spacing w:beforeLines="0" w:afterLines="0" w:line="240" w:lineRule="auto"/>
                    <w:ind w:firstLine="270" w:firstLineChars="15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收集处理设施建设，并实现稳定运行，2025年年底前，建制镇生活污水处理率达到75%以上</w:t>
                  </w:r>
                </w:p>
              </w:tc>
              <w:tc>
                <w:tcPr>
                  <w:tcW w:w="2518" w:type="dxa"/>
                  <w:noWrap w:val="0"/>
                  <w:vAlign w:val="center"/>
                </w:tcPr>
                <w:p w14:paraId="46C7EC81">
                  <w:pPr>
                    <w:widowControl/>
                    <w:adjustRightInd w:val="0"/>
                    <w:snapToGrid w:val="0"/>
                    <w:spacing w:beforeLines="0" w:afterLines="0" w:line="240" w:lineRule="auto"/>
                    <w:jc w:val="center"/>
                    <w:rPr>
                      <w:rFonts w:hint="default" w:ascii="Times New Roman" w:hAnsi="Times New Roman" w:cs="Times New Roman"/>
                      <w:color w:val="auto"/>
                      <w:kern w:val="0"/>
                      <w:sz w:val="18"/>
                      <w:szCs w:val="18"/>
                      <w:highlight w:val="none"/>
                    </w:rPr>
                  </w:pPr>
                  <w:r>
                    <w:rPr>
                      <w:rFonts w:hint="eastAsia" w:cs="Times New Roman"/>
                      <w:color w:val="auto"/>
                      <w:kern w:val="0"/>
                      <w:sz w:val="18"/>
                      <w:szCs w:val="18"/>
                      <w:highlight w:val="none"/>
                      <w:lang w:eastAsia="zh-CN"/>
                    </w:rPr>
                    <w:t>项目</w:t>
                  </w:r>
                  <w:r>
                    <w:rPr>
                      <w:rFonts w:hint="default" w:ascii="Times New Roman" w:hAnsi="Times New Roman" w:cs="Times New Roman"/>
                      <w:color w:val="auto"/>
                      <w:kern w:val="0"/>
                      <w:sz w:val="18"/>
                      <w:szCs w:val="18"/>
                      <w:highlight w:val="none"/>
                      <w:lang w:val="en-US" w:eastAsia="zh-CN"/>
                    </w:rPr>
                    <w:t>生活污水经化粪池预处理后由环卫部门定期清运</w:t>
                  </w:r>
                  <w:r>
                    <w:rPr>
                      <w:rFonts w:hint="eastAsia" w:cs="Times New Roman"/>
                      <w:color w:val="auto"/>
                      <w:sz w:val="18"/>
                      <w:szCs w:val="18"/>
                      <w:highlight w:val="none"/>
                      <w:lang w:val="zh-CN"/>
                    </w:rPr>
                    <w:t>；</w:t>
                  </w:r>
                  <w:r>
                    <w:rPr>
                      <w:rFonts w:hint="eastAsia" w:cs="Times New Roman"/>
                      <w:color w:val="auto"/>
                      <w:sz w:val="18"/>
                      <w:szCs w:val="18"/>
                      <w:highlight w:val="none"/>
                      <w:lang w:val="zh-CN" w:eastAsia="zh-CN"/>
                    </w:rPr>
                    <w:t>水喷淋废水用于造粒用水，车间洒水降尘用水、厂区道路洒水降尘用水、造粒用水全部蒸发损耗，无废水外排</w:t>
                  </w:r>
                </w:p>
              </w:tc>
              <w:tc>
                <w:tcPr>
                  <w:tcW w:w="656" w:type="dxa"/>
                  <w:noWrap w:val="0"/>
                  <w:vAlign w:val="center"/>
                </w:tcPr>
                <w:p w14:paraId="635E1262">
                  <w:pPr>
                    <w:widowControl/>
                    <w:adjustRightInd w:val="0"/>
                    <w:snapToGrid w:val="0"/>
                    <w:spacing w:beforeLines="0" w:afterLines="0" w:line="240" w:lineRule="auto"/>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14:paraId="66FD0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58" w:hRule="atLeast"/>
                <w:jc w:val="center"/>
              </w:trPr>
              <w:tc>
                <w:tcPr>
                  <w:tcW w:w="522" w:type="dxa"/>
                  <w:noWrap w:val="0"/>
                  <w:vAlign w:val="center"/>
                </w:tcPr>
                <w:p w14:paraId="6B11FFCD">
                  <w:pPr>
                    <w:adjustRightInd w:val="0"/>
                    <w:snapToGrid w:val="0"/>
                    <w:spacing w:beforeLines="0" w:afterLines="0" w:line="240" w:lineRule="auto"/>
                    <w:jc w:val="center"/>
                    <w:rPr>
                      <w:rFonts w:hint="default" w:ascii="Times New Roman" w:hAnsi="Times New Roman" w:cs="Times New Roman"/>
                      <w:color w:val="auto"/>
                      <w:sz w:val="18"/>
                      <w:szCs w:val="18"/>
                      <w:highlight w:val="none"/>
                    </w:rPr>
                  </w:pPr>
                  <w:bookmarkStart w:id="7" w:name="_Toc13735"/>
                  <w:bookmarkStart w:id="8" w:name="_Toc73521702"/>
                  <w:bookmarkStart w:id="9" w:name="_Toc22129"/>
                  <w:bookmarkStart w:id="10" w:name="_Toc74117496"/>
                  <w:r>
                    <w:rPr>
                      <w:rFonts w:hint="eastAsia" w:ascii="Times New Roman" w:hAnsi="Times New Roman" w:cs="Times New Roman"/>
                      <w:color w:val="auto"/>
                      <w:sz w:val="18"/>
                      <w:szCs w:val="18"/>
                      <w:highlight w:val="none"/>
                      <w:lang w:val="en-US" w:eastAsia="zh-CN"/>
                    </w:rPr>
                    <w:t>2</w:t>
                  </w:r>
                  <w:bookmarkEnd w:id="7"/>
                  <w:bookmarkEnd w:id="8"/>
                  <w:bookmarkEnd w:id="9"/>
                  <w:bookmarkEnd w:id="10"/>
                </w:p>
              </w:tc>
              <w:tc>
                <w:tcPr>
                  <w:tcW w:w="4327" w:type="dxa"/>
                  <w:noWrap w:val="0"/>
                  <w:vAlign w:val="center"/>
                </w:tcPr>
                <w:p w14:paraId="1D2255F0">
                  <w:pPr>
                    <w:adjustRightInd w:val="0"/>
                    <w:snapToGrid w:val="0"/>
                    <w:spacing w:beforeLines="0" w:afterLines="0" w:line="240" w:lineRule="auto"/>
                    <w:ind w:firstLine="270" w:firstLineChars="15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继续推进化工、有色金属、农副食品加工、印染、制革、原料药制造、电镀、冶金等行业退城入园，提高工业园区集聚水平。指导工业园区对污水实施科学收集、分类处理，梯级循环利用工业废水。逐步推进园区纳管企业废水“一企一管、明管输送、实时监控，统一调度”，第一时间锁定园区集中污水处理设施超标来水源头，及时有效处理处置。大力推进生态工业园区建设，对获得国家和省级命名的生态工业园区给予政策支持</w:t>
                  </w:r>
                </w:p>
              </w:tc>
              <w:tc>
                <w:tcPr>
                  <w:tcW w:w="2518" w:type="dxa"/>
                  <w:noWrap w:val="0"/>
                  <w:vAlign w:val="center"/>
                </w:tcPr>
                <w:p w14:paraId="2829B69F">
                  <w:pPr>
                    <w:widowControl/>
                    <w:adjustRightInd w:val="0"/>
                    <w:snapToGrid w:val="0"/>
                    <w:spacing w:beforeLines="0" w:afterLines="0" w:line="240" w:lineRule="auto"/>
                    <w:jc w:val="center"/>
                    <w:rPr>
                      <w:rFonts w:hint="default" w:ascii="Times New Roman" w:hAnsi="Times New Roman" w:cs="Times New Roman"/>
                      <w:color w:val="auto"/>
                      <w:kern w:val="0"/>
                      <w:sz w:val="18"/>
                      <w:szCs w:val="18"/>
                      <w:highlight w:val="none"/>
                    </w:rPr>
                  </w:pPr>
                  <w:r>
                    <w:rPr>
                      <w:rFonts w:hint="eastAsia" w:cs="Times New Roman"/>
                      <w:color w:val="auto"/>
                      <w:kern w:val="0"/>
                      <w:sz w:val="18"/>
                      <w:szCs w:val="18"/>
                      <w:highlight w:val="none"/>
                      <w:lang w:eastAsia="zh-CN"/>
                    </w:rPr>
                    <w:t>项目</w:t>
                  </w:r>
                  <w:r>
                    <w:rPr>
                      <w:rFonts w:hint="default" w:ascii="Times New Roman" w:hAnsi="Times New Roman" w:cs="Times New Roman"/>
                      <w:color w:val="auto"/>
                      <w:kern w:val="0"/>
                      <w:sz w:val="18"/>
                      <w:szCs w:val="18"/>
                      <w:highlight w:val="none"/>
                    </w:rPr>
                    <w:t>不属于化工、有色金属、农副食品加工、印染、</w:t>
                  </w:r>
                </w:p>
                <w:p w14:paraId="614AB3CB">
                  <w:pPr>
                    <w:widowControl/>
                    <w:adjustRightInd w:val="0"/>
                    <w:snapToGrid w:val="0"/>
                    <w:spacing w:beforeLines="0" w:afterLines="0" w:line="240" w:lineRule="auto"/>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制革、原料药制造、电镀、冶金等行业，</w:t>
                  </w:r>
                  <w:r>
                    <w:rPr>
                      <w:rFonts w:hint="eastAsia" w:cs="Times New Roman"/>
                      <w:color w:val="auto"/>
                      <w:kern w:val="0"/>
                      <w:sz w:val="18"/>
                      <w:szCs w:val="18"/>
                      <w:highlight w:val="none"/>
                      <w:lang w:eastAsia="zh-CN"/>
                    </w:rPr>
                    <w:t>项目</w:t>
                  </w:r>
                  <w:r>
                    <w:rPr>
                      <w:rFonts w:hint="default" w:ascii="Times New Roman" w:hAnsi="Times New Roman" w:cs="Times New Roman"/>
                      <w:color w:val="auto"/>
                      <w:kern w:val="0"/>
                      <w:sz w:val="18"/>
                      <w:szCs w:val="18"/>
                      <w:highlight w:val="none"/>
                    </w:rPr>
                    <w:t>生活污水经化粪池预处理后由环卫部门定期清运</w:t>
                  </w:r>
                  <w:r>
                    <w:rPr>
                      <w:rFonts w:hint="eastAsia" w:cs="Times New Roman"/>
                      <w:color w:val="auto"/>
                      <w:sz w:val="18"/>
                      <w:szCs w:val="18"/>
                      <w:highlight w:val="none"/>
                      <w:lang w:val="zh-CN"/>
                    </w:rPr>
                    <w:t>；</w:t>
                  </w:r>
                  <w:r>
                    <w:rPr>
                      <w:rFonts w:hint="eastAsia" w:cs="Times New Roman"/>
                      <w:color w:val="auto"/>
                      <w:sz w:val="18"/>
                      <w:szCs w:val="18"/>
                      <w:highlight w:val="none"/>
                      <w:lang w:val="zh-CN" w:eastAsia="zh-CN"/>
                    </w:rPr>
                    <w:t>水喷淋废水用于造粒用水，车间洒水降尘用水、厂区道路洒水降尘用水、造粒用水全部蒸发损耗，无废水外排</w:t>
                  </w:r>
                </w:p>
              </w:tc>
              <w:tc>
                <w:tcPr>
                  <w:tcW w:w="656" w:type="dxa"/>
                  <w:noWrap w:val="0"/>
                  <w:vAlign w:val="center"/>
                </w:tcPr>
                <w:p w14:paraId="20D7D422">
                  <w:pPr>
                    <w:widowControl/>
                    <w:adjustRightInd w:val="0"/>
                    <w:snapToGrid w:val="0"/>
                    <w:spacing w:beforeLines="0" w:afterLines="0" w:line="240" w:lineRule="auto"/>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14:paraId="7B1F9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58" w:hRule="atLeast"/>
                <w:jc w:val="center"/>
              </w:trPr>
              <w:tc>
                <w:tcPr>
                  <w:tcW w:w="522" w:type="dxa"/>
                  <w:noWrap w:val="0"/>
                  <w:vAlign w:val="center"/>
                </w:tcPr>
                <w:p w14:paraId="0129BA58">
                  <w:pPr>
                    <w:adjustRightInd w:val="0"/>
                    <w:snapToGrid w:val="0"/>
                    <w:spacing w:beforeLines="0" w:afterLines="0" w:line="240" w:lineRule="auto"/>
                    <w:jc w:val="center"/>
                    <w:rPr>
                      <w:rFonts w:hint="default" w:ascii="Times New Roman" w:hAnsi="Times New Roman" w:cs="Times New Roman"/>
                      <w:color w:val="auto"/>
                      <w:sz w:val="18"/>
                      <w:szCs w:val="18"/>
                      <w:highlight w:val="none"/>
                    </w:rPr>
                  </w:pPr>
                  <w:bookmarkStart w:id="11" w:name="_Toc8577"/>
                  <w:bookmarkStart w:id="12" w:name="_Toc73692486"/>
                  <w:bookmarkStart w:id="13" w:name="_Toc26457"/>
                  <w:bookmarkStart w:id="14" w:name="_Toc74117498"/>
                  <w:bookmarkStart w:id="15" w:name="_Toc21513"/>
                  <w:r>
                    <w:rPr>
                      <w:rFonts w:hint="eastAsia" w:ascii="Times New Roman" w:hAnsi="Times New Roman" w:cs="Times New Roman"/>
                      <w:color w:val="auto"/>
                      <w:sz w:val="18"/>
                      <w:szCs w:val="18"/>
                      <w:highlight w:val="none"/>
                      <w:lang w:val="en-US" w:eastAsia="zh-CN"/>
                    </w:rPr>
                    <w:t>3</w:t>
                  </w:r>
                  <w:bookmarkEnd w:id="11"/>
                  <w:bookmarkEnd w:id="12"/>
                  <w:bookmarkEnd w:id="13"/>
                  <w:bookmarkEnd w:id="14"/>
                  <w:bookmarkEnd w:id="15"/>
                </w:p>
              </w:tc>
              <w:tc>
                <w:tcPr>
                  <w:tcW w:w="4327" w:type="dxa"/>
                  <w:noWrap w:val="0"/>
                  <w:vAlign w:val="center"/>
                </w:tcPr>
                <w:p w14:paraId="5EB5995A">
                  <w:pPr>
                    <w:tabs>
                      <w:tab w:val="left" w:pos="1156"/>
                    </w:tabs>
                    <w:adjustRightInd w:val="0"/>
                    <w:snapToGrid w:val="0"/>
                    <w:spacing w:beforeLines="0" w:afterLines="0" w:line="240" w:lineRule="auto"/>
                    <w:ind w:firstLine="270" w:firstLineChars="15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加强工业节水，2025年年底前，全省高耗水工业企业节水型企业达标率达到50%，全省创建50家节水标杆企业和10家节水标杆园区。开展城市污水深度处理，推进再生水资源化利用，缓解水资源短缺问题。推动非常规水纳入水资源统一配置，逐年提高非常规水利用比例，2025年年底前，非常规水源利用量达到15亿立方米</w:t>
                  </w:r>
                </w:p>
              </w:tc>
              <w:tc>
                <w:tcPr>
                  <w:tcW w:w="2518" w:type="dxa"/>
                  <w:noWrap w:val="0"/>
                  <w:vAlign w:val="center"/>
                </w:tcPr>
                <w:p w14:paraId="2CA09B5D">
                  <w:pPr>
                    <w:widowControl/>
                    <w:adjustRightInd w:val="0"/>
                    <w:snapToGrid w:val="0"/>
                    <w:spacing w:beforeLines="0" w:afterLines="0" w:line="240" w:lineRule="auto"/>
                    <w:jc w:val="center"/>
                    <w:rPr>
                      <w:rFonts w:hint="default"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lang w:eastAsia="zh-CN"/>
                    </w:rPr>
                    <w:t>项目</w:t>
                  </w:r>
                  <w:r>
                    <w:rPr>
                      <w:rFonts w:hint="default" w:ascii="Times New Roman" w:hAnsi="Times New Roman" w:cs="Times New Roman"/>
                      <w:color w:val="auto"/>
                      <w:kern w:val="0"/>
                      <w:sz w:val="18"/>
                      <w:szCs w:val="18"/>
                      <w:highlight w:val="none"/>
                      <w:lang w:val="en-US" w:eastAsia="zh-CN"/>
                    </w:rPr>
                    <w:t>生活污水经化粪池预处理后由环卫部门定期清运</w:t>
                  </w:r>
                  <w:r>
                    <w:rPr>
                      <w:rFonts w:hint="eastAsia" w:cs="Times New Roman"/>
                      <w:color w:val="auto"/>
                      <w:sz w:val="18"/>
                      <w:szCs w:val="18"/>
                      <w:highlight w:val="none"/>
                      <w:lang w:val="zh-CN"/>
                    </w:rPr>
                    <w:t>；</w:t>
                  </w:r>
                  <w:r>
                    <w:rPr>
                      <w:rFonts w:hint="eastAsia" w:cs="Times New Roman"/>
                      <w:color w:val="auto"/>
                      <w:sz w:val="18"/>
                      <w:szCs w:val="18"/>
                      <w:highlight w:val="none"/>
                      <w:lang w:val="zh-CN" w:eastAsia="zh-CN"/>
                    </w:rPr>
                    <w:t>水喷淋废水用于造粒用水，车间洒水降尘用水、厂区道路洒水降尘用水、造粒用水全部蒸发损耗，无废水外排</w:t>
                  </w:r>
                </w:p>
              </w:tc>
              <w:tc>
                <w:tcPr>
                  <w:tcW w:w="656" w:type="dxa"/>
                  <w:noWrap w:val="0"/>
                  <w:vAlign w:val="center"/>
                </w:tcPr>
                <w:p w14:paraId="70855092">
                  <w:pPr>
                    <w:widowControl/>
                    <w:adjustRightInd w:val="0"/>
                    <w:snapToGrid w:val="0"/>
                    <w:spacing w:beforeLines="0" w:afterLines="0" w:line="240" w:lineRule="auto"/>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bl>
          <w:p w14:paraId="691A3B06">
            <w:pPr>
              <w:snapToGrid w:val="0"/>
              <w:spacing w:line="360" w:lineRule="auto"/>
              <w:jc w:val="center"/>
              <w:rPr>
                <w:rFonts w:hint="eastAsia" w:ascii="Times New Roman" w:hAnsi="Times New Roman" w:eastAsia="宋体" w:cs="Times New Roman"/>
                <w:b/>
                <w:bCs/>
                <w:color w:val="auto"/>
                <w:kern w:val="2"/>
                <w:szCs w:val="21"/>
                <w:highlight w:val="none"/>
                <w:lang w:val="en-US" w:eastAsia="zh-CN"/>
              </w:rPr>
            </w:pPr>
            <w:r>
              <w:rPr>
                <w:rFonts w:hint="eastAsia" w:ascii="Times New Roman" w:hAnsi="Times New Roman" w:eastAsia="宋体" w:cs="Times New Roman"/>
                <w:b/>
                <w:bCs/>
                <w:color w:val="auto"/>
                <w:kern w:val="2"/>
                <w:szCs w:val="21"/>
                <w:highlight w:val="none"/>
              </w:rPr>
              <w:t>表</w:t>
            </w:r>
            <w:r>
              <w:rPr>
                <w:rFonts w:hint="eastAsia" w:ascii="Times New Roman" w:hAnsi="Times New Roman" w:eastAsia="宋体" w:cs="Times New Roman"/>
                <w:b/>
                <w:bCs/>
                <w:color w:val="auto"/>
                <w:kern w:val="2"/>
                <w:szCs w:val="21"/>
                <w:highlight w:val="none"/>
                <w:lang w:eastAsia="zh-CN"/>
              </w:rPr>
              <w:t>1</w:t>
            </w:r>
            <w:r>
              <w:rPr>
                <w:rFonts w:hint="eastAsia" w:ascii="Times New Roman" w:hAnsi="Times New Roman" w:eastAsia="宋体" w:cs="Times New Roman"/>
                <w:b/>
                <w:bCs/>
                <w:color w:val="auto"/>
                <w:kern w:val="2"/>
                <w:szCs w:val="21"/>
                <w:highlight w:val="none"/>
                <w:lang w:val="en-US" w:eastAsia="zh-CN"/>
              </w:rPr>
              <w:t>-1</w:t>
            </w:r>
            <w:r>
              <w:rPr>
                <w:rFonts w:hint="eastAsia" w:cs="Times New Roman"/>
                <w:b/>
                <w:bCs/>
                <w:color w:val="auto"/>
                <w:kern w:val="2"/>
                <w:szCs w:val="21"/>
                <w:highlight w:val="none"/>
                <w:lang w:val="en-US" w:eastAsia="zh-CN"/>
              </w:rPr>
              <w:t>5</w:t>
            </w:r>
            <w:r>
              <w:rPr>
                <w:rFonts w:hint="eastAsia" w:ascii="Times New Roman" w:hAnsi="Times New Roman" w:eastAsia="宋体" w:cs="Times New Roman"/>
                <w:b/>
                <w:bCs/>
                <w:color w:val="auto"/>
                <w:kern w:val="2"/>
                <w:szCs w:val="21"/>
                <w:highlight w:val="none"/>
              </w:rPr>
              <w:t>项目与</w:t>
            </w:r>
            <w:r>
              <w:rPr>
                <w:rFonts w:hint="eastAsia" w:ascii="Times New Roman" w:hAnsi="Times New Roman" w:eastAsia="宋体" w:cs="Times New Roman"/>
                <w:b/>
                <w:bCs/>
                <w:color w:val="auto"/>
                <w:kern w:val="2"/>
                <w:szCs w:val="21"/>
                <w:highlight w:val="none"/>
                <w:lang w:eastAsia="zh-CN"/>
              </w:rPr>
              <w:t>《</w:t>
            </w:r>
            <w:r>
              <w:rPr>
                <w:rFonts w:hint="eastAsia" w:ascii="Times New Roman" w:hAnsi="Times New Roman" w:eastAsia="宋体" w:cs="Times New Roman"/>
                <w:b/>
                <w:bCs/>
                <w:color w:val="auto"/>
                <w:kern w:val="2"/>
                <w:szCs w:val="21"/>
                <w:highlight w:val="none"/>
              </w:rPr>
              <w:t>山东省深入打好净土保卫战行动计划（2021-2025年）的通知》的符合</w:t>
            </w:r>
            <w:r>
              <w:rPr>
                <w:rFonts w:hint="eastAsia" w:ascii="Times New Roman" w:hAnsi="Times New Roman" w:eastAsia="宋体" w:cs="Times New Roman"/>
                <w:b/>
                <w:bCs/>
                <w:color w:val="auto"/>
                <w:kern w:val="2"/>
                <w:szCs w:val="21"/>
                <w:highlight w:val="none"/>
                <w:lang w:val="en-US" w:eastAsia="zh-CN"/>
              </w:rPr>
              <w:t>性分析</w:t>
            </w:r>
          </w:p>
          <w:tbl>
            <w:tblPr>
              <w:tblStyle w:val="81"/>
              <w:tblW w:w="80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21"/>
              <w:gridCol w:w="4328"/>
              <w:gridCol w:w="2517"/>
              <w:gridCol w:w="657"/>
            </w:tblGrid>
            <w:tr w14:paraId="7A46A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021" w:type="pct"/>
                  <w:gridSpan w:val="2"/>
                  <w:shd w:val="clear" w:color="auto" w:fill="auto"/>
                  <w:noWrap w:val="0"/>
                  <w:vAlign w:val="center"/>
                </w:tcPr>
                <w:p w14:paraId="0FE17539">
                  <w:pPr>
                    <w:pStyle w:val="200"/>
                    <w:spacing w:beforeLines="0" w:afterLines="0" w:line="240" w:lineRule="auto"/>
                    <w:rPr>
                      <w:rFonts w:hint="default" w:ascii="Times New Roman" w:hAnsi="Times New Roman" w:eastAsia="宋体" w:cs="Times New Roman"/>
                      <w:color w:val="auto"/>
                      <w:kern w:val="0"/>
                      <w:sz w:val="18"/>
                      <w:szCs w:val="18"/>
                      <w:highlight w:val="none"/>
                      <w:lang w:val="en-US" w:eastAsia="zh-CN" w:bidi="ar-SA"/>
                    </w:rPr>
                  </w:pPr>
                  <w:r>
                    <w:rPr>
                      <w:rFonts w:ascii="Times New Roman"/>
                      <w:b/>
                      <w:bCs/>
                      <w:color w:val="auto"/>
                      <w:sz w:val="18"/>
                      <w:szCs w:val="18"/>
                      <w:highlight w:val="none"/>
                    </w:rPr>
                    <w:t>文件要求</w:t>
                  </w:r>
                </w:p>
              </w:tc>
              <w:tc>
                <w:tcPr>
                  <w:tcW w:w="1568" w:type="pct"/>
                  <w:shd w:val="clear" w:color="auto" w:fill="auto"/>
                  <w:noWrap w:val="0"/>
                  <w:vAlign w:val="center"/>
                </w:tcPr>
                <w:p w14:paraId="43052CCC">
                  <w:pPr>
                    <w:pStyle w:val="200"/>
                    <w:spacing w:beforeLines="0" w:afterLines="0" w:line="240" w:lineRule="auto"/>
                    <w:rPr>
                      <w:rFonts w:hint="default" w:ascii="Times New Roman" w:hAnsi="Times New Roman" w:eastAsia="宋体" w:cs="Times New Roman"/>
                      <w:color w:val="auto"/>
                      <w:kern w:val="0"/>
                      <w:sz w:val="18"/>
                      <w:szCs w:val="18"/>
                      <w:highlight w:val="none"/>
                      <w:lang w:val="en-US" w:eastAsia="zh-CN" w:bidi="ar-SA"/>
                    </w:rPr>
                  </w:pPr>
                  <w:r>
                    <w:rPr>
                      <w:rFonts w:ascii="Times New Roman"/>
                      <w:b/>
                      <w:bCs/>
                      <w:color w:val="auto"/>
                      <w:sz w:val="18"/>
                      <w:szCs w:val="18"/>
                      <w:highlight w:val="none"/>
                    </w:rPr>
                    <w:t>项目情况</w:t>
                  </w:r>
                </w:p>
              </w:tc>
              <w:tc>
                <w:tcPr>
                  <w:tcW w:w="409" w:type="pct"/>
                  <w:shd w:val="clear" w:color="auto" w:fill="auto"/>
                  <w:noWrap w:val="0"/>
                  <w:vAlign w:val="center"/>
                </w:tcPr>
                <w:p w14:paraId="74F65C62">
                  <w:pPr>
                    <w:pStyle w:val="200"/>
                    <w:spacing w:beforeLines="0" w:afterLines="0" w:line="240" w:lineRule="auto"/>
                    <w:rPr>
                      <w:rFonts w:hint="default" w:ascii="Times New Roman" w:hAnsi="Times New Roman" w:eastAsia="宋体" w:cs="Times New Roman"/>
                      <w:color w:val="auto"/>
                      <w:kern w:val="0"/>
                      <w:sz w:val="18"/>
                      <w:szCs w:val="18"/>
                      <w:highlight w:val="none"/>
                      <w:lang w:val="en-US" w:eastAsia="zh-CN" w:bidi="ar-SA"/>
                    </w:rPr>
                  </w:pPr>
                  <w:r>
                    <w:rPr>
                      <w:rFonts w:ascii="Times New Roman"/>
                      <w:b/>
                      <w:bCs/>
                      <w:color w:val="auto"/>
                      <w:sz w:val="18"/>
                      <w:szCs w:val="18"/>
                      <w:highlight w:val="none"/>
                    </w:rPr>
                    <w:t>符合性</w:t>
                  </w:r>
                </w:p>
              </w:tc>
            </w:tr>
            <w:tr w14:paraId="7E233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25" w:type="pct"/>
                  <w:noWrap w:val="0"/>
                  <w:vAlign w:val="center"/>
                </w:tcPr>
                <w:p w14:paraId="076A6FC3">
                  <w:pPr>
                    <w:widowControl/>
                    <w:adjustRightInd w:val="0"/>
                    <w:snapToGrid w:val="0"/>
                    <w:spacing w:beforeLines="0" w:afterLines="0" w:line="240" w:lineRule="auto"/>
                    <w:jc w:val="center"/>
                    <w:rPr>
                      <w:rFonts w:hint="eastAsia" w:ascii="Times New Roman" w:hAnsi="Times New Roman" w:cs="Times New Roman"/>
                      <w:color w:val="auto"/>
                      <w:kern w:val="0"/>
                      <w:sz w:val="18"/>
                      <w:szCs w:val="18"/>
                      <w:highlight w:val="none"/>
                    </w:rPr>
                  </w:pPr>
                  <w:r>
                    <w:rPr>
                      <w:rFonts w:hint="eastAsia" w:ascii="Times New Roman" w:hAnsi="Times New Roman" w:cs="Times New Roman"/>
                      <w:color w:val="auto"/>
                      <w:kern w:val="0"/>
                      <w:sz w:val="18"/>
                      <w:szCs w:val="18"/>
                      <w:highlight w:val="none"/>
                      <w:lang w:val="en-US" w:eastAsia="zh-CN"/>
                    </w:rPr>
                    <w:t>1</w:t>
                  </w:r>
                </w:p>
              </w:tc>
              <w:tc>
                <w:tcPr>
                  <w:tcW w:w="2696" w:type="pct"/>
                  <w:noWrap w:val="0"/>
                  <w:vAlign w:val="center"/>
                </w:tcPr>
                <w:p w14:paraId="40F253FE">
                  <w:pPr>
                    <w:widowControl/>
                    <w:adjustRightInd w:val="0"/>
                    <w:snapToGrid w:val="0"/>
                    <w:spacing w:beforeLines="0" w:afterLines="0" w:line="240" w:lineRule="auto"/>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开展非正规固体废物堆存场所排查整治。构建集污水、垃圾、固废、危废、医废处理处置设施和监测监管能力于一体的环境基础设施体系，形成由城市向建制镇和乡村延伸覆盖的环境基础设施网络。到2025年，试点城市建立起“无废城市”建设综合管理制度和监管体系</w:t>
                  </w:r>
                </w:p>
              </w:tc>
              <w:tc>
                <w:tcPr>
                  <w:tcW w:w="1568" w:type="pct"/>
                  <w:noWrap w:val="0"/>
                  <w:vAlign w:val="center"/>
                </w:tcPr>
                <w:p w14:paraId="6FBE6C92">
                  <w:pPr>
                    <w:widowControl/>
                    <w:adjustRightInd w:val="0"/>
                    <w:snapToGrid w:val="0"/>
                    <w:spacing w:beforeLines="0" w:afterLines="0" w:line="240" w:lineRule="auto"/>
                    <w:jc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项目</w:t>
                  </w:r>
                  <w:r>
                    <w:rPr>
                      <w:rFonts w:hint="eastAsia" w:ascii="Times New Roman" w:hAnsi="Times New Roman" w:eastAsia="宋体" w:cs="Times New Roman"/>
                      <w:color w:val="auto"/>
                      <w:kern w:val="0"/>
                      <w:sz w:val="18"/>
                      <w:szCs w:val="18"/>
                      <w:highlight w:val="none"/>
                      <w:lang w:val="en-US" w:eastAsia="zh-CN"/>
                    </w:rPr>
                    <w:t>不涉及危险废物，一般固废储存在一般固废暂存处，均得到合理处置</w:t>
                  </w:r>
                </w:p>
              </w:tc>
              <w:tc>
                <w:tcPr>
                  <w:tcW w:w="409" w:type="pct"/>
                  <w:noWrap w:val="0"/>
                  <w:vAlign w:val="center"/>
                </w:tcPr>
                <w:p w14:paraId="54037438">
                  <w:pPr>
                    <w:widowControl/>
                    <w:adjustRightInd w:val="0"/>
                    <w:snapToGrid w:val="0"/>
                    <w:spacing w:beforeLines="0" w:afterLines="0" w:line="240" w:lineRule="auto"/>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r w14:paraId="6165B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25" w:type="pct"/>
                  <w:noWrap w:val="0"/>
                  <w:vAlign w:val="center"/>
                </w:tcPr>
                <w:p w14:paraId="67D419D5">
                  <w:pPr>
                    <w:widowControl/>
                    <w:adjustRightInd w:val="0"/>
                    <w:snapToGrid w:val="0"/>
                    <w:spacing w:beforeLines="0" w:afterLines="0" w:line="240" w:lineRule="auto"/>
                    <w:jc w:val="center"/>
                    <w:rPr>
                      <w:rFonts w:hint="eastAsia" w:ascii="Times New Roman" w:hAnsi="Times New Roman" w:cs="Times New Roman"/>
                      <w:color w:val="auto"/>
                      <w:kern w:val="0"/>
                      <w:sz w:val="18"/>
                      <w:szCs w:val="18"/>
                      <w:highlight w:val="none"/>
                    </w:rPr>
                  </w:pPr>
                  <w:r>
                    <w:rPr>
                      <w:rFonts w:hint="eastAsia" w:ascii="Times New Roman" w:hAnsi="Times New Roman" w:cs="Times New Roman"/>
                      <w:color w:val="auto"/>
                      <w:kern w:val="0"/>
                      <w:sz w:val="18"/>
                      <w:szCs w:val="18"/>
                      <w:highlight w:val="none"/>
                      <w:lang w:val="en-US" w:eastAsia="zh-CN"/>
                    </w:rPr>
                    <w:t>2</w:t>
                  </w:r>
                </w:p>
              </w:tc>
              <w:tc>
                <w:tcPr>
                  <w:tcW w:w="2696" w:type="pct"/>
                  <w:noWrap w:val="0"/>
                  <w:vAlign w:val="center"/>
                </w:tcPr>
                <w:p w14:paraId="1D836297">
                  <w:pPr>
                    <w:widowControl/>
                    <w:adjustRightInd w:val="0"/>
                    <w:snapToGrid w:val="0"/>
                    <w:spacing w:beforeLines="0" w:afterLines="0" w:line="240" w:lineRule="auto"/>
                    <w:ind w:firstLine="360" w:firstLineChars="20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加强部门协同，畅通信息共享，完善建设用地风险信息互通机制。从严管控农药、化工等行业的重度污染地块规划用途，确需开发利用的，鼓励用于拓展生态空间</w:t>
                  </w:r>
                </w:p>
              </w:tc>
              <w:tc>
                <w:tcPr>
                  <w:tcW w:w="1568" w:type="pct"/>
                  <w:noWrap w:val="0"/>
                  <w:vAlign w:val="center"/>
                </w:tcPr>
                <w:p w14:paraId="1F1703E3">
                  <w:pPr>
                    <w:widowControl/>
                    <w:adjustRightInd w:val="0"/>
                    <w:snapToGrid w:val="0"/>
                    <w:spacing w:beforeLines="0" w:afterLines="0" w:line="240" w:lineRule="auto"/>
                    <w:jc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项目</w:t>
                  </w:r>
                  <w:r>
                    <w:rPr>
                      <w:rFonts w:hint="default" w:ascii="Times New Roman" w:hAnsi="Times New Roman" w:eastAsia="宋体" w:cs="Times New Roman"/>
                      <w:color w:val="auto"/>
                      <w:kern w:val="0"/>
                      <w:sz w:val="18"/>
                      <w:szCs w:val="18"/>
                      <w:highlight w:val="none"/>
                      <w:lang w:val="en-US" w:eastAsia="zh-CN"/>
                    </w:rPr>
                    <w:t>新增占地为工业用地</w:t>
                  </w:r>
                </w:p>
              </w:tc>
              <w:tc>
                <w:tcPr>
                  <w:tcW w:w="409" w:type="pct"/>
                  <w:noWrap w:val="0"/>
                  <w:vAlign w:val="center"/>
                </w:tcPr>
                <w:p w14:paraId="39958A13">
                  <w:pPr>
                    <w:widowControl/>
                    <w:adjustRightInd w:val="0"/>
                    <w:snapToGrid w:val="0"/>
                    <w:spacing w:beforeLines="0" w:afterLines="0" w:line="240" w:lineRule="auto"/>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符合</w:t>
                  </w:r>
                </w:p>
              </w:tc>
            </w:tr>
          </w:tbl>
          <w:p w14:paraId="2863FA05">
            <w:pPr>
              <w:pStyle w:val="381"/>
              <w:ind w:firstLine="420"/>
              <w:rPr>
                <w:color w:val="auto"/>
                <w:sz w:val="21"/>
                <w:highlight w:val="yellow"/>
              </w:rPr>
            </w:pPr>
            <w:r>
              <w:rPr>
                <w:color w:val="auto"/>
                <w:sz w:val="21"/>
                <w:szCs w:val="18"/>
                <w:highlight w:val="none"/>
                <w:lang w:val="en-US"/>
              </w:rPr>
              <w:t>综上分析，项目符合</w:t>
            </w:r>
            <w:r>
              <w:rPr>
                <w:rFonts w:hint="eastAsia"/>
                <w:color w:val="auto"/>
                <w:sz w:val="21"/>
                <w:szCs w:val="18"/>
                <w:highlight w:val="none"/>
                <w:lang w:val="en-US"/>
              </w:rPr>
              <w:t>《关于印发山东省深入打好蓝天保卫战行动计划（2021-2025年）、山东省深入打好碧水保卫战行动计划（2021-2025年）、山东省深入打好净土保卫战行动计划（2021-2025年）的通知》（鲁环委办[2021]30号）</w:t>
            </w:r>
            <w:r>
              <w:rPr>
                <w:color w:val="auto"/>
                <w:sz w:val="21"/>
                <w:highlight w:val="none"/>
              </w:rPr>
              <w:t>中相关要求。</w:t>
            </w:r>
          </w:p>
          <w:p w14:paraId="0BF8B99D">
            <w:pPr>
              <w:pStyle w:val="381"/>
              <w:ind w:firstLine="420"/>
              <w:rPr>
                <w:rFonts w:hint="default" w:ascii="Times New Roman" w:hAnsi="Times New Roman" w:cs="Times New Roman"/>
                <w:color w:val="auto"/>
                <w:sz w:val="21"/>
              </w:rPr>
            </w:pPr>
          </w:p>
          <w:p w14:paraId="4C2989F9">
            <w:pPr>
              <w:pStyle w:val="381"/>
              <w:ind w:firstLine="420"/>
              <w:rPr>
                <w:rFonts w:hint="default" w:ascii="Times New Roman" w:hAnsi="Times New Roman" w:cs="Times New Roman"/>
                <w:color w:val="FF0000"/>
                <w:sz w:val="21"/>
              </w:rPr>
            </w:pPr>
          </w:p>
          <w:p w14:paraId="63C5A1B5">
            <w:pPr>
              <w:pStyle w:val="381"/>
              <w:ind w:firstLine="420"/>
              <w:rPr>
                <w:rFonts w:hint="default" w:ascii="Times New Roman" w:hAnsi="Times New Roman" w:cs="Times New Roman"/>
                <w:color w:val="FF0000"/>
                <w:sz w:val="21"/>
              </w:rPr>
            </w:pPr>
          </w:p>
          <w:p w14:paraId="7FE3A1C0">
            <w:pPr>
              <w:pStyle w:val="381"/>
              <w:ind w:firstLine="420"/>
              <w:rPr>
                <w:rFonts w:hint="eastAsia" w:cs="Times New Roman"/>
                <w:color w:val="FF0000"/>
                <w:sz w:val="21"/>
                <w:lang w:eastAsia="zh-CN"/>
              </w:rPr>
            </w:pPr>
          </w:p>
          <w:p w14:paraId="68463458">
            <w:pPr>
              <w:pStyle w:val="381"/>
              <w:ind w:firstLine="420"/>
              <w:rPr>
                <w:rFonts w:hint="eastAsia" w:cs="Times New Roman"/>
                <w:color w:val="FF0000"/>
                <w:sz w:val="21"/>
                <w:lang w:eastAsia="zh-CN"/>
              </w:rPr>
            </w:pPr>
          </w:p>
          <w:p w14:paraId="62D37C6C">
            <w:pPr>
              <w:pStyle w:val="381"/>
              <w:ind w:firstLine="420"/>
              <w:rPr>
                <w:rFonts w:hint="eastAsia" w:cs="Times New Roman"/>
                <w:color w:val="FF0000"/>
                <w:sz w:val="21"/>
                <w:lang w:eastAsia="zh-CN"/>
              </w:rPr>
            </w:pPr>
          </w:p>
          <w:p w14:paraId="640D5E5A">
            <w:pPr>
              <w:pStyle w:val="381"/>
              <w:ind w:firstLine="420"/>
              <w:rPr>
                <w:rFonts w:hint="eastAsia" w:ascii="Times New Roman" w:hAnsi="Times New Roman" w:eastAsia="宋体" w:cs="Times New Roman"/>
                <w:color w:val="FF0000"/>
                <w:sz w:val="21"/>
                <w:lang w:eastAsia="zh-CN"/>
              </w:rPr>
            </w:pPr>
          </w:p>
          <w:p w14:paraId="23C277CF">
            <w:pPr>
              <w:rPr>
                <w:rFonts w:hint="eastAsia" w:cs="Times New Roman"/>
                <w:color w:val="FF0000"/>
                <w:lang w:eastAsia="zh-CN"/>
              </w:rPr>
            </w:pPr>
          </w:p>
          <w:p w14:paraId="033D676D">
            <w:pPr>
              <w:rPr>
                <w:rFonts w:hint="eastAsia" w:cs="Times New Roman"/>
                <w:color w:val="FF0000"/>
                <w:lang w:eastAsia="zh-CN"/>
              </w:rPr>
            </w:pPr>
          </w:p>
          <w:p w14:paraId="19F550AA">
            <w:pPr>
              <w:rPr>
                <w:rFonts w:hint="eastAsia" w:cs="Times New Roman"/>
                <w:color w:val="FF0000"/>
                <w:lang w:eastAsia="zh-CN"/>
              </w:rPr>
            </w:pPr>
          </w:p>
          <w:p w14:paraId="496205FA">
            <w:pPr>
              <w:rPr>
                <w:rFonts w:hint="eastAsia" w:cs="Times New Roman"/>
                <w:color w:val="FF0000"/>
                <w:lang w:eastAsia="zh-CN"/>
              </w:rPr>
            </w:pPr>
          </w:p>
          <w:p w14:paraId="25B483FF">
            <w:pPr>
              <w:rPr>
                <w:rFonts w:hint="eastAsia" w:cs="Times New Roman"/>
                <w:color w:val="FF0000"/>
                <w:lang w:eastAsia="zh-CN"/>
              </w:rPr>
            </w:pPr>
          </w:p>
          <w:p w14:paraId="5F83873D">
            <w:pPr>
              <w:rPr>
                <w:rFonts w:hint="eastAsia" w:cs="Times New Roman"/>
                <w:color w:val="FF0000"/>
                <w:lang w:eastAsia="zh-CN"/>
              </w:rPr>
            </w:pPr>
          </w:p>
          <w:p w14:paraId="73DCB14D">
            <w:pPr>
              <w:rPr>
                <w:rFonts w:hint="eastAsia" w:cs="Times New Roman"/>
                <w:color w:val="FF0000"/>
                <w:lang w:eastAsia="zh-CN"/>
              </w:rPr>
            </w:pPr>
          </w:p>
          <w:p w14:paraId="7E38CF94">
            <w:pPr>
              <w:rPr>
                <w:rFonts w:hint="eastAsia" w:cs="Times New Roman"/>
                <w:color w:val="FF0000"/>
                <w:lang w:eastAsia="zh-CN"/>
              </w:rPr>
            </w:pPr>
          </w:p>
          <w:p w14:paraId="149BF589">
            <w:pPr>
              <w:rPr>
                <w:rFonts w:hint="eastAsia" w:cs="Times New Roman"/>
                <w:color w:val="FF0000"/>
                <w:lang w:eastAsia="zh-CN"/>
              </w:rPr>
            </w:pPr>
          </w:p>
          <w:p w14:paraId="072EC306">
            <w:pPr>
              <w:rPr>
                <w:rFonts w:hint="eastAsia" w:cs="Times New Roman"/>
                <w:color w:val="FF0000"/>
                <w:lang w:eastAsia="zh-CN"/>
              </w:rPr>
            </w:pPr>
          </w:p>
          <w:p w14:paraId="36C4429B">
            <w:pPr>
              <w:rPr>
                <w:rFonts w:hint="eastAsia" w:cs="Times New Roman"/>
                <w:color w:val="FF0000"/>
                <w:lang w:eastAsia="zh-CN"/>
              </w:rPr>
            </w:pPr>
          </w:p>
          <w:p w14:paraId="24624A3C">
            <w:pPr>
              <w:rPr>
                <w:rFonts w:hint="eastAsia" w:cs="Times New Roman"/>
                <w:color w:val="FF0000"/>
                <w:lang w:eastAsia="zh-CN"/>
              </w:rPr>
            </w:pPr>
          </w:p>
          <w:p w14:paraId="78AA7468">
            <w:pPr>
              <w:rPr>
                <w:rFonts w:hint="eastAsia" w:cs="Times New Roman"/>
                <w:color w:val="FF0000"/>
                <w:lang w:eastAsia="zh-CN"/>
              </w:rPr>
            </w:pPr>
          </w:p>
          <w:p w14:paraId="21311FE6">
            <w:pPr>
              <w:rPr>
                <w:rFonts w:hint="eastAsia" w:cs="Times New Roman"/>
                <w:color w:val="FF0000"/>
                <w:lang w:eastAsia="zh-CN"/>
              </w:rPr>
            </w:pPr>
          </w:p>
          <w:p w14:paraId="41D993C2">
            <w:pPr>
              <w:rPr>
                <w:rFonts w:hint="eastAsia" w:cs="Times New Roman"/>
                <w:color w:val="FF0000"/>
                <w:lang w:eastAsia="zh-CN"/>
              </w:rPr>
            </w:pPr>
          </w:p>
          <w:p w14:paraId="1D88BB4B">
            <w:pPr>
              <w:rPr>
                <w:rFonts w:hint="eastAsia" w:cs="Times New Roman"/>
                <w:color w:val="FF0000"/>
                <w:lang w:eastAsia="zh-CN"/>
              </w:rPr>
            </w:pPr>
          </w:p>
          <w:p w14:paraId="0E486573">
            <w:pPr>
              <w:rPr>
                <w:rFonts w:hint="eastAsia" w:cs="Times New Roman"/>
                <w:color w:val="FF0000"/>
                <w:lang w:eastAsia="zh-CN"/>
              </w:rPr>
            </w:pPr>
          </w:p>
          <w:p w14:paraId="006AC687">
            <w:pPr>
              <w:rPr>
                <w:rFonts w:hint="eastAsia" w:ascii="Times New Roman" w:hAnsi="Times New Roman" w:eastAsia="宋体" w:cs="Times New Roman"/>
                <w:color w:val="FF0000"/>
                <w:lang w:eastAsia="zh-CN"/>
              </w:rPr>
            </w:pPr>
          </w:p>
        </w:tc>
      </w:tr>
    </w:tbl>
    <w:p w14:paraId="0F29A344">
      <w:pPr>
        <w:spacing w:line="420" w:lineRule="exact"/>
        <w:outlineLvl w:val="0"/>
        <w:rPr>
          <w:rFonts w:hint="default" w:ascii="Times New Roman" w:hAnsi="Times New Roman" w:eastAsia="黑体" w:cs="Times New Roman"/>
          <w:color w:val="FF0000"/>
          <w:sz w:val="30"/>
        </w:rPr>
        <w:sectPr>
          <w:footerReference r:id="rId4" w:type="default"/>
          <w:headerReference r:id="rId3" w:type="even"/>
          <w:footerReference r:id="rId5" w:type="even"/>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05E9AE69">
      <w:pPr>
        <w:pStyle w:val="75"/>
        <w:spacing w:line="420" w:lineRule="exact"/>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二、建设项目工程分析</w:t>
      </w:r>
    </w:p>
    <w:tbl>
      <w:tblPr>
        <w:tblStyle w:val="8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634"/>
      </w:tblGrid>
      <w:tr w14:paraId="7EF977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835" w:hRule="atLeast"/>
          <w:jc w:val="center"/>
        </w:trPr>
        <w:tc>
          <w:tcPr>
            <w:tcW w:w="716" w:type="dxa"/>
            <w:vAlign w:val="center"/>
          </w:tcPr>
          <w:p w14:paraId="19020675">
            <w:pPr>
              <w:pStyle w:val="75"/>
              <w:adjustRightInd w:val="0"/>
              <w:snapToGrid w:val="0"/>
              <w:spacing w:before="0" w:beforeAutospacing="0" w:after="0" w:afterAutospacing="0" w:line="420" w:lineRule="exact"/>
              <w:jc w:val="center"/>
              <w:rPr>
                <w:rFonts w:hint="default" w:ascii="Times New Roman" w:hAnsi="Times New Roman" w:cs="Times New Roman"/>
                <w:color w:val="FF0000"/>
                <w:sz w:val="21"/>
                <w:szCs w:val="21"/>
              </w:rPr>
            </w:pPr>
            <w:r>
              <w:rPr>
                <w:rFonts w:hint="default" w:ascii="Times New Roman" w:hAnsi="Times New Roman" w:cs="Times New Roman"/>
                <w:color w:val="auto"/>
                <w:sz w:val="21"/>
                <w:szCs w:val="21"/>
              </w:rPr>
              <w:t>建设内容</w:t>
            </w:r>
          </w:p>
        </w:tc>
        <w:tc>
          <w:tcPr>
            <w:tcW w:w="8426" w:type="dxa"/>
          </w:tcPr>
          <w:p w14:paraId="79567D11">
            <w:pPr>
              <w:keepNext w:val="0"/>
              <w:keepLines w:val="0"/>
              <w:pageBreakBefore w:val="0"/>
              <w:widowControl w:val="0"/>
              <w:numPr>
                <w:ilvl w:val="0"/>
                <w:numId w:val="17"/>
              </w:numPr>
              <w:kinsoku/>
              <w:wordWrap/>
              <w:overflowPunct/>
              <w:topLinePunct w:val="0"/>
              <w:autoSpaceDE/>
              <w:autoSpaceDN/>
              <w:bidi w:val="0"/>
              <w:adjustRightInd w:val="0"/>
              <w:snapToGrid w:val="0"/>
              <w:spacing w:line="360" w:lineRule="auto"/>
              <w:ind w:left="0"/>
              <w:textAlignment w:val="auto"/>
              <w:rPr>
                <w:rFonts w:hint="default" w:ascii="Times New Roman" w:hAnsi="Times New Roman" w:cs="Times New Roman"/>
                <w:color w:val="auto"/>
                <w:highlight w:val="none"/>
              </w:rPr>
            </w:pPr>
            <w:r>
              <w:rPr>
                <w:rFonts w:hint="eastAsia" w:cs="Times New Roman"/>
                <w:color w:val="FF0000"/>
                <w:lang w:val="en-US" w:eastAsia="zh-CN"/>
              </w:rPr>
              <w:t xml:space="preserve">    </w:t>
            </w:r>
            <w:r>
              <w:rPr>
                <w:rFonts w:hint="eastAsia" w:cs="Times New Roman"/>
                <w:color w:val="auto"/>
                <w:highlight w:val="none"/>
                <w:lang w:val="en-US" w:eastAsia="zh-CN"/>
              </w:rPr>
              <w:t xml:space="preserve">    1、</w:t>
            </w:r>
            <w:r>
              <w:rPr>
                <w:rFonts w:hint="default" w:ascii="Times New Roman" w:hAnsi="Times New Roman" w:cs="Times New Roman"/>
                <w:color w:val="auto"/>
                <w:highlight w:val="none"/>
              </w:rPr>
              <w:t>项目由来</w:t>
            </w:r>
          </w:p>
          <w:p w14:paraId="0A635C7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420" w:firstLineChars="200"/>
              <w:textAlignment w:val="auto"/>
              <w:rPr>
                <w:rFonts w:hint="default" w:ascii="Times New Roman" w:hAnsi="Times New Roman" w:cs="Times New Roman"/>
                <w:color w:val="auto"/>
                <w:highlight w:val="none"/>
                <w:lang w:val="zh-CN"/>
              </w:rPr>
            </w:pPr>
            <w:r>
              <w:rPr>
                <w:rFonts w:hint="eastAsia" w:cs="Times New Roman"/>
                <w:color w:val="auto"/>
                <w:highlight w:val="none"/>
                <w:lang w:val="zh-CN"/>
              </w:rPr>
              <w:t>爱浦润生态农业科技（山东）有限公司</w:t>
            </w:r>
            <w:r>
              <w:rPr>
                <w:rFonts w:hint="eastAsia" w:cs="Times New Roman"/>
                <w:color w:val="auto"/>
                <w:highlight w:val="none"/>
                <w:lang w:val="en-US" w:eastAsia="zh-CN"/>
              </w:rPr>
              <w:t>成立于2023年7月5日，法人吕永凯，</w:t>
            </w:r>
            <w:r>
              <w:rPr>
                <w:rFonts w:hint="default" w:ascii="Times New Roman" w:hAnsi="Times New Roman" w:cs="Times New Roman"/>
                <w:color w:val="auto"/>
                <w:highlight w:val="none"/>
                <w:lang w:val="zh-CN"/>
              </w:rPr>
              <w:t>位于</w:t>
            </w:r>
            <w:r>
              <w:rPr>
                <w:rFonts w:hint="eastAsia" w:cs="Times New Roman"/>
                <w:color w:val="auto"/>
                <w:highlight w:val="none"/>
                <w:lang w:val="zh-CN"/>
              </w:rPr>
              <w:t>山东省淄博市淄川区双杨镇赵瓦村102省道与张博路交叉口东北200米</w:t>
            </w:r>
            <w:r>
              <w:rPr>
                <w:rFonts w:hint="default" w:ascii="Times New Roman" w:hAnsi="Times New Roman" w:cs="Times New Roman"/>
                <w:color w:val="auto"/>
                <w:highlight w:val="none"/>
                <w:lang w:val="zh-CN"/>
              </w:rPr>
              <w:t>，</w:t>
            </w:r>
            <w:r>
              <w:rPr>
                <w:rFonts w:hint="eastAsia" w:cs="Times New Roman"/>
                <w:color w:val="auto"/>
                <w:highlight w:val="none"/>
                <w:lang w:val="en-US" w:eastAsia="zh-CN"/>
              </w:rPr>
              <w:t>经营范围包括一般项目：生物有机肥料研发；化肥销售；肥料销售；技术服务、技术开发、技术咨询、技术交流、技术转让、技术推广；货物进出口；技术进出口。许可项目：肥料生产。</w:t>
            </w:r>
          </w:p>
          <w:p w14:paraId="3017A36D">
            <w:pPr>
              <w:adjustRightInd w:val="0"/>
              <w:snapToGrid w:val="0"/>
              <w:spacing w:line="360" w:lineRule="auto"/>
              <w:ind w:firstLine="420" w:firstLineChars="200"/>
              <w:rPr>
                <w:rFonts w:hint="default" w:ascii="Times New Roman" w:hAnsi="Times New Roman" w:cs="Times New Roman"/>
                <w:color w:val="auto"/>
                <w:kern w:val="0"/>
                <w:highlight w:val="none"/>
                <w:lang w:val="de-DE"/>
              </w:rPr>
            </w:pPr>
            <w:r>
              <w:rPr>
                <w:rFonts w:hint="default" w:ascii="Times New Roman" w:hAnsi="Times New Roman" w:cs="Times New Roman"/>
                <w:color w:val="auto"/>
                <w:highlight w:val="none"/>
              </w:rPr>
              <w:t>为满足市场需求，</w:t>
            </w:r>
            <w:r>
              <w:rPr>
                <w:rFonts w:hint="eastAsia" w:ascii="Times New Roman" w:hAnsi="Times New Roman" w:cs="Times New Roman"/>
                <w:color w:val="auto"/>
                <w:highlight w:val="none"/>
                <w:lang w:eastAsia="zh-CN"/>
              </w:rPr>
              <w:t>爱浦润生态农业科技（山东）有限公司</w:t>
            </w:r>
            <w:r>
              <w:rPr>
                <w:rFonts w:hint="default" w:ascii="Times New Roman" w:hAnsi="Times New Roman" w:cs="Times New Roman"/>
                <w:color w:val="auto"/>
                <w:highlight w:val="none"/>
              </w:rPr>
              <w:t>拟投资</w:t>
            </w:r>
            <w:r>
              <w:rPr>
                <w:rFonts w:hint="eastAsia" w:ascii="Times New Roman" w:hAnsi="Times New Roman" w:cs="Times New Roman"/>
                <w:color w:val="auto"/>
                <w:highlight w:val="none"/>
                <w:lang w:val="en-US" w:eastAsia="zh-CN"/>
              </w:rPr>
              <w:t>25</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00万元在</w:t>
            </w:r>
            <w:r>
              <w:rPr>
                <w:rFonts w:hint="default" w:ascii="Times New Roman" w:hAnsi="Times New Roman" w:cs="Times New Roman"/>
                <w:color w:val="auto"/>
                <w:highlight w:val="none"/>
                <w:lang w:eastAsia="zh-CN"/>
              </w:rPr>
              <w:t>山东省淄博市</w:t>
            </w:r>
            <w:r>
              <w:rPr>
                <w:rFonts w:hint="eastAsia" w:cs="Times New Roman"/>
                <w:color w:val="auto"/>
                <w:highlight w:val="none"/>
                <w:lang w:val="zh-CN"/>
              </w:rPr>
              <w:t>淄川区双杨镇赵瓦村102省道与张博路交叉口东北200米</w:t>
            </w:r>
            <w:r>
              <w:rPr>
                <w:rFonts w:hint="default" w:ascii="Times New Roman" w:hAnsi="Times New Roman" w:cs="Times New Roman"/>
                <w:color w:val="auto"/>
                <w:highlight w:val="none"/>
              </w:rPr>
              <w:t>建设“</w:t>
            </w:r>
            <w:r>
              <w:rPr>
                <w:rFonts w:hint="eastAsia" w:cs="Times New Roman"/>
                <w:color w:val="auto"/>
                <w:highlight w:val="none"/>
                <w:lang w:eastAsia="zh-CN"/>
              </w:rPr>
              <w:t>年产60万吨复混肥料项目</w:t>
            </w:r>
            <w:r>
              <w:rPr>
                <w:rFonts w:hint="default" w:ascii="Times New Roman" w:hAnsi="Times New Roman" w:cs="Times New Roman"/>
                <w:color w:val="auto"/>
                <w:highlight w:val="none"/>
              </w:rPr>
              <w:t>”，</w:t>
            </w:r>
            <w:r>
              <w:rPr>
                <w:rFonts w:hint="eastAsia" w:cs="Times New Roman"/>
                <w:color w:val="auto"/>
                <w:highlight w:val="none"/>
                <w:lang w:val="en-US" w:eastAsia="zh-CN"/>
              </w:rPr>
              <w:t>该项目分2期建设，总</w:t>
            </w:r>
            <w:r>
              <w:rPr>
                <w:rFonts w:hint="default" w:ascii="Times New Roman" w:hAnsi="Times New Roman" w:cs="Times New Roman"/>
                <w:color w:val="auto"/>
                <w:highlight w:val="none"/>
                <w:lang w:val="en-US" w:eastAsia="zh-CN"/>
              </w:rPr>
              <w:t>占地</w:t>
            </w:r>
            <w:r>
              <w:rPr>
                <w:rFonts w:hint="eastAsia" w:cs="Times New Roman"/>
                <w:color w:val="auto"/>
                <w:highlight w:val="none"/>
                <w:lang w:val="en-US" w:eastAsia="zh-CN"/>
              </w:rPr>
              <w:t>面积34632</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一期预计年产3</w:t>
            </w:r>
            <w:r>
              <w:rPr>
                <w:rFonts w:hint="eastAsia" w:cs="Times New Roman"/>
                <w:color w:val="auto"/>
                <w:highlight w:val="none"/>
                <w:lang w:eastAsia="zh-CN"/>
              </w:rPr>
              <w:t>0万吨复混肥料，</w:t>
            </w:r>
            <w:r>
              <w:rPr>
                <w:rFonts w:hint="eastAsia" w:cs="Times New Roman"/>
                <w:color w:val="auto"/>
                <w:highlight w:val="none"/>
                <w:lang w:val="en-US" w:eastAsia="zh-CN"/>
              </w:rPr>
              <w:t>二期预计年产3</w:t>
            </w:r>
            <w:r>
              <w:rPr>
                <w:rFonts w:hint="eastAsia" w:cs="Times New Roman"/>
                <w:color w:val="auto"/>
                <w:highlight w:val="none"/>
                <w:lang w:eastAsia="zh-CN"/>
              </w:rPr>
              <w:t>0万吨复混肥料，</w:t>
            </w:r>
            <w:r>
              <w:rPr>
                <w:rFonts w:hint="eastAsia"/>
              </w:rPr>
              <w:t>由于</w:t>
            </w:r>
            <w:r>
              <w:t>二期</w:t>
            </w:r>
            <w:r>
              <w:rPr>
                <w:rFonts w:hint="eastAsia"/>
              </w:rPr>
              <w:t>项目生产设备及辅助设备尚未进行设计，因此，本次环评主要对一期项目进行环境影响分析。一期项目</w:t>
            </w:r>
            <w:r>
              <w:rPr>
                <w:rFonts w:hint="default" w:ascii="Times New Roman" w:hAnsi="Times New Roman" w:cs="Times New Roman"/>
                <w:color w:val="auto"/>
                <w:highlight w:val="none"/>
                <w:lang w:val="en-US" w:eastAsia="zh-CN"/>
              </w:rPr>
              <w:t>以</w:t>
            </w:r>
            <w:r>
              <w:rPr>
                <w:rFonts w:hint="eastAsia" w:ascii="Times New Roman" w:hAnsi="Times New Roman" w:cs="Times New Roman"/>
                <w:color w:val="auto"/>
                <w:highlight w:val="none"/>
                <w:lang w:val="en-US" w:eastAsia="zh-CN"/>
              </w:rPr>
              <w:t>硫酸铵、</w:t>
            </w:r>
            <w:r>
              <w:rPr>
                <w:rFonts w:hint="eastAsia" w:cs="Times New Roman"/>
                <w:color w:val="auto"/>
                <w:highlight w:val="none"/>
                <w:lang w:val="en-US" w:eastAsia="zh-CN"/>
              </w:rPr>
              <w:t>尿素</w:t>
            </w:r>
            <w:r>
              <w:rPr>
                <w:rFonts w:hint="eastAsia" w:ascii="Times New Roman" w:hAnsi="Times New Roman" w:cs="Times New Roman"/>
                <w:color w:val="auto"/>
                <w:highlight w:val="none"/>
                <w:lang w:val="en-US" w:eastAsia="zh-CN"/>
              </w:rPr>
              <w:t>、硫酸钾、氯化钾、磷酸二铵、磷酸一铵、硫酸镁、硫酸锌等</w:t>
            </w:r>
            <w:r>
              <w:rPr>
                <w:rFonts w:hint="default" w:ascii="Times New Roman" w:hAnsi="Times New Roman" w:cs="Times New Roman"/>
                <w:color w:val="auto"/>
                <w:highlight w:val="none"/>
                <w:lang w:val="en-US" w:eastAsia="zh-CN"/>
              </w:rPr>
              <w:t>为原料，购置</w:t>
            </w:r>
            <w:r>
              <w:rPr>
                <w:rFonts w:hint="eastAsia" w:ascii="Times New Roman" w:hAnsi="Times New Roman" w:cs="Times New Roman"/>
                <w:color w:val="auto"/>
                <w:highlight w:val="none"/>
                <w:lang w:val="en-US" w:eastAsia="zh-CN"/>
              </w:rPr>
              <w:t>破碎机、混合机、造粒机、天然气燃烧器、烘干机</w:t>
            </w:r>
            <w:r>
              <w:rPr>
                <w:rFonts w:hint="default" w:ascii="Times New Roman" w:hAnsi="Times New Roman" w:cs="Times New Roman"/>
                <w:color w:val="auto"/>
                <w:highlight w:val="none"/>
                <w:lang w:val="en-US" w:eastAsia="zh-CN"/>
              </w:rPr>
              <w:t>等设备，经</w:t>
            </w:r>
            <w:r>
              <w:rPr>
                <w:rFonts w:hint="eastAsia" w:ascii="Times New Roman" w:hAnsi="Times New Roman" w:cs="Times New Roman"/>
                <w:color w:val="auto"/>
                <w:highlight w:val="none"/>
                <w:lang w:val="en-US" w:eastAsia="zh-CN"/>
              </w:rPr>
              <w:t>投料、搅拌、造粒、筛分、烘干、冷却、包装</w:t>
            </w:r>
            <w:r>
              <w:rPr>
                <w:rFonts w:hint="default" w:ascii="Times New Roman" w:hAnsi="Times New Roman" w:cs="Times New Roman"/>
                <w:color w:val="auto"/>
                <w:highlight w:val="none"/>
                <w:lang w:val="en-US" w:eastAsia="zh-CN"/>
              </w:rPr>
              <w:t>等工序得到所需规格的</w:t>
            </w:r>
            <w:r>
              <w:rPr>
                <w:rFonts w:hint="eastAsia" w:ascii="Times New Roman" w:hAnsi="Times New Roman" w:cs="Times New Roman"/>
                <w:color w:val="auto"/>
                <w:highlight w:val="none"/>
                <w:lang w:val="en-US" w:eastAsia="zh-CN"/>
              </w:rPr>
              <w:t>复合肥</w:t>
            </w:r>
            <w:r>
              <w:rPr>
                <w:rFonts w:hint="default" w:ascii="Times New Roman" w:hAnsi="Times New Roman" w:cs="Times New Roman"/>
                <w:color w:val="auto"/>
                <w:highlight w:val="none"/>
                <w:lang w:val="en-US" w:eastAsia="zh-CN"/>
              </w:rPr>
              <w:t>产品。</w:t>
            </w:r>
            <w:r>
              <w:rPr>
                <w:rFonts w:hint="eastAsia"/>
              </w:rPr>
              <w:t>一期项目</w:t>
            </w:r>
            <w:r>
              <w:rPr>
                <w:rFonts w:hint="default" w:ascii="Times New Roman" w:hAnsi="Times New Roman" w:eastAsia="宋体" w:cs="Times New Roman"/>
                <w:color w:val="auto"/>
                <w:highlight w:val="none"/>
                <w:lang w:eastAsia="zh-CN"/>
              </w:rPr>
              <w:t>建成后可年产</w:t>
            </w:r>
            <w:r>
              <w:rPr>
                <w:rFonts w:hint="eastAsia" w:cs="Times New Roman"/>
                <w:color w:val="auto"/>
                <w:highlight w:val="none"/>
                <w:lang w:val="en-US" w:eastAsia="zh-CN"/>
              </w:rPr>
              <w:t>3</w:t>
            </w:r>
            <w:r>
              <w:rPr>
                <w:rFonts w:hint="default" w:ascii="Times New Roman" w:hAnsi="Times New Roman" w:eastAsia="宋体" w:cs="Times New Roman"/>
                <w:color w:val="auto"/>
                <w:highlight w:val="none"/>
                <w:lang w:eastAsia="zh-CN"/>
              </w:rPr>
              <w:t>0万吨复混肥料</w:t>
            </w:r>
            <w:r>
              <w:rPr>
                <w:rFonts w:hint="default" w:ascii="Times New Roman" w:hAnsi="Times New Roman" w:cs="Times New Roman"/>
                <w:color w:val="auto"/>
                <w:highlight w:val="none"/>
              </w:rPr>
              <w:t>。产品按照就近原则供应市场，市场前景广阔，该项目提供一定的劳动就业岗位，促进地方经济发展，具有良好的经济效益和社会效益。</w:t>
            </w:r>
            <w:r>
              <w:rPr>
                <w:rFonts w:hint="eastAsia" w:cs="Times New Roman"/>
                <w:color w:val="auto"/>
                <w:kern w:val="0"/>
                <w:highlight w:val="none"/>
                <w:lang w:val="de-DE" w:eastAsia="zh-CN"/>
              </w:rPr>
              <w:t>一期项目</w:t>
            </w:r>
            <w:r>
              <w:rPr>
                <w:rFonts w:hint="default" w:ascii="Times New Roman" w:hAnsi="Times New Roman" w:cs="Times New Roman"/>
                <w:color w:val="auto"/>
                <w:kern w:val="0"/>
                <w:highlight w:val="none"/>
                <w:lang w:val="de-DE"/>
              </w:rPr>
              <w:t>已取得备案证明，项目代码：</w:t>
            </w:r>
            <w:r>
              <w:rPr>
                <w:rFonts w:hint="eastAsia" w:cs="Times New Roman"/>
                <w:color w:val="auto"/>
                <w:highlight w:val="none"/>
                <w:lang w:eastAsia="zh-CN"/>
              </w:rPr>
              <w:t>2308-370302-89-01-145088</w:t>
            </w:r>
            <w:r>
              <w:rPr>
                <w:rFonts w:hint="default" w:ascii="Times New Roman" w:hAnsi="Times New Roman" w:cs="Times New Roman"/>
                <w:color w:val="auto"/>
                <w:highlight w:val="none"/>
              </w:rPr>
              <w:t>。</w:t>
            </w:r>
          </w:p>
          <w:p w14:paraId="0B9E19B2">
            <w:pPr>
              <w:adjustRightInd w:val="0"/>
              <w:snapToGrid w:val="0"/>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kern w:val="0"/>
                <w:lang w:val="de-DE"/>
              </w:rPr>
              <w:t>2</w:t>
            </w:r>
            <w:r>
              <w:rPr>
                <w:rFonts w:hint="default" w:ascii="Times New Roman" w:hAnsi="Times New Roman" w:cs="Times New Roman"/>
                <w:color w:val="auto"/>
                <w:kern w:val="0"/>
              </w:rPr>
              <w:t>、建设内容：</w:t>
            </w:r>
            <w:r>
              <w:rPr>
                <w:rFonts w:hint="eastAsia" w:cs="Times New Roman"/>
                <w:color w:val="auto"/>
                <w:kern w:val="0"/>
                <w:lang w:val="en-US" w:eastAsia="zh-CN"/>
              </w:rPr>
              <w:t>一期</w:t>
            </w:r>
            <w:r>
              <w:rPr>
                <w:rFonts w:hint="default" w:ascii="Times New Roman" w:hAnsi="Times New Roman" w:cs="Times New Roman"/>
                <w:color w:val="auto"/>
                <w:highlight w:val="none"/>
              </w:rPr>
              <w:t>项目</w:t>
            </w:r>
            <w:r>
              <w:rPr>
                <w:rFonts w:hint="eastAsia" w:cs="Times New Roman"/>
                <w:color w:val="auto"/>
                <w:highlight w:val="none"/>
                <w:lang w:val="en-US" w:eastAsia="zh-CN"/>
              </w:rPr>
              <w:t>总</w:t>
            </w:r>
            <w:r>
              <w:rPr>
                <w:rFonts w:hint="default" w:ascii="Times New Roman" w:hAnsi="Times New Roman" w:cs="Times New Roman"/>
                <w:color w:val="auto"/>
                <w:highlight w:val="none"/>
                <w:lang w:val="en-US" w:eastAsia="zh-CN"/>
              </w:rPr>
              <w:t>占地面积</w:t>
            </w:r>
            <w:r>
              <w:rPr>
                <w:rFonts w:hint="eastAsia" w:cs="Times New Roman"/>
                <w:color w:val="auto"/>
                <w:highlight w:val="none"/>
                <w:lang w:val="en-US" w:eastAsia="zh-CN"/>
              </w:rPr>
              <w:t>34632</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rPr>
              <w:t>。</w:t>
            </w:r>
            <w:r>
              <w:rPr>
                <w:rFonts w:hint="default" w:ascii="Times New Roman" w:hAnsi="Times New Roman" w:cs="Times New Roman"/>
                <w:snapToGrid w:val="0"/>
                <w:color w:val="auto"/>
                <w:kern w:val="0"/>
                <w:highlight w:val="none"/>
              </w:rPr>
              <w:t>具</w:t>
            </w:r>
            <w:r>
              <w:rPr>
                <w:rFonts w:hint="default" w:ascii="Times New Roman" w:hAnsi="Times New Roman" w:cs="Times New Roman"/>
                <w:snapToGrid w:val="0"/>
                <w:color w:val="auto"/>
                <w:kern w:val="0"/>
              </w:rPr>
              <w:t>体内容见表2-</w:t>
            </w:r>
            <w:r>
              <w:rPr>
                <w:rFonts w:hint="eastAsia" w:cs="Times New Roman"/>
                <w:snapToGrid w:val="0"/>
                <w:color w:val="auto"/>
                <w:kern w:val="0"/>
                <w:lang w:val="en-US" w:eastAsia="zh-CN"/>
              </w:rPr>
              <w:t>1</w:t>
            </w:r>
            <w:r>
              <w:rPr>
                <w:rFonts w:hint="default" w:ascii="Times New Roman" w:hAnsi="Times New Roman" w:cs="Times New Roman"/>
                <w:snapToGrid w:val="0"/>
                <w:color w:val="auto"/>
                <w:kern w:val="0"/>
              </w:rPr>
              <w:t>。</w:t>
            </w:r>
          </w:p>
          <w:p w14:paraId="76EF9BB8">
            <w:pPr>
              <w:adjustRightInd w:val="0"/>
              <w:snapToGrid w:val="0"/>
              <w:spacing w:line="360" w:lineRule="auto"/>
              <w:jc w:val="center"/>
              <w:rPr>
                <w:rFonts w:hint="default" w:ascii="Times New Roman" w:hAnsi="Times New Roman" w:cs="Times New Roman"/>
                <w:b/>
                <w:color w:val="auto"/>
              </w:rPr>
            </w:pPr>
            <w:r>
              <w:rPr>
                <w:rFonts w:hint="default" w:ascii="Times New Roman" w:hAnsi="Times New Roman" w:cs="Times New Roman"/>
                <w:b/>
                <w:color w:val="auto"/>
              </w:rPr>
              <w:t>表2</w:t>
            </w:r>
            <w:r>
              <w:rPr>
                <w:rFonts w:hint="eastAsia" w:cs="Times New Roman"/>
                <w:b/>
                <w:color w:val="auto"/>
                <w:lang w:val="en-US" w:eastAsia="zh-CN"/>
              </w:rPr>
              <w:t>-1一期</w:t>
            </w:r>
            <w:r>
              <w:rPr>
                <w:rFonts w:hint="default" w:ascii="Times New Roman" w:hAnsi="Times New Roman" w:cs="Times New Roman"/>
                <w:b/>
                <w:color w:val="auto"/>
              </w:rPr>
              <w:t>项目主要工程内容</w:t>
            </w:r>
          </w:p>
          <w:tbl>
            <w:tblPr>
              <w:tblStyle w:val="81"/>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51" w:type="dxa"/>
                <w:bottom w:w="0" w:type="dxa"/>
                <w:right w:w="51" w:type="dxa"/>
              </w:tblCellMar>
            </w:tblPr>
            <w:tblGrid>
              <w:gridCol w:w="844"/>
              <w:gridCol w:w="1269"/>
              <w:gridCol w:w="4395"/>
              <w:gridCol w:w="1607"/>
            </w:tblGrid>
            <w:tr w14:paraId="43C2FD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844" w:type="dxa"/>
                  <w:tcBorders>
                    <w:top w:val="single" w:color="auto" w:sz="6" w:space="0"/>
                  </w:tcBorders>
                  <w:noWrap w:val="0"/>
                  <w:vAlign w:val="center"/>
                </w:tcPr>
                <w:p w14:paraId="7F30CB60">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b/>
                      <w:bCs/>
                      <w:color w:val="auto"/>
                      <w:sz w:val="18"/>
                      <w:szCs w:val="18"/>
                      <w:highlight w:val="none"/>
                    </w:rPr>
                  </w:pPr>
                  <w:bookmarkStart w:id="16" w:name="_Hlk9253216"/>
                  <w:r>
                    <w:rPr>
                      <w:rFonts w:hint="default" w:ascii="Times New Roman" w:hAnsi="Times New Roman" w:cs="Times New Roman"/>
                      <w:b/>
                      <w:bCs/>
                      <w:color w:val="auto"/>
                      <w:sz w:val="18"/>
                      <w:szCs w:val="18"/>
                      <w:highlight w:val="none"/>
                    </w:rPr>
                    <w:t>工程名称</w:t>
                  </w:r>
                </w:p>
              </w:tc>
              <w:tc>
                <w:tcPr>
                  <w:tcW w:w="1269" w:type="dxa"/>
                  <w:tcBorders>
                    <w:top w:val="single" w:color="auto" w:sz="6" w:space="0"/>
                  </w:tcBorders>
                  <w:noWrap w:val="0"/>
                  <w:vAlign w:val="center"/>
                </w:tcPr>
                <w:p w14:paraId="1018E80E">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工程内容</w:t>
                  </w:r>
                </w:p>
              </w:tc>
              <w:tc>
                <w:tcPr>
                  <w:tcW w:w="4395" w:type="dxa"/>
                  <w:tcBorders>
                    <w:top w:val="single" w:color="auto" w:sz="6" w:space="0"/>
                    <w:right w:val="single" w:color="auto" w:sz="4" w:space="0"/>
                  </w:tcBorders>
                  <w:noWrap w:val="0"/>
                  <w:vAlign w:val="center"/>
                </w:tcPr>
                <w:p w14:paraId="2949F987">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color w:val="auto"/>
                      <w:sz w:val="18"/>
                      <w:szCs w:val="18"/>
                      <w:highlight w:val="none"/>
                    </w:rPr>
                    <w:t>建设内容及规模</w:t>
                  </w:r>
                </w:p>
              </w:tc>
              <w:tc>
                <w:tcPr>
                  <w:tcW w:w="1607" w:type="dxa"/>
                  <w:tcBorders>
                    <w:top w:val="single" w:color="auto" w:sz="6" w:space="0"/>
                    <w:right w:val="single" w:color="auto" w:sz="4" w:space="0"/>
                  </w:tcBorders>
                  <w:noWrap w:val="0"/>
                  <w:vAlign w:val="center"/>
                </w:tcPr>
                <w:p w14:paraId="0B2C4038">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备注</w:t>
                  </w:r>
                </w:p>
              </w:tc>
            </w:tr>
            <w:bookmarkEnd w:id="16"/>
            <w:tr w14:paraId="6F4258A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745" w:hRule="atLeast"/>
                <w:jc w:val="center"/>
              </w:trPr>
              <w:tc>
                <w:tcPr>
                  <w:tcW w:w="844" w:type="dxa"/>
                  <w:vMerge w:val="restart"/>
                  <w:noWrap w:val="0"/>
                  <w:vAlign w:val="center"/>
                </w:tcPr>
                <w:p w14:paraId="5FF5B76C">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主体工程</w:t>
                  </w:r>
                </w:p>
              </w:tc>
              <w:tc>
                <w:tcPr>
                  <w:tcW w:w="1269" w:type="dxa"/>
                  <w:tcBorders>
                    <w:bottom w:val="single" w:color="auto" w:sz="4" w:space="0"/>
                  </w:tcBorders>
                  <w:noWrap w:val="0"/>
                  <w:vAlign w:val="center"/>
                </w:tcPr>
                <w:p w14:paraId="4A9CBB8A">
                  <w:pPr>
                    <w:pStyle w:val="43"/>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生产车间</w:t>
                  </w:r>
                </w:p>
              </w:tc>
              <w:tc>
                <w:tcPr>
                  <w:tcW w:w="4395" w:type="dxa"/>
                  <w:tcBorders>
                    <w:right w:val="single" w:color="auto" w:sz="4" w:space="0"/>
                  </w:tcBorders>
                  <w:noWrap w:val="0"/>
                  <w:vAlign w:val="center"/>
                </w:tcPr>
                <w:p w14:paraId="121A03FB">
                  <w:pPr>
                    <w:pStyle w:val="43"/>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1座</w:t>
                  </w:r>
                  <w:r>
                    <w:rPr>
                      <w:rFonts w:hint="eastAsia" w:ascii="Times New Roman" w:hAnsi="Times New Roman" w:cs="Times New Roman"/>
                      <w:color w:val="auto"/>
                      <w:sz w:val="18"/>
                      <w:szCs w:val="18"/>
                      <w:highlight w:val="none"/>
                      <w:lang w:val="en-US" w:eastAsia="zh-CN"/>
                    </w:rPr>
                    <w:t>，</w:t>
                  </w:r>
                  <w:r>
                    <w:rPr>
                      <w:rFonts w:hint="default" w:ascii="Times New Roman" w:hAnsi="Times New Roman" w:cs="Times New Roman"/>
                      <w:color w:val="auto"/>
                      <w:sz w:val="18"/>
                      <w:szCs w:val="18"/>
                      <w:highlight w:val="none"/>
                    </w:rPr>
                    <w:t>1F，建筑面积</w:t>
                  </w:r>
                  <w:r>
                    <w:rPr>
                      <w:rFonts w:hint="eastAsia" w:ascii="Times New Roman" w:hAnsi="Times New Roman" w:cs="Times New Roman"/>
                      <w:color w:val="auto"/>
                      <w:sz w:val="18"/>
                      <w:szCs w:val="18"/>
                      <w:highlight w:val="none"/>
                      <w:lang w:val="en-US" w:eastAsia="zh-CN"/>
                    </w:rPr>
                    <w:t>2390.16</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2</w:t>
                  </w:r>
                  <w:r>
                    <w:rPr>
                      <w:rFonts w:hint="default" w:ascii="Times New Roman" w:hAnsi="Times New Roman" w:cs="Times New Roman"/>
                      <w:color w:val="auto"/>
                      <w:sz w:val="18"/>
                      <w:szCs w:val="18"/>
                      <w:highlight w:val="none"/>
                    </w:rPr>
                    <w:t>，主要</w:t>
                  </w:r>
                  <w:r>
                    <w:rPr>
                      <w:rFonts w:hint="default" w:ascii="Times New Roman" w:hAnsi="Times New Roman" w:cs="Times New Roman"/>
                      <w:color w:val="auto"/>
                      <w:sz w:val="18"/>
                      <w:szCs w:val="18"/>
                      <w:highlight w:val="none"/>
                      <w:lang w:val="en-US" w:eastAsia="zh-CN"/>
                    </w:rPr>
                    <w:t>包括</w:t>
                  </w:r>
                  <w:r>
                    <w:rPr>
                      <w:rFonts w:hint="eastAsia" w:ascii="Times New Roman" w:hAnsi="Times New Roman" w:cs="Times New Roman"/>
                      <w:color w:val="auto"/>
                      <w:sz w:val="18"/>
                      <w:szCs w:val="18"/>
                      <w:highlight w:val="none"/>
                      <w:lang w:val="en-US" w:eastAsia="zh-CN"/>
                    </w:rPr>
                    <w:t>原料破碎、筛分，配料、混合、造粒、粗筛、整形、精筛、烘干、冷却、入仓、包膜、包装等工序</w:t>
                  </w:r>
                </w:p>
              </w:tc>
              <w:tc>
                <w:tcPr>
                  <w:tcW w:w="1607" w:type="dxa"/>
                  <w:tcBorders>
                    <w:bottom w:val="single" w:color="auto" w:sz="4" w:space="0"/>
                    <w:right w:val="single" w:color="auto" w:sz="4" w:space="0"/>
                  </w:tcBorders>
                  <w:noWrap w:val="0"/>
                  <w:vAlign w:val="center"/>
                </w:tcPr>
                <w:p w14:paraId="3C9ACCC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新建</w:t>
                  </w:r>
                </w:p>
              </w:tc>
            </w:tr>
            <w:tr w14:paraId="79D40F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90" w:hRule="atLeast"/>
                <w:jc w:val="center"/>
              </w:trPr>
              <w:tc>
                <w:tcPr>
                  <w:tcW w:w="844" w:type="dxa"/>
                  <w:vMerge w:val="restart"/>
                  <w:noWrap w:val="0"/>
                  <w:vAlign w:val="center"/>
                </w:tcPr>
                <w:p w14:paraId="5839AC9A">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储运工程</w:t>
                  </w:r>
                </w:p>
              </w:tc>
              <w:tc>
                <w:tcPr>
                  <w:tcW w:w="1269" w:type="dxa"/>
                  <w:tcBorders>
                    <w:bottom w:val="single" w:color="auto" w:sz="4" w:space="0"/>
                  </w:tcBorders>
                  <w:noWrap w:val="0"/>
                  <w:vAlign w:val="center"/>
                </w:tcPr>
                <w:p w14:paraId="44947EA7">
                  <w:pPr>
                    <w:pStyle w:val="43"/>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原料</w:t>
                  </w:r>
                  <w:r>
                    <w:rPr>
                      <w:rFonts w:hint="default" w:ascii="Times New Roman" w:hAnsi="Times New Roman" w:cs="Times New Roman"/>
                      <w:color w:val="auto"/>
                      <w:sz w:val="18"/>
                      <w:szCs w:val="18"/>
                      <w:highlight w:val="none"/>
                    </w:rPr>
                    <w:t>仓库</w:t>
                  </w:r>
                </w:p>
              </w:tc>
              <w:tc>
                <w:tcPr>
                  <w:tcW w:w="4395" w:type="dxa"/>
                  <w:tcBorders>
                    <w:bottom w:val="single" w:color="auto" w:sz="4" w:space="0"/>
                    <w:right w:val="single" w:color="auto" w:sz="4" w:space="0"/>
                  </w:tcBorders>
                  <w:noWrap w:val="0"/>
                  <w:vAlign w:val="center"/>
                </w:tcPr>
                <w:p w14:paraId="4503374A">
                  <w:pPr>
                    <w:pStyle w:val="43"/>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1座</w:t>
                  </w:r>
                  <w:r>
                    <w:rPr>
                      <w:rFonts w:hint="eastAsia" w:ascii="Times New Roman" w:hAnsi="Times New Roman" w:cs="Times New Roman"/>
                      <w:color w:val="auto"/>
                      <w:sz w:val="18"/>
                      <w:szCs w:val="18"/>
                      <w:highlight w:val="none"/>
                      <w:lang w:val="en-US" w:eastAsia="zh-CN"/>
                    </w:rPr>
                    <w:t>，</w:t>
                  </w:r>
                  <w:r>
                    <w:rPr>
                      <w:rFonts w:hint="default" w:ascii="Times New Roman" w:hAnsi="Times New Roman" w:cs="Times New Roman"/>
                      <w:color w:val="auto"/>
                      <w:sz w:val="18"/>
                      <w:szCs w:val="18"/>
                      <w:highlight w:val="none"/>
                    </w:rPr>
                    <w:t>1F，建筑面积</w:t>
                  </w:r>
                  <w:r>
                    <w:rPr>
                      <w:rFonts w:hint="default" w:ascii="Times New Roman" w:hAnsi="Times New Roman" w:cs="Times New Roman"/>
                      <w:color w:val="auto"/>
                      <w:sz w:val="18"/>
                      <w:szCs w:val="18"/>
                      <w:highlight w:val="none"/>
                      <w:lang w:val="en-US" w:eastAsia="zh-CN"/>
                    </w:rPr>
                    <w:t>为</w:t>
                  </w:r>
                  <w:r>
                    <w:rPr>
                      <w:rFonts w:hint="eastAsia" w:ascii="Times New Roman" w:hAnsi="Times New Roman" w:cs="Times New Roman"/>
                      <w:color w:val="auto"/>
                      <w:sz w:val="18"/>
                      <w:szCs w:val="18"/>
                      <w:highlight w:val="none"/>
                      <w:lang w:val="en-US" w:eastAsia="zh-CN"/>
                    </w:rPr>
                    <w:t>2390.16</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2</w:t>
                  </w:r>
                  <w:r>
                    <w:rPr>
                      <w:rFonts w:hint="default" w:ascii="Times New Roman" w:hAnsi="Times New Roman" w:cs="Times New Roman"/>
                      <w:color w:val="auto"/>
                      <w:sz w:val="18"/>
                      <w:szCs w:val="18"/>
                      <w:highlight w:val="none"/>
                    </w:rPr>
                    <w:t>，主要用于储存</w:t>
                  </w:r>
                  <w:r>
                    <w:rPr>
                      <w:rFonts w:hint="eastAsia" w:ascii="Times New Roman" w:hAnsi="Times New Roman" w:cs="Times New Roman"/>
                      <w:color w:val="auto"/>
                      <w:sz w:val="18"/>
                      <w:szCs w:val="18"/>
                      <w:highlight w:val="none"/>
                      <w:lang w:val="en-US" w:eastAsia="zh-CN"/>
                    </w:rPr>
                    <w:t>原材料</w:t>
                  </w:r>
                </w:p>
              </w:tc>
              <w:tc>
                <w:tcPr>
                  <w:tcW w:w="1607" w:type="dxa"/>
                  <w:tcBorders>
                    <w:bottom w:val="single" w:color="auto" w:sz="4" w:space="0"/>
                    <w:right w:val="single" w:color="auto" w:sz="4" w:space="0"/>
                  </w:tcBorders>
                  <w:noWrap w:val="0"/>
                  <w:vAlign w:val="center"/>
                </w:tcPr>
                <w:p w14:paraId="20DB8AE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none"/>
                      <w:lang w:val="en-US"/>
                    </w:rPr>
                  </w:pPr>
                  <w:r>
                    <w:rPr>
                      <w:rFonts w:hint="eastAsia" w:ascii="Times New Roman" w:hAnsi="Times New Roman" w:eastAsia="宋体" w:cs="Times New Roman"/>
                      <w:color w:val="auto"/>
                      <w:sz w:val="18"/>
                      <w:szCs w:val="18"/>
                      <w:highlight w:val="none"/>
                      <w:lang w:val="en-US" w:eastAsia="zh-CN"/>
                    </w:rPr>
                    <w:t>新建</w:t>
                  </w:r>
                </w:p>
              </w:tc>
            </w:tr>
            <w:tr w14:paraId="6295AB9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844" w:type="dxa"/>
                  <w:vMerge w:val="continue"/>
                  <w:noWrap w:val="0"/>
                  <w:vAlign w:val="center"/>
                </w:tcPr>
                <w:p w14:paraId="372BCB75">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color w:val="auto"/>
                      <w:sz w:val="18"/>
                      <w:szCs w:val="18"/>
                      <w:highlight w:val="none"/>
                    </w:rPr>
                  </w:pPr>
                </w:p>
              </w:tc>
              <w:tc>
                <w:tcPr>
                  <w:tcW w:w="1269" w:type="dxa"/>
                  <w:tcBorders>
                    <w:bottom w:val="single" w:color="auto" w:sz="4" w:space="0"/>
                  </w:tcBorders>
                  <w:noWrap w:val="0"/>
                  <w:vAlign w:val="center"/>
                </w:tcPr>
                <w:p w14:paraId="267654F0">
                  <w:pPr>
                    <w:pStyle w:val="43"/>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产品仓库</w:t>
                  </w:r>
                </w:p>
              </w:tc>
              <w:tc>
                <w:tcPr>
                  <w:tcW w:w="4395" w:type="dxa"/>
                  <w:tcBorders>
                    <w:bottom w:val="single" w:color="auto" w:sz="4" w:space="0"/>
                    <w:right w:val="single" w:color="auto" w:sz="4" w:space="0"/>
                  </w:tcBorders>
                  <w:noWrap w:val="0"/>
                  <w:vAlign w:val="center"/>
                </w:tcPr>
                <w:p w14:paraId="259CF75B">
                  <w:pPr>
                    <w:pStyle w:val="43"/>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lang w:val="en-US" w:eastAsia="zh-CN"/>
                    </w:rPr>
                    <w:t>座</w:t>
                  </w:r>
                  <w:r>
                    <w:rPr>
                      <w:rFonts w:hint="eastAsia" w:ascii="Times New Roman" w:hAnsi="Times New Roman" w:cs="Times New Roman"/>
                      <w:color w:val="auto"/>
                      <w:sz w:val="18"/>
                      <w:szCs w:val="18"/>
                      <w:highlight w:val="none"/>
                      <w:lang w:val="en-US" w:eastAsia="zh-CN"/>
                    </w:rPr>
                    <w:t>，</w:t>
                  </w:r>
                  <w:r>
                    <w:rPr>
                      <w:rFonts w:hint="default" w:ascii="Times New Roman" w:hAnsi="Times New Roman" w:cs="Times New Roman"/>
                      <w:color w:val="auto"/>
                      <w:sz w:val="18"/>
                      <w:szCs w:val="18"/>
                      <w:highlight w:val="none"/>
                    </w:rPr>
                    <w:t>1F，建筑面积</w:t>
                  </w:r>
                  <w:r>
                    <w:rPr>
                      <w:rFonts w:hint="eastAsia" w:ascii="Times New Roman" w:hAnsi="Times New Roman" w:cs="Times New Roman"/>
                      <w:color w:val="auto"/>
                      <w:sz w:val="18"/>
                      <w:szCs w:val="18"/>
                      <w:highlight w:val="none"/>
                      <w:lang w:val="en-US" w:eastAsia="zh-CN"/>
                    </w:rPr>
                    <w:t>分别</w:t>
                  </w:r>
                  <w:r>
                    <w:rPr>
                      <w:rFonts w:hint="default" w:ascii="Times New Roman" w:hAnsi="Times New Roman" w:cs="Times New Roman"/>
                      <w:color w:val="auto"/>
                      <w:sz w:val="18"/>
                      <w:szCs w:val="18"/>
                      <w:highlight w:val="none"/>
                      <w:lang w:val="en-US" w:eastAsia="zh-CN"/>
                    </w:rPr>
                    <w:t>为</w:t>
                  </w:r>
                  <w:r>
                    <w:rPr>
                      <w:rFonts w:hint="eastAsia" w:ascii="Times New Roman" w:hAnsi="Times New Roman" w:cs="Times New Roman"/>
                      <w:color w:val="auto"/>
                      <w:sz w:val="18"/>
                      <w:szCs w:val="18"/>
                      <w:highlight w:val="none"/>
                      <w:lang w:val="en-US" w:eastAsia="zh-CN"/>
                    </w:rPr>
                    <w:t>2390.16</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2</w:t>
                  </w:r>
                  <w:r>
                    <w:rPr>
                      <w:rFonts w:hint="default" w:ascii="Times New Roman" w:hAnsi="Times New Roman" w:cs="Times New Roman"/>
                      <w:color w:val="auto"/>
                      <w:sz w:val="18"/>
                      <w:szCs w:val="18"/>
                      <w:highlight w:val="none"/>
                    </w:rPr>
                    <w:t>，主要用于储存</w:t>
                  </w:r>
                  <w:r>
                    <w:rPr>
                      <w:rFonts w:hint="default" w:ascii="Times New Roman" w:hAnsi="Times New Roman" w:cs="Times New Roman"/>
                      <w:color w:val="auto"/>
                      <w:sz w:val="18"/>
                      <w:szCs w:val="18"/>
                      <w:highlight w:val="none"/>
                      <w:lang w:val="en-US" w:eastAsia="zh-CN"/>
                    </w:rPr>
                    <w:t>产品</w:t>
                  </w:r>
                </w:p>
              </w:tc>
              <w:tc>
                <w:tcPr>
                  <w:tcW w:w="1607" w:type="dxa"/>
                  <w:tcBorders>
                    <w:bottom w:val="single" w:color="auto" w:sz="4" w:space="0"/>
                    <w:right w:val="single" w:color="auto" w:sz="4" w:space="0"/>
                  </w:tcBorders>
                  <w:noWrap w:val="0"/>
                  <w:vAlign w:val="center"/>
                </w:tcPr>
                <w:p w14:paraId="79EF111C">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新建</w:t>
                  </w:r>
                </w:p>
              </w:tc>
            </w:tr>
            <w:tr w14:paraId="4C76AC4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844" w:type="dxa"/>
                  <w:vMerge w:val="continue"/>
                  <w:noWrap w:val="0"/>
                  <w:vAlign w:val="center"/>
                </w:tcPr>
                <w:p w14:paraId="369C9CD4">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color w:val="auto"/>
                      <w:sz w:val="18"/>
                      <w:szCs w:val="18"/>
                      <w:highlight w:val="none"/>
                    </w:rPr>
                  </w:pPr>
                </w:p>
              </w:tc>
              <w:tc>
                <w:tcPr>
                  <w:tcW w:w="1269" w:type="dxa"/>
                  <w:tcBorders>
                    <w:bottom w:val="single" w:color="auto" w:sz="4" w:space="0"/>
                  </w:tcBorders>
                  <w:noWrap w:val="0"/>
                  <w:vAlign w:val="center"/>
                </w:tcPr>
                <w:p w14:paraId="597C9A34">
                  <w:pPr>
                    <w:pStyle w:val="43"/>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仓库</w:t>
                  </w:r>
                </w:p>
              </w:tc>
              <w:tc>
                <w:tcPr>
                  <w:tcW w:w="4395" w:type="dxa"/>
                  <w:tcBorders>
                    <w:bottom w:val="single" w:color="auto" w:sz="4" w:space="0"/>
                    <w:right w:val="single" w:color="auto" w:sz="4" w:space="0"/>
                  </w:tcBorders>
                  <w:noWrap w:val="0"/>
                  <w:vAlign w:val="center"/>
                </w:tcPr>
                <w:p w14:paraId="0B33DB54">
                  <w:pPr>
                    <w:pStyle w:val="43"/>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1座</w:t>
                  </w:r>
                  <w:r>
                    <w:rPr>
                      <w:rFonts w:hint="eastAsia" w:ascii="Times New Roman" w:hAnsi="Times New Roman" w:cs="Times New Roman"/>
                      <w:color w:val="auto"/>
                      <w:sz w:val="18"/>
                      <w:szCs w:val="18"/>
                      <w:highlight w:val="none"/>
                      <w:lang w:val="en-US" w:eastAsia="zh-CN"/>
                    </w:rPr>
                    <w:t>，</w:t>
                  </w:r>
                  <w:r>
                    <w:rPr>
                      <w:rFonts w:hint="default" w:ascii="Times New Roman" w:hAnsi="Times New Roman" w:cs="Times New Roman"/>
                      <w:color w:val="auto"/>
                      <w:sz w:val="18"/>
                      <w:szCs w:val="18"/>
                      <w:highlight w:val="none"/>
                    </w:rPr>
                    <w:t>1F，</w:t>
                  </w:r>
                  <w:r>
                    <w:rPr>
                      <w:rFonts w:hint="eastAsia" w:ascii="Times New Roman" w:hAnsi="Times New Roman" w:cs="Times New Roman"/>
                      <w:color w:val="auto"/>
                      <w:sz w:val="18"/>
                      <w:szCs w:val="18"/>
                      <w:highlight w:val="none"/>
                      <w:lang w:val="en-US" w:eastAsia="zh-CN"/>
                    </w:rPr>
                    <w:t>4000</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2</w:t>
                  </w:r>
                  <w:r>
                    <w:rPr>
                      <w:rFonts w:hint="default" w:ascii="Times New Roman" w:hAnsi="Times New Roman" w:cs="Times New Roman"/>
                      <w:color w:val="auto"/>
                      <w:sz w:val="18"/>
                      <w:szCs w:val="18"/>
                      <w:highlight w:val="none"/>
                    </w:rPr>
                    <w:t>，主要用于储存</w:t>
                  </w:r>
                  <w:r>
                    <w:rPr>
                      <w:rFonts w:hint="eastAsia" w:ascii="Times New Roman" w:hAnsi="Times New Roman" w:cs="Times New Roman"/>
                      <w:color w:val="auto"/>
                      <w:sz w:val="18"/>
                      <w:szCs w:val="18"/>
                      <w:highlight w:val="none"/>
                      <w:lang w:val="en-US" w:eastAsia="zh-CN"/>
                    </w:rPr>
                    <w:t>原材料、</w:t>
                  </w:r>
                  <w:r>
                    <w:rPr>
                      <w:rFonts w:hint="default" w:ascii="Times New Roman" w:hAnsi="Times New Roman" w:cs="Times New Roman"/>
                      <w:color w:val="auto"/>
                      <w:sz w:val="18"/>
                      <w:szCs w:val="18"/>
                      <w:highlight w:val="none"/>
                      <w:lang w:val="en-US" w:eastAsia="zh-CN"/>
                    </w:rPr>
                    <w:t>产品</w:t>
                  </w:r>
                </w:p>
              </w:tc>
              <w:tc>
                <w:tcPr>
                  <w:tcW w:w="1607" w:type="dxa"/>
                  <w:tcBorders>
                    <w:bottom w:val="single" w:color="auto" w:sz="4" w:space="0"/>
                    <w:right w:val="single" w:color="auto" w:sz="4" w:space="0"/>
                  </w:tcBorders>
                  <w:noWrap w:val="0"/>
                  <w:vAlign w:val="center"/>
                </w:tcPr>
                <w:p w14:paraId="56AE2B28">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新建</w:t>
                  </w:r>
                </w:p>
              </w:tc>
            </w:tr>
            <w:tr w14:paraId="769B631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844" w:type="dxa"/>
                  <w:vMerge w:val="restart"/>
                  <w:noWrap w:val="0"/>
                  <w:vAlign w:val="center"/>
                </w:tcPr>
                <w:p w14:paraId="0FCC8F45">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辅助工程</w:t>
                  </w:r>
                </w:p>
              </w:tc>
              <w:tc>
                <w:tcPr>
                  <w:tcW w:w="1269" w:type="dxa"/>
                  <w:tcBorders>
                    <w:bottom w:val="single" w:color="auto" w:sz="4" w:space="0"/>
                  </w:tcBorders>
                  <w:noWrap w:val="0"/>
                  <w:vAlign w:val="center"/>
                </w:tcPr>
                <w:p w14:paraId="181CD19A">
                  <w:pPr>
                    <w:pStyle w:val="43"/>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办公室</w:t>
                  </w:r>
                </w:p>
              </w:tc>
              <w:tc>
                <w:tcPr>
                  <w:tcW w:w="4395" w:type="dxa"/>
                  <w:tcBorders>
                    <w:bottom w:val="single" w:color="auto" w:sz="4" w:space="0"/>
                    <w:right w:val="single" w:color="auto" w:sz="4" w:space="0"/>
                  </w:tcBorders>
                  <w:noWrap w:val="0"/>
                  <w:vAlign w:val="center"/>
                </w:tcPr>
                <w:p w14:paraId="324785D9">
                  <w:pPr>
                    <w:pStyle w:val="43"/>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lang w:val="en-US" w:eastAsia="zh-CN"/>
                    </w:rPr>
                    <w:t>座</w:t>
                  </w:r>
                  <w:r>
                    <w:rPr>
                      <w:rFonts w:hint="eastAsia" w:ascii="Times New Roman" w:hAnsi="Times New Roman" w:cs="Times New Roman"/>
                      <w:color w:val="auto"/>
                      <w:sz w:val="18"/>
                      <w:szCs w:val="18"/>
                      <w:highlight w:val="none"/>
                      <w:lang w:val="en-US" w:eastAsia="zh-CN"/>
                    </w:rPr>
                    <w:t>，1F</w:t>
                  </w:r>
                  <w:r>
                    <w:rPr>
                      <w:rFonts w:hint="default" w:ascii="Times New Roman" w:hAnsi="Times New Roman" w:cs="Times New Roman"/>
                      <w:color w:val="auto"/>
                      <w:sz w:val="18"/>
                      <w:szCs w:val="18"/>
                      <w:highlight w:val="none"/>
                      <w:lang w:val="en-US" w:eastAsia="zh-CN"/>
                    </w:rPr>
                    <w:t>，</w:t>
                  </w:r>
                  <w:r>
                    <w:rPr>
                      <w:rFonts w:hint="default" w:ascii="Times New Roman" w:hAnsi="Times New Roman" w:cs="Times New Roman"/>
                      <w:color w:val="auto"/>
                      <w:sz w:val="18"/>
                      <w:szCs w:val="18"/>
                      <w:highlight w:val="none"/>
                    </w:rPr>
                    <w:t>建筑面积</w:t>
                  </w:r>
                  <w:r>
                    <w:rPr>
                      <w:rFonts w:hint="eastAsia"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lang w:val="en-US" w:eastAsia="zh-CN"/>
                    </w:rPr>
                    <w:t>00</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2</w:t>
                  </w:r>
                </w:p>
              </w:tc>
              <w:tc>
                <w:tcPr>
                  <w:tcW w:w="1607" w:type="dxa"/>
                  <w:tcBorders>
                    <w:bottom w:val="single" w:color="auto" w:sz="4" w:space="0"/>
                    <w:right w:val="single" w:color="auto" w:sz="4" w:space="0"/>
                  </w:tcBorders>
                  <w:noWrap w:val="0"/>
                  <w:vAlign w:val="center"/>
                </w:tcPr>
                <w:p w14:paraId="7F9FE30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none"/>
                      <w:lang w:val="en-US"/>
                    </w:rPr>
                  </w:pPr>
                  <w:r>
                    <w:rPr>
                      <w:rFonts w:hint="eastAsia" w:ascii="Times New Roman" w:hAnsi="Times New Roman" w:eastAsia="宋体" w:cs="Times New Roman"/>
                      <w:color w:val="auto"/>
                      <w:sz w:val="18"/>
                      <w:szCs w:val="18"/>
                      <w:highlight w:val="none"/>
                      <w:lang w:val="en-US" w:eastAsia="zh-CN"/>
                    </w:rPr>
                    <w:t>新建</w:t>
                  </w:r>
                </w:p>
              </w:tc>
            </w:tr>
            <w:tr w14:paraId="5EF64B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844" w:type="dxa"/>
                  <w:vMerge w:val="continue"/>
                  <w:noWrap w:val="0"/>
                  <w:vAlign w:val="center"/>
                </w:tcPr>
                <w:p w14:paraId="67CDBE3E">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color w:val="auto"/>
                      <w:sz w:val="18"/>
                      <w:szCs w:val="18"/>
                      <w:highlight w:val="none"/>
                    </w:rPr>
                  </w:pPr>
                </w:p>
              </w:tc>
              <w:tc>
                <w:tcPr>
                  <w:tcW w:w="1269" w:type="dxa"/>
                  <w:noWrap w:val="0"/>
                  <w:vAlign w:val="center"/>
                </w:tcPr>
                <w:p w14:paraId="0992FBF8">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宿舍</w:t>
                  </w:r>
                </w:p>
              </w:tc>
              <w:tc>
                <w:tcPr>
                  <w:tcW w:w="4395" w:type="dxa"/>
                  <w:tcBorders>
                    <w:right w:val="single" w:color="auto" w:sz="4" w:space="0"/>
                  </w:tcBorders>
                  <w:noWrap w:val="0"/>
                  <w:vAlign w:val="center"/>
                </w:tcPr>
                <w:p w14:paraId="60321C11">
                  <w:pPr>
                    <w:pStyle w:val="43"/>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pacing w:val="-2"/>
                      <w:kern w:val="0"/>
                      <w:sz w:val="18"/>
                      <w:szCs w:val="18"/>
                      <w:highlight w:val="none"/>
                      <w:lang w:val="en-US" w:eastAsia="zh-CN"/>
                    </w:rPr>
                  </w:pPr>
                  <w:r>
                    <w:rPr>
                      <w:rFonts w:hint="eastAsia" w:ascii="Times New Roman" w:hAnsi="Times New Roman" w:cs="Times New Roman"/>
                      <w:color w:val="auto"/>
                      <w:spacing w:val="-2"/>
                      <w:kern w:val="0"/>
                      <w:sz w:val="18"/>
                      <w:szCs w:val="18"/>
                      <w:highlight w:val="none"/>
                      <w:lang w:val="en-US" w:eastAsia="zh-CN"/>
                    </w:rPr>
                    <w:t>8间，</w:t>
                  </w:r>
                  <w:r>
                    <w:rPr>
                      <w:rFonts w:hint="default" w:ascii="Times New Roman" w:hAnsi="Times New Roman" w:cs="Times New Roman"/>
                      <w:color w:val="auto"/>
                      <w:sz w:val="18"/>
                      <w:szCs w:val="18"/>
                      <w:highlight w:val="none"/>
                      <w:lang w:val="en-US" w:eastAsia="zh-CN"/>
                    </w:rPr>
                    <w:t>总</w:t>
                  </w:r>
                  <w:r>
                    <w:rPr>
                      <w:rFonts w:hint="default" w:ascii="Times New Roman" w:hAnsi="Times New Roman" w:cs="Times New Roman"/>
                      <w:color w:val="auto"/>
                      <w:sz w:val="18"/>
                      <w:szCs w:val="18"/>
                      <w:highlight w:val="none"/>
                    </w:rPr>
                    <w:t>建筑面积</w:t>
                  </w:r>
                  <w:r>
                    <w:rPr>
                      <w:rFonts w:hint="eastAsia"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lang w:val="en-US" w:eastAsia="zh-CN"/>
                    </w:rPr>
                    <w:t>00</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2</w:t>
                  </w:r>
                </w:p>
              </w:tc>
              <w:tc>
                <w:tcPr>
                  <w:tcW w:w="1607" w:type="dxa"/>
                  <w:tcBorders>
                    <w:right w:val="single" w:color="auto" w:sz="4" w:space="0"/>
                  </w:tcBorders>
                  <w:noWrap w:val="0"/>
                  <w:vAlign w:val="center"/>
                </w:tcPr>
                <w:p w14:paraId="31BD0A50">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none"/>
                    </w:rPr>
                  </w:pPr>
                  <w:r>
                    <w:rPr>
                      <w:rFonts w:hint="eastAsia" w:ascii="Times New Roman" w:hAnsi="Times New Roman" w:eastAsia="宋体" w:cs="Times New Roman"/>
                      <w:color w:val="auto"/>
                      <w:sz w:val="18"/>
                      <w:szCs w:val="18"/>
                      <w:highlight w:val="none"/>
                      <w:lang w:val="en-US" w:eastAsia="zh-CN"/>
                    </w:rPr>
                    <w:t>新建</w:t>
                  </w:r>
                </w:p>
              </w:tc>
            </w:tr>
            <w:tr w14:paraId="134AC4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844" w:type="dxa"/>
                  <w:vMerge w:val="continue"/>
                  <w:noWrap w:val="0"/>
                  <w:vAlign w:val="center"/>
                </w:tcPr>
                <w:p w14:paraId="244CFFBB">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color w:val="auto"/>
                      <w:sz w:val="18"/>
                      <w:szCs w:val="18"/>
                      <w:highlight w:val="none"/>
                    </w:rPr>
                  </w:pPr>
                </w:p>
              </w:tc>
              <w:tc>
                <w:tcPr>
                  <w:tcW w:w="1269" w:type="dxa"/>
                  <w:noWrap w:val="0"/>
                  <w:vAlign w:val="center"/>
                </w:tcPr>
                <w:p w14:paraId="6201E90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食堂</w:t>
                  </w:r>
                </w:p>
              </w:tc>
              <w:tc>
                <w:tcPr>
                  <w:tcW w:w="4395" w:type="dxa"/>
                  <w:tcBorders>
                    <w:right w:val="single" w:color="auto" w:sz="4" w:space="0"/>
                  </w:tcBorders>
                  <w:noWrap w:val="0"/>
                  <w:vAlign w:val="center"/>
                </w:tcPr>
                <w:p w14:paraId="34085B4F">
                  <w:pPr>
                    <w:pStyle w:val="43"/>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pacing w:val="-2"/>
                      <w:kern w:val="0"/>
                      <w:sz w:val="18"/>
                      <w:szCs w:val="18"/>
                      <w:highlight w:val="none"/>
                      <w:lang w:val="en-US" w:eastAsia="zh-CN"/>
                    </w:rPr>
                  </w:pPr>
                  <w:r>
                    <w:rPr>
                      <w:rFonts w:hint="eastAsia" w:ascii="Times New Roman" w:hAnsi="Times New Roman" w:cs="Times New Roman"/>
                      <w:color w:val="auto"/>
                      <w:spacing w:val="-2"/>
                      <w:kern w:val="0"/>
                      <w:sz w:val="18"/>
                      <w:szCs w:val="18"/>
                      <w:highlight w:val="none"/>
                      <w:lang w:val="en-US" w:eastAsia="zh-CN"/>
                    </w:rPr>
                    <w:t>1间，建筑面积</w:t>
                  </w:r>
                  <w:r>
                    <w:rPr>
                      <w:rFonts w:hint="eastAsia" w:ascii="Times New Roman" w:hAnsi="Times New Roman" w:cs="Times New Roman"/>
                      <w:color w:val="auto"/>
                      <w:sz w:val="18"/>
                      <w:szCs w:val="18"/>
                      <w:highlight w:val="none"/>
                      <w:lang w:val="en-US" w:eastAsia="zh-CN"/>
                    </w:rPr>
                    <w:t>5</w:t>
                  </w:r>
                  <w:r>
                    <w:rPr>
                      <w:rFonts w:hint="default" w:ascii="Times New Roman" w:hAnsi="Times New Roman" w:cs="Times New Roman"/>
                      <w:color w:val="auto"/>
                      <w:sz w:val="18"/>
                      <w:szCs w:val="18"/>
                      <w:highlight w:val="none"/>
                      <w:lang w:val="en-US" w:eastAsia="zh-CN"/>
                    </w:rPr>
                    <w:t>0</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2</w:t>
                  </w:r>
                </w:p>
              </w:tc>
              <w:tc>
                <w:tcPr>
                  <w:tcW w:w="1607" w:type="dxa"/>
                  <w:tcBorders>
                    <w:right w:val="single" w:color="auto" w:sz="4" w:space="0"/>
                  </w:tcBorders>
                  <w:noWrap w:val="0"/>
                  <w:vAlign w:val="center"/>
                </w:tcPr>
                <w:p w14:paraId="28FDF361">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none"/>
                    </w:rPr>
                  </w:pPr>
                  <w:r>
                    <w:rPr>
                      <w:rFonts w:hint="eastAsia" w:ascii="Times New Roman" w:hAnsi="Times New Roman" w:eastAsia="宋体" w:cs="Times New Roman"/>
                      <w:color w:val="auto"/>
                      <w:sz w:val="18"/>
                      <w:szCs w:val="18"/>
                      <w:highlight w:val="none"/>
                      <w:lang w:val="en-US" w:eastAsia="zh-CN"/>
                    </w:rPr>
                    <w:t>新建</w:t>
                  </w:r>
                </w:p>
              </w:tc>
            </w:tr>
            <w:tr w14:paraId="51D6996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844" w:type="dxa"/>
                  <w:vMerge w:val="restart"/>
                  <w:noWrap w:val="0"/>
                  <w:vAlign w:val="center"/>
                </w:tcPr>
                <w:p w14:paraId="7F461534">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公用工程</w:t>
                  </w:r>
                </w:p>
              </w:tc>
              <w:tc>
                <w:tcPr>
                  <w:tcW w:w="1269" w:type="dxa"/>
                  <w:noWrap w:val="0"/>
                  <w:vAlign w:val="center"/>
                </w:tcPr>
                <w:p w14:paraId="31B5F54C">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供水系统</w:t>
                  </w:r>
                </w:p>
              </w:tc>
              <w:tc>
                <w:tcPr>
                  <w:tcW w:w="4395" w:type="dxa"/>
                  <w:tcBorders>
                    <w:right w:val="single" w:color="auto" w:sz="4" w:space="0"/>
                  </w:tcBorders>
                  <w:noWrap w:val="0"/>
                  <w:vAlign w:val="center"/>
                </w:tcPr>
                <w:p w14:paraId="3721BD88">
                  <w:pPr>
                    <w:pStyle w:val="43"/>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yellow"/>
                    </w:rPr>
                  </w:pPr>
                  <w:r>
                    <w:rPr>
                      <w:rFonts w:hint="default" w:ascii="Times New Roman" w:hAnsi="Times New Roman" w:cs="Times New Roman"/>
                      <w:color w:val="auto"/>
                      <w:spacing w:val="-2"/>
                      <w:kern w:val="0"/>
                      <w:sz w:val="18"/>
                      <w:szCs w:val="18"/>
                      <w:highlight w:val="none"/>
                    </w:rPr>
                    <w:t>由</w:t>
                  </w:r>
                  <w:r>
                    <w:rPr>
                      <w:rFonts w:hint="eastAsia" w:ascii="Times New Roman" w:hAnsi="Times New Roman" w:cs="Times New Roman"/>
                      <w:color w:val="auto"/>
                      <w:spacing w:val="-2"/>
                      <w:kern w:val="0"/>
                      <w:sz w:val="18"/>
                      <w:szCs w:val="18"/>
                      <w:highlight w:val="none"/>
                      <w:lang w:eastAsia="zh-CN"/>
                    </w:rPr>
                    <w:t>双杨</w:t>
                  </w:r>
                  <w:r>
                    <w:rPr>
                      <w:rFonts w:hint="default" w:ascii="Times New Roman" w:hAnsi="Times New Roman" w:cs="Times New Roman"/>
                      <w:color w:val="auto"/>
                      <w:spacing w:val="-2"/>
                      <w:kern w:val="0"/>
                      <w:sz w:val="18"/>
                      <w:szCs w:val="18"/>
                      <w:highlight w:val="none"/>
                      <w:lang w:eastAsia="zh-CN"/>
                    </w:rPr>
                    <w:t>镇</w:t>
                  </w:r>
                  <w:r>
                    <w:rPr>
                      <w:rFonts w:hint="default" w:ascii="Times New Roman" w:hAnsi="Times New Roman" w:cs="Times New Roman"/>
                      <w:color w:val="auto"/>
                      <w:spacing w:val="-2"/>
                      <w:kern w:val="0"/>
                      <w:sz w:val="18"/>
                      <w:szCs w:val="18"/>
                      <w:highlight w:val="none"/>
                    </w:rPr>
                    <w:t>自来水管网供给</w:t>
                  </w:r>
                  <w:r>
                    <w:rPr>
                      <w:rFonts w:hint="default" w:ascii="Times New Roman" w:hAnsi="Times New Roman" w:cs="Times New Roman"/>
                      <w:color w:val="auto"/>
                      <w:spacing w:val="-2"/>
                      <w:kern w:val="0"/>
                      <w:sz w:val="18"/>
                      <w:szCs w:val="18"/>
                      <w:highlight w:val="none"/>
                      <w:lang w:eastAsia="zh-CN"/>
                    </w:rPr>
                    <w:t>，</w:t>
                  </w:r>
                  <w:r>
                    <w:rPr>
                      <w:rFonts w:hint="default" w:ascii="Times New Roman" w:hAnsi="Times New Roman" w:cs="Times New Roman"/>
                      <w:color w:val="auto"/>
                      <w:spacing w:val="-2"/>
                      <w:kern w:val="0"/>
                      <w:sz w:val="18"/>
                      <w:szCs w:val="18"/>
                      <w:highlight w:val="none"/>
                      <w:lang w:val="en-US" w:eastAsia="zh-CN"/>
                    </w:rPr>
                    <w:t>用水量为</w:t>
                  </w:r>
                  <w:r>
                    <w:rPr>
                      <w:rFonts w:hint="eastAsia" w:ascii="Times New Roman" w:hAnsi="Times New Roman" w:cs="Times New Roman"/>
                      <w:color w:val="auto"/>
                      <w:spacing w:val="-2"/>
                      <w:kern w:val="0"/>
                      <w:sz w:val="18"/>
                      <w:szCs w:val="18"/>
                      <w:highlight w:val="none"/>
                      <w:lang w:val="en-US" w:eastAsia="zh-CN"/>
                    </w:rPr>
                    <w:t>2832.223</w:t>
                  </w:r>
                  <w:r>
                    <w:rPr>
                      <w:rFonts w:hint="default" w:ascii="Times New Roman" w:hAnsi="Times New Roman" w:cs="Times New Roman"/>
                      <w:color w:val="auto"/>
                      <w:spacing w:val="-2"/>
                      <w:kern w:val="0"/>
                      <w:sz w:val="18"/>
                      <w:szCs w:val="18"/>
                      <w:highlight w:val="none"/>
                    </w:rPr>
                    <w:t>m</w:t>
                  </w:r>
                  <w:r>
                    <w:rPr>
                      <w:rFonts w:hint="default" w:ascii="Times New Roman" w:hAnsi="Times New Roman" w:cs="Times New Roman"/>
                      <w:color w:val="auto"/>
                      <w:spacing w:val="-2"/>
                      <w:kern w:val="0"/>
                      <w:sz w:val="18"/>
                      <w:szCs w:val="18"/>
                      <w:highlight w:val="none"/>
                      <w:vertAlign w:val="superscript"/>
                    </w:rPr>
                    <w:t>3</w:t>
                  </w:r>
                  <w:r>
                    <w:rPr>
                      <w:rFonts w:hint="default" w:ascii="Times New Roman" w:hAnsi="Times New Roman" w:cs="Times New Roman"/>
                      <w:color w:val="auto"/>
                      <w:spacing w:val="-2"/>
                      <w:kern w:val="0"/>
                      <w:sz w:val="18"/>
                      <w:szCs w:val="18"/>
                      <w:highlight w:val="none"/>
                    </w:rPr>
                    <w:t>/a</w:t>
                  </w:r>
                </w:p>
              </w:tc>
              <w:tc>
                <w:tcPr>
                  <w:tcW w:w="1607" w:type="dxa"/>
                  <w:tcBorders>
                    <w:right w:val="single" w:color="auto" w:sz="4" w:space="0"/>
                  </w:tcBorders>
                  <w:noWrap w:val="0"/>
                  <w:vAlign w:val="center"/>
                </w:tcPr>
                <w:p w14:paraId="6E64A6B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42032E2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844" w:type="dxa"/>
                  <w:vMerge w:val="continue"/>
                  <w:noWrap w:val="0"/>
                  <w:vAlign w:val="center"/>
                </w:tcPr>
                <w:p w14:paraId="371A2A68">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color w:val="auto"/>
                      <w:sz w:val="18"/>
                      <w:szCs w:val="18"/>
                      <w:highlight w:val="none"/>
                    </w:rPr>
                  </w:pPr>
                </w:p>
              </w:tc>
              <w:tc>
                <w:tcPr>
                  <w:tcW w:w="1269" w:type="dxa"/>
                  <w:noWrap w:val="0"/>
                  <w:vAlign w:val="center"/>
                </w:tcPr>
                <w:p w14:paraId="6549264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供电系统</w:t>
                  </w:r>
                </w:p>
              </w:tc>
              <w:tc>
                <w:tcPr>
                  <w:tcW w:w="4395" w:type="dxa"/>
                  <w:tcBorders>
                    <w:right w:val="single" w:color="auto" w:sz="4" w:space="0"/>
                  </w:tcBorders>
                  <w:noWrap w:val="0"/>
                  <w:vAlign w:val="center"/>
                </w:tcPr>
                <w:p w14:paraId="4CE3AC8A">
                  <w:pPr>
                    <w:pStyle w:val="43"/>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由</w:t>
                  </w:r>
                  <w:r>
                    <w:rPr>
                      <w:rFonts w:hint="eastAsia" w:ascii="Times New Roman" w:hAnsi="Times New Roman" w:cs="Times New Roman"/>
                      <w:color w:val="auto"/>
                      <w:sz w:val="18"/>
                      <w:szCs w:val="18"/>
                      <w:highlight w:val="none"/>
                      <w:lang w:eastAsia="zh-CN"/>
                    </w:rPr>
                    <w:t>双杨镇供电所</w:t>
                  </w:r>
                  <w:r>
                    <w:rPr>
                      <w:rFonts w:hint="default" w:ascii="Times New Roman" w:hAnsi="Times New Roman" w:cs="Times New Roman"/>
                      <w:color w:val="auto"/>
                      <w:sz w:val="18"/>
                      <w:szCs w:val="18"/>
                      <w:highlight w:val="none"/>
                    </w:rPr>
                    <w:t>线路供应，用电量为</w:t>
                  </w:r>
                  <w:r>
                    <w:rPr>
                      <w:rFonts w:hint="eastAsia" w:ascii="Times New Roman" w:hAnsi="Times New Roman" w:cs="Times New Roman"/>
                      <w:color w:val="auto"/>
                      <w:sz w:val="18"/>
                      <w:szCs w:val="18"/>
                      <w:highlight w:val="none"/>
                      <w:lang w:val="en-US" w:eastAsia="zh-CN"/>
                    </w:rPr>
                    <w:t>40</w:t>
                  </w:r>
                  <w:r>
                    <w:rPr>
                      <w:rFonts w:hint="default" w:ascii="Times New Roman" w:hAnsi="Times New Roman" w:cs="Times New Roman"/>
                      <w:color w:val="auto"/>
                      <w:sz w:val="18"/>
                      <w:szCs w:val="18"/>
                      <w:highlight w:val="none"/>
                    </w:rPr>
                    <w:t>0万</w:t>
                  </w:r>
                  <w:r>
                    <w:rPr>
                      <w:rFonts w:hint="default" w:ascii="Times New Roman" w:hAnsi="Times New Roman" w:cs="Times New Roman"/>
                      <w:bCs/>
                      <w:color w:val="auto"/>
                      <w:sz w:val="18"/>
                      <w:szCs w:val="18"/>
                      <w:highlight w:val="none"/>
                    </w:rPr>
                    <w:t>kW·h/a</w:t>
                  </w:r>
                </w:p>
              </w:tc>
              <w:tc>
                <w:tcPr>
                  <w:tcW w:w="1607" w:type="dxa"/>
                  <w:tcBorders>
                    <w:right w:val="single" w:color="auto" w:sz="4" w:space="0"/>
                  </w:tcBorders>
                  <w:noWrap w:val="0"/>
                  <w:vAlign w:val="center"/>
                </w:tcPr>
                <w:p w14:paraId="6E166B3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2F88815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104" w:hRule="atLeast"/>
                <w:jc w:val="center"/>
              </w:trPr>
              <w:tc>
                <w:tcPr>
                  <w:tcW w:w="844" w:type="dxa"/>
                  <w:vMerge w:val="restart"/>
                  <w:noWrap w:val="0"/>
                  <w:vAlign w:val="center"/>
                </w:tcPr>
                <w:p w14:paraId="05A3EDBA">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环保工程</w:t>
                  </w:r>
                </w:p>
              </w:tc>
              <w:tc>
                <w:tcPr>
                  <w:tcW w:w="1269" w:type="dxa"/>
                  <w:noWrap w:val="0"/>
                  <w:vAlign w:val="center"/>
                </w:tcPr>
                <w:p w14:paraId="6C90ABD9">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噪声处理控制</w:t>
                  </w:r>
                </w:p>
              </w:tc>
              <w:tc>
                <w:tcPr>
                  <w:tcW w:w="4395" w:type="dxa"/>
                  <w:tcBorders>
                    <w:right w:val="single" w:color="auto" w:sz="4" w:space="0"/>
                  </w:tcBorders>
                  <w:noWrap w:val="0"/>
                  <w:vAlign w:val="center"/>
                </w:tcPr>
                <w:p w14:paraId="5AB1723E">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color w:val="auto"/>
                      <w:sz w:val="18"/>
                      <w:szCs w:val="18"/>
                      <w:highlight w:val="yellow"/>
                    </w:rPr>
                  </w:pPr>
                  <w:r>
                    <w:rPr>
                      <w:rFonts w:hint="default" w:ascii="Times New Roman" w:hAnsi="Times New Roman" w:cs="Times New Roman"/>
                      <w:color w:val="auto"/>
                      <w:sz w:val="18"/>
                      <w:szCs w:val="18"/>
                      <w:highlight w:val="none"/>
                    </w:rPr>
                    <w:t>减振、隔声</w:t>
                  </w:r>
                </w:p>
              </w:tc>
              <w:tc>
                <w:tcPr>
                  <w:tcW w:w="1607" w:type="dxa"/>
                  <w:tcBorders>
                    <w:right w:val="single" w:color="auto" w:sz="4" w:space="0"/>
                  </w:tcBorders>
                  <w:noWrap w:val="0"/>
                  <w:vAlign w:val="center"/>
                </w:tcPr>
                <w:p w14:paraId="5D051587">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新建</w:t>
                  </w:r>
                </w:p>
              </w:tc>
            </w:tr>
            <w:tr w14:paraId="7CB7ED4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229" w:hRule="atLeast"/>
                <w:jc w:val="center"/>
              </w:trPr>
              <w:tc>
                <w:tcPr>
                  <w:tcW w:w="844" w:type="dxa"/>
                  <w:vMerge w:val="continue"/>
                  <w:noWrap w:val="0"/>
                  <w:vAlign w:val="center"/>
                </w:tcPr>
                <w:p w14:paraId="067AA263">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color w:val="auto"/>
                      <w:sz w:val="18"/>
                      <w:szCs w:val="18"/>
                      <w:highlight w:val="yellow"/>
                    </w:rPr>
                  </w:pPr>
                </w:p>
              </w:tc>
              <w:tc>
                <w:tcPr>
                  <w:tcW w:w="1269" w:type="dxa"/>
                  <w:noWrap w:val="0"/>
                  <w:vAlign w:val="center"/>
                </w:tcPr>
                <w:p w14:paraId="7B9D7769">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废气治理控制</w:t>
                  </w:r>
                </w:p>
              </w:tc>
              <w:tc>
                <w:tcPr>
                  <w:tcW w:w="4395" w:type="dxa"/>
                  <w:tcBorders>
                    <w:right w:val="single" w:color="auto" w:sz="4" w:space="0"/>
                  </w:tcBorders>
                  <w:noWrap w:val="0"/>
                  <w:vAlign w:val="center"/>
                </w:tcPr>
                <w:p w14:paraId="2A523439">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auto"/>
                      <w:sz w:val="18"/>
                      <w:szCs w:val="18"/>
                      <w:highlight w:val="none"/>
                      <w:lang w:eastAsia="zh-CN"/>
                    </w:rPr>
                  </w:pPr>
                  <w:r>
                    <w:rPr>
                      <w:rFonts w:hint="eastAsia"/>
                      <w:sz w:val="18"/>
                      <w:szCs w:val="18"/>
                      <w:lang w:val="en-US" w:eastAsia="zh-CN"/>
                    </w:rPr>
                    <w:t>原料破碎、筛分、配料、部分筛分、混合、粗筛、整形过程</w:t>
                  </w:r>
                  <w:r>
                    <w:rPr>
                      <w:rFonts w:hint="eastAsia"/>
                      <w:sz w:val="18"/>
                      <w:szCs w:val="18"/>
                      <w:lang w:eastAsia="zh-CN"/>
                    </w:rPr>
                    <w:t>产生的颗粒物经集气罩收集后经1套布袋除尘器处理后通过同一根15m高DA00</w:t>
                  </w:r>
                  <w:r>
                    <w:rPr>
                      <w:rFonts w:hint="eastAsia"/>
                      <w:sz w:val="18"/>
                      <w:szCs w:val="18"/>
                      <w:lang w:val="en-US" w:eastAsia="zh-CN"/>
                    </w:rPr>
                    <w:t>3</w:t>
                  </w:r>
                  <w:r>
                    <w:rPr>
                      <w:rFonts w:hint="eastAsia"/>
                      <w:sz w:val="18"/>
                      <w:szCs w:val="18"/>
                      <w:lang w:eastAsia="zh-CN"/>
                    </w:rPr>
                    <w:t>排气筒有组织排放；</w:t>
                  </w:r>
                  <w:r>
                    <w:rPr>
                      <w:rFonts w:hint="eastAsia"/>
                      <w:sz w:val="18"/>
                      <w:szCs w:val="18"/>
                      <w:lang w:val="en-US" w:eastAsia="zh-CN"/>
                    </w:rPr>
                    <w:t>天然气燃烧废气（烟尘、SO</w:t>
                  </w:r>
                  <w:r>
                    <w:rPr>
                      <w:rFonts w:hint="eastAsia"/>
                      <w:sz w:val="18"/>
                      <w:szCs w:val="18"/>
                      <w:vertAlign w:val="subscript"/>
                      <w:lang w:val="en-US" w:eastAsia="zh-CN"/>
                    </w:rPr>
                    <w:t>2</w:t>
                  </w:r>
                  <w:r>
                    <w:rPr>
                      <w:rFonts w:hint="eastAsia"/>
                      <w:sz w:val="18"/>
                      <w:szCs w:val="18"/>
                      <w:lang w:val="en-US" w:eastAsia="zh-CN"/>
                    </w:rPr>
                    <w:t>、NOx）、造粒工序、和烘干工序产生的粉尘、氨气、臭气浓度</w:t>
                  </w:r>
                  <w:r>
                    <w:rPr>
                      <w:rFonts w:hint="default"/>
                      <w:sz w:val="18"/>
                      <w:szCs w:val="18"/>
                      <w:lang w:eastAsia="zh-CN"/>
                    </w:rPr>
                    <w:t>经</w:t>
                  </w:r>
                  <w:r>
                    <w:rPr>
                      <w:rFonts w:hint="eastAsia"/>
                      <w:sz w:val="18"/>
                      <w:szCs w:val="18"/>
                      <w:lang w:val="en-US" w:eastAsia="zh-CN"/>
                    </w:rPr>
                    <w:t>布袋除尘器+水喷淋</w:t>
                  </w:r>
                  <w:r>
                    <w:rPr>
                      <w:rFonts w:hint="default"/>
                      <w:sz w:val="18"/>
                      <w:szCs w:val="18"/>
                      <w:lang w:val="en-US" w:eastAsia="zh-CN"/>
                    </w:rPr>
                    <w:t>处理</w:t>
                  </w:r>
                  <w:r>
                    <w:rPr>
                      <w:rFonts w:hint="default"/>
                      <w:sz w:val="18"/>
                      <w:szCs w:val="18"/>
                    </w:rPr>
                    <w:t>后由</w:t>
                  </w:r>
                  <w:r>
                    <w:rPr>
                      <w:rFonts w:hint="eastAsia"/>
                      <w:sz w:val="18"/>
                      <w:szCs w:val="18"/>
                      <w:lang w:eastAsia="zh-CN"/>
                    </w:rPr>
                    <w:t>同一根15m高DA00</w:t>
                  </w:r>
                  <w:r>
                    <w:rPr>
                      <w:rFonts w:hint="eastAsia"/>
                      <w:sz w:val="18"/>
                      <w:szCs w:val="18"/>
                      <w:lang w:val="en-US" w:eastAsia="zh-CN"/>
                    </w:rPr>
                    <w:t>1</w:t>
                  </w:r>
                  <w:r>
                    <w:rPr>
                      <w:rFonts w:hint="eastAsia"/>
                      <w:sz w:val="18"/>
                      <w:szCs w:val="18"/>
                      <w:lang w:eastAsia="zh-CN"/>
                    </w:rPr>
                    <w:t>排气筒有组织排放</w:t>
                  </w:r>
                  <w:r>
                    <w:rPr>
                      <w:rFonts w:hint="default"/>
                      <w:sz w:val="18"/>
                      <w:szCs w:val="18"/>
                    </w:rPr>
                    <w:t>；</w:t>
                  </w:r>
                  <w:r>
                    <w:rPr>
                      <w:rFonts w:hint="eastAsia"/>
                      <w:sz w:val="18"/>
                      <w:szCs w:val="18"/>
                      <w:lang w:val="en-US" w:eastAsia="zh-CN"/>
                    </w:rPr>
                    <w:t>冷却、精筛、入仓、包膜、包装过程</w:t>
                  </w:r>
                  <w:r>
                    <w:rPr>
                      <w:rFonts w:hint="eastAsia"/>
                      <w:sz w:val="18"/>
                      <w:szCs w:val="18"/>
                      <w:lang w:eastAsia="zh-CN"/>
                    </w:rPr>
                    <w:t>产生的颗粒物经集气罩收集后经1套布袋除尘器处理后通过同一根15m高DA00</w:t>
                  </w:r>
                  <w:r>
                    <w:rPr>
                      <w:rFonts w:hint="eastAsia"/>
                      <w:sz w:val="18"/>
                      <w:szCs w:val="18"/>
                      <w:lang w:val="en-US" w:eastAsia="zh-CN"/>
                    </w:rPr>
                    <w:t>2</w:t>
                  </w:r>
                  <w:r>
                    <w:rPr>
                      <w:rFonts w:hint="eastAsia"/>
                      <w:sz w:val="18"/>
                      <w:szCs w:val="18"/>
                      <w:lang w:eastAsia="zh-CN"/>
                    </w:rPr>
                    <w:t>排气筒</w:t>
                  </w:r>
                  <w:r>
                    <w:rPr>
                      <w:rFonts w:hint="eastAsia"/>
                      <w:sz w:val="18"/>
                      <w:szCs w:val="18"/>
                      <w:highlight w:val="none"/>
                      <w:lang w:eastAsia="zh-CN"/>
                    </w:rPr>
                    <w:t>有组织排放。</w:t>
                  </w:r>
                  <w:r>
                    <w:rPr>
                      <w:rFonts w:hint="default"/>
                      <w:sz w:val="18"/>
                      <w:szCs w:val="18"/>
                      <w:highlight w:val="none"/>
                      <w:lang w:val="en-US" w:eastAsia="zh-CN"/>
                    </w:rPr>
                    <w:t>食堂油烟经油烟净化装置处理后</w:t>
                  </w:r>
                  <w:r>
                    <w:rPr>
                      <w:rFonts w:hint="eastAsia"/>
                      <w:sz w:val="18"/>
                      <w:szCs w:val="18"/>
                      <w:highlight w:val="none"/>
                      <w:lang w:val="en-US" w:eastAsia="zh-CN"/>
                    </w:rPr>
                    <w:t>经高于建筑物1.5m排气筒有组织排放</w:t>
                  </w:r>
                  <w:r>
                    <w:rPr>
                      <w:rFonts w:hint="eastAsia" w:ascii="Times New Roman" w:hAnsi="Times New Roman" w:cs="Times New Roman"/>
                      <w:color w:val="auto"/>
                      <w:sz w:val="18"/>
                      <w:szCs w:val="18"/>
                      <w:highlight w:val="none"/>
                      <w:lang w:val="en-US" w:eastAsia="zh-CN"/>
                    </w:rPr>
                    <w:t>。</w:t>
                  </w:r>
                </w:p>
              </w:tc>
              <w:tc>
                <w:tcPr>
                  <w:tcW w:w="1607" w:type="dxa"/>
                  <w:tcBorders>
                    <w:right w:val="single" w:color="auto" w:sz="4" w:space="0"/>
                  </w:tcBorders>
                  <w:noWrap w:val="0"/>
                  <w:vAlign w:val="center"/>
                </w:tcPr>
                <w:p w14:paraId="462A7EE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新建</w:t>
                  </w:r>
                </w:p>
              </w:tc>
            </w:tr>
            <w:tr w14:paraId="1D120DC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364" w:hRule="atLeast"/>
                <w:jc w:val="center"/>
              </w:trPr>
              <w:tc>
                <w:tcPr>
                  <w:tcW w:w="844" w:type="dxa"/>
                  <w:vMerge w:val="continue"/>
                  <w:noWrap w:val="0"/>
                  <w:vAlign w:val="center"/>
                </w:tcPr>
                <w:p w14:paraId="1457505A">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left"/>
                    <w:textAlignment w:val="auto"/>
                    <w:rPr>
                      <w:rFonts w:hint="default" w:ascii="Times New Roman" w:hAnsi="Times New Roman" w:cs="Times New Roman"/>
                      <w:color w:val="auto"/>
                      <w:sz w:val="18"/>
                      <w:szCs w:val="18"/>
                      <w:highlight w:val="yellow"/>
                    </w:rPr>
                  </w:pPr>
                </w:p>
              </w:tc>
              <w:tc>
                <w:tcPr>
                  <w:tcW w:w="1269" w:type="dxa"/>
                  <w:noWrap w:val="0"/>
                  <w:vAlign w:val="center"/>
                </w:tcPr>
                <w:p w14:paraId="6E81DD44">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废水处理控制</w:t>
                  </w:r>
                </w:p>
              </w:tc>
              <w:tc>
                <w:tcPr>
                  <w:tcW w:w="4395" w:type="dxa"/>
                  <w:tcBorders>
                    <w:right w:val="single" w:color="auto" w:sz="4" w:space="0"/>
                  </w:tcBorders>
                  <w:noWrap w:val="0"/>
                  <w:vAlign w:val="center"/>
                </w:tcPr>
                <w:p w14:paraId="121C4EEA">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生活污水经化粪池收集后由环卫部门定期清运</w:t>
                  </w:r>
                </w:p>
              </w:tc>
              <w:tc>
                <w:tcPr>
                  <w:tcW w:w="1607" w:type="dxa"/>
                  <w:tcBorders>
                    <w:right w:val="single" w:color="auto" w:sz="4" w:space="0"/>
                  </w:tcBorders>
                  <w:noWrap w:val="0"/>
                  <w:vAlign w:val="center"/>
                </w:tcPr>
                <w:p w14:paraId="6860292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新建</w:t>
                  </w:r>
                </w:p>
              </w:tc>
            </w:tr>
            <w:tr w14:paraId="0522383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267" w:hRule="atLeast"/>
                <w:jc w:val="center"/>
              </w:trPr>
              <w:tc>
                <w:tcPr>
                  <w:tcW w:w="844" w:type="dxa"/>
                  <w:vMerge w:val="continue"/>
                  <w:noWrap w:val="0"/>
                  <w:vAlign w:val="center"/>
                </w:tcPr>
                <w:p w14:paraId="786EB80D">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left"/>
                    <w:textAlignment w:val="auto"/>
                    <w:rPr>
                      <w:rFonts w:hint="default" w:ascii="Times New Roman" w:hAnsi="Times New Roman" w:cs="Times New Roman"/>
                      <w:color w:val="auto"/>
                      <w:sz w:val="18"/>
                      <w:szCs w:val="18"/>
                      <w:highlight w:val="yellow"/>
                    </w:rPr>
                  </w:pPr>
                </w:p>
              </w:tc>
              <w:tc>
                <w:tcPr>
                  <w:tcW w:w="1269" w:type="dxa"/>
                  <w:noWrap w:val="0"/>
                  <w:vAlign w:val="center"/>
                </w:tcPr>
                <w:p w14:paraId="1CCB267F">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固废处理控制</w:t>
                  </w:r>
                </w:p>
              </w:tc>
              <w:tc>
                <w:tcPr>
                  <w:tcW w:w="4395" w:type="dxa"/>
                  <w:tcBorders>
                    <w:right w:val="single" w:color="auto" w:sz="4" w:space="0"/>
                  </w:tcBorders>
                  <w:noWrap w:val="0"/>
                  <w:vAlign w:val="center"/>
                </w:tcPr>
                <w:p w14:paraId="7FB2328C">
                  <w:pPr>
                    <w:pStyle w:val="33"/>
                    <w:keepNext w:val="0"/>
                    <w:keepLines w:val="0"/>
                    <w:pageBreakBefore w:val="0"/>
                    <w:widowControl w:val="0"/>
                    <w:kinsoku/>
                    <w:wordWrap/>
                    <w:overflowPunct/>
                    <w:topLinePunct w:val="0"/>
                    <w:autoSpaceDE/>
                    <w:autoSpaceDN/>
                    <w:bidi w:val="0"/>
                    <w:adjustRightInd w:val="0"/>
                    <w:snapToGrid w:val="0"/>
                    <w:spacing w:after="0" w:line="240" w:lineRule="auto"/>
                    <w:ind w:left="0" w:leftChars="0"/>
                    <w:jc w:val="center"/>
                    <w:textAlignment w:val="auto"/>
                    <w:rPr>
                      <w:rFonts w:hint="default" w:ascii="Times New Roman" w:hAnsi="Times New Roman" w:eastAsia="宋体" w:cs="Times New Roman"/>
                      <w:color w:val="auto"/>
                      <w:sz w:val="18"/>
                      <w:szCs w:val="18"/>
                      <w:highlight w:val="yellow"/>
                      <w:lang w:val="en-US" w:eastAsia="zh-CN"/>
                    </w:rPr>
                  </w:pPr>
                  <w:r>
                    <w:rPr>
                      <w:rFonts w:hint="default" w:ascii="Times New Roman" w:hAnsi="Times New Roman" w:cs="Times New Roman"/>
                      <w:color w:val="auto"/>
                      <w:sz w:val="18"/>
                      <w:szCs w:val="18"/>
                      <w:highlight w:val="none"/>
                      <w:lang w:val="en-US" w:eastAsia="zh-CN"/>
                    </w:rPr>
                    <w:t>一般固废暂存处1处</w:t>
                  </w:r>
                </w:p>
              </w:tc>
              <w:tc>
                <w:tcPr>
                  <w:tcW w:w="1607" w:type="dxa"/>
                  <w:tcBorders>
                    <w:right w:val="single" w:color="auto" w:sz="4" w:space="0"/>
                  </w:tcBorders>
                  <w:noWrap w:val="0"/>
                  <w:vAlign w:val="center"/>
                </w:tcPr>
                <w:p w14:paraId="4334E7D5">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新建</w:t>
                  </w:r>
                </w:p>
              </w:tc>
            </w:tr>
          </w:tbl>
          <w:p w14:paraId="7B16CF3F">
            <w:pPr>
              <w:adjustRightInd w:val="0"/>
              <w:snapToGrid w:val="0"/>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3、工程总投资及环保投资</w:t>
            </w:r>
            <w:r>
              <w:rPr>
                <w:rFonts w:hint="default" w:ascii="Times New Roman" w:hAnsi="Times New Roman" w:cs="Times New Roman"/>
                <w:color w:val="auto"/>
                <w:highlight w:val="none"/>
              </w:rPr>
              <w:t>：工程总投资</w:t>
            </w:r>
            <w:r>
              <w:rPr>
                <w:rFonts w:hint="eastAsia" w:cs="Times New Roman"/>
                <w:color w:val="auto"/>
                <w:highlight w:val="none"/>
                <w:lang w:val="en-US" w:eastAsia="zh-CN"/>
              </w:rPr>
              <w:t>25</w:t>
            </w:r>
            <w:r>
              <w:rPr>
                <w:rFonts w:hint="default" w:ascii="Times New Roman" w:hAnsi="Times New Roman" w:cs="Times New Roman"/>
                <w:color w:val="auto"/>
                <w:highlight w:val="none"/>
              </w:rPr>
              <w:t>0</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0万元，</w:t>
            </w:r>
            <w:r>
              <w:rPr>
                <w:rFonts w:hint="eastAsia" w:cs="Times New Roman"/>
                <w:color w:val="auto"/>
                <w:highlight w:val="none"/>
                <w:lang w:val="en-US" w:eastAsia="zh-CN"/>
              </w:rPr>
              <w:t>其中一期项目投资15000万元，</w:t>
            </w:r>
            <w:r>
              <w:rPr>
                <w:rFonts w:hint="default" w:ascii="Times New Roman" w:hAnsi="Times New Roman" w:cs="Times New Roman"/>
                <w:color w:val="auto"/>
                <w:highlight w:val="none"/>
              </w:rPr>
              <w:t>环保投资</w:t>
            </w:r>
            <w:r>
              <w:rPr>
                <w:rFonts w:hint="eastAsia" w:cs="Times New Roman"/>
                <w:color w:val="auto"/>
                <w:highlight w:val="none"/>
                <w:lang w:val="en-US" w:eastAsia="zh-CN"/>
              </w:rPr>
              <w:t>20</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万元，占投资的</w:t>
            </w:r>
            <w:r>
              <w:rPr>
                <w:rFonts w:hint="eastAsia" w:cs="Times New Roman"/>
                <w:color w:val="auto"/>
                <w:highlight w:val="none"/>
                <w:lang w:val="en-US" w:eastAsia="zh-CN"/>
              </w:rPr>
              <w:t>1.33</w:t>
            </w:r>
            <w:r>
              <w:rPr>
                <w:rFonts w:hint="default" w:ascii="Times New Roman" w:hAnsi="Times New Roman" w:cs="Times New Roman"/>
                <w:color w:val="auto"/>
                <w:highlight w:val="none"/>
              </w:rPr>
              <w:t>%。</w:t>
            </w:r>
          </w:p>
          <w:p w14:paraId="0FE48F91">
            <w:pPr>
              <w:adjustRightInd w:val="0"/>
              <w:snapToGrid w:val="0"/>
              <w:spacing w:line="360" w:lineRule="auto"/>
              <w:ind w:firstLine="420" w:firstLineChars="200"/>
              <w:rPr>
                <w:rFonts w:hint="default" w:ascii="Times New Roman" w:hAnsi="Times New Roman" w:cs="Times New Roman"/>
                <w:color w:val="auto"/>
                <w:highlight w:val="yellow"/>
              </w:rPr>
            </w:pPr>
            <w:r>
              <w:rPr>
                <w:rFonts w:hint="default" w:ascii="Times New Roman" w:hAnsi="Times New Roman" w:cs="Times New Roman"/>
                <w:color w:val="auto"/>
                <w:kern w:val="0"/>
              </w:rPr>
              <w:t>4、</w:t>
            </w:r>
            <w:r>
              <w:rPr>
                <w:rFonts w:hint="default" w:ascii="Times New Roman" w:hAnsi="Times New Roman" w:cs="Times New Roman"/>
                <w:color w:val="auto"/>
              </w:rPr>
              <w:t>劳动制度及定员：</w:t>
            </w:r>
            <w:r>
              <w:rPr>
                <w:rFonts w:hint="eastAsia" w:cs="Times New Roman"/>
                <w:color w:val="auto"/>
                <w:lang w:val="en-US" w:eastAsia="zh-CN"/>
              </w:rPr>
              <w:t>一期</w:t>
            </w:r>
            <w:r>
              <w:rPr>
                <w:rFonts w:hint="default" w:ascii="Times New Roman" w:hAnsi="Times New Roman" w:cs="Times New Roman"/>
                <w:color w:val="auto"/>
                <w:lang w:eastAsia="zh-CN"/>
              </w:rPr>
              <w:t>项目</w:t>
            </w:r>
            <w:r>
              <w:rPr>
                <w:rFonts w:hint="default" w:ascii="Times New Roman" w:hAnsi="Times New Roman" w:cs="Times New Roman"/>
                <w:color w:val="auto"/>
                <w:highlight w:val="none"/>
              </w:rPr>
              <w:t>劳动定员</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人，年运行</w:t>
            </w:r>
            <w:r>
              <w:rPr>
                <w:rFonts w:hint="default" w:ascii="Times New Roman" w:hAnsi="Times New Roman" w:cs="Times New Roman"/>
                <w:color w:val="auto"/>
                <w:highlight w:val="none"/>
                <w:lang w:val="en-US" w:eastAsia="zh-CN"/>
              </w:rPr>
              <w:t>30</w:t>
            </w:r>
            <w:r>
              <w:rPr>
                <w:rFonts w:hint="default" w:ascii="Times New Roman" w:hAnsi="Times New Roman" w:cs="Times New Roman"/>
                <w:color w:val="auto"/>
                <w:highlight w:val="none"/>
              </w:rPr>
              <w:t>0天</w:t>
            </w:r>
            <w:r>
              <w:rPr>
                <w:rFonts w:hint="eastAsia" w:cs="Times New Roman"/>
                <w:color w:val="auto"/>
                <w:highlight w:val="none"/>
                <w:lang w:eastAsia="zh-CN"/>
              </w:rPr>
              <w:t>，</w:t>
            </w:r>
            <w:r>
              <w:rPr>
                <w:rFonts w:hint="default" w:ascii="Times New Roman" w:hAnsi="Times New Roman" w:cs="Times New Roman"/>
                <w:color w:val="auto"/>
                <w:highlight w:val="none"/>
                <w:lang w:eastAsia="zh-CN"/>
              </w:rPr>
              <w:t>三班</w:t>
            </w:r>
            <w:r>
              <w:rPr>
                <w:rFonts w:hint="default" w:ascii="Times New Roman" w:hAnsi="Times New Roman" w:cs="Times New Roman"/>
                <w:color w:val="auto"/>
                <w:highlight w:val="none"/>
                <w:lang w:val="en-US" w:eastAsia="zh-CN"/>
              </w:rPr>
              <w:t>工作制，每</w:t>
            </w:r>
            <w:r>
              <w:rPr>
                <w:rFonts w:hint="default" w:ascii="Times New Roman" w:hAnsi="Times New Roman" w:cs="Times New Roman"/>
                <w:color w:val="auto"/>
                <w:highlight w:val="none"/>
              </w:rPr>
              <w:t>班</w:t>
            </w:r>
            <w:r>
              <w:rPr>
                <w:rFonts w:hint="default" w:ascii="Times New Roman" w:hAnsi="Times New Roman" w:cs="Times New Roman"/>
                <w:color w:val="auto"/>
                <w:highlight w:val="none"/>
                <w:lang w:val="en-US" w:eastAsia="zh-CN"/>
              </w:rPr>
              <w:t>8h</w:t>
            </w:r>
            <w:r>
              <w:rPr>
                <w:rFonts w:hint="eastAsia" w:cs="Times New Roman"/>
                <w:color w:val="auto"/>
                <w:highlight w:val="none"/>
                <w:lang w:val="en-US" w:eastAsia="zh-CN"/>
              </w:rPr>
              <w:t>，设有宿舍和食堂，其中8人住宿</w:t>
            </w:r>
            <w:r>
              <w:rPr>
                <w:rFonts w:hint="default" w:ascii="Times New Roman" w:hAnsi="Times New Roman" w:cs="Times New Roman"/>
                <w:color w:val="auto"/>
                <w:highlight w:val="none"/>
              </w:rPr>
              <w:t>。</w:t>
            </w:r>
          </w:p>
          <w:p w14:paraId="26528DEC">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rPr>
              <w:t>5、平面布置</w:t>
            </w:r>
          </w:p>
          <w:p w14:paraId="38DA6508">
            <w:pPr>
              <w:tabs>
                <w:tab w:val="left" w:pos="1800"/>
              </w:tabs>
              <w:adjustRightInd w:val="0"/>
              <w:snapToGrid w:val="0"/>
              <w:spacing w:line="360" w:lineRule="auto"/>
              <w:ind w:firstLine="420" w:firstLineChars="200"/>
              <w:rPr>
                <w:rFonts w:hint="default" w:ascii="Times New Roman" w:hAnsi="Times New Roman" w:cs="Times New Roman"/>
                <w:bCs/>
                <w:color w:val="auto"/>
                <w:highlight w:val="none"/>
                <w:lang w:val="de-DE"/>
              </w:rPr>
            </w:pPr>
            <w:r>
              <w:rPr>
                <w:rFonts w:hint="default" w:ascii="Times New Roman" w:hAnsi="Times New Roman" w:cs="Times New Roman"/>
                <w:color w:val="auto"/>
                <w:kern w:val="0"/>
                <w:highlight w:val="none"/>
                <w:lang w:val="de-DE"/>
              </w:rPr>
              <w:t>①地理位</w:t>
            </w:r>
            <w:r>
              <w:rPr>
                <w:rFonts w:hint="default" w:ascii="Times New Roman" w:hAnsi="Times New Roman" w:cs="Times New Roman"/>
                <w:color w:val="auto"/>
                <w:kern w:val="0"/>
                <w:highlight w:val="none"/>
                <w:lang w:bidi="ar"/>
              </w:rPr>
              <w:t>置：</w:t>
            </w:r>
            <w:r>
              <w:rPr>
                <w:rFonts w:hint="eastAsia" w:cs="Times New Roman"/>
                <w:color w:val="auto"/>
                <w:kern w:val="0"/>
                <w:highlight w:val="none"/>
                <w:lang w:eastAsia="zh-CN" w:bidi="ar"/>
              </w:rPr>
              <w:t>一期项目</w:t>
            </w:r>
            <w:r>
              <w:rPr>
                <w:rFonts w:hint="default" w:ascii="Times New Roman" w:hAnsi="Times New Roman" w:cs="Times New Roman"/>
                <w:color w:val="auto"/>
                <w:kern w:val="0"/>
                <w:highlight w:val="none"/>
                <w:lang w:bidi="ar"/>
              </w:rPr>
              <w:t>位于</w:t>
            </w:r>
            <w:r>
              <w:rPr>
                <w:rFonts w:hint="eastAsia" w:cs="Times New Roman"/>
                <w:color w:val="auto"/>
                <w:highlight w:val="none"/>
                <w:lang w:eastAsia="zh-CN"/>
              </w:rPr>
              <w:t>山东省淄博市淄川区双杨镇赵瓦村102省道与张博路交叉口东北200米</w:t>
            </w:r>
            <w:r>
              <w:rPr>
                <w:rFonts w:hint="default" w:ascii="Times New Roman" w:hAnsi="Times New Roman" w:cs="Times New Roman"/>
                <w:color w:val="auto"/>
                <w:kern w:val="0"/>
                <w:highlight w:val="none"/>
                <w:lang w:bidi="ar"/>
              </w:rPr>
              <w:t>，地理坐标为</w:t>
            </w:r>
            <w:r>
              <w:rPr>
                <w:rFonts w:hint="default" w:ascii="Times New Roman" w:hAnsi="Times New Roman" w:cs="Times New Roman"/>
                <w:bCs/>
                <w:color w:val="auto"/>
                <w:highlight w:val="none"/>
              </w:rPr>
              <w:t>东经118°00′17.576"、北纬</w:t>
            </w:r>
            <w:r>
              <w:rPr>
                <w:rFonts w:hint="default" w:ascii="Times New Roman" w:hAnsi="Times New Roman" w:cs="Times New Roman"/>
                <w:bCs/>
                <w:color w:val="auto"/>
                <w:highlight w:val="none"/>
                <w:lang w:eastAsia="zh-CN"/>
              </w:rPr>
              <w:t>36°4</w:t>
            </w:r>
            <w:r>
              <w:rPr>
                <w:rFonts w:hint="eastAsia" w:cs="Times New Roman"/>
                <w:bCs/>
                <w:color w:val="auto"/>
                <w:highlight w:val="none"/>
                <w:lang w:val="en-US" w:eastAsia="zh-CN"/>
              </w:rPr>
              <w:t>2</w:t>
            </w:r>
            <w:r>
              <w:rPr>
                <w:rFonts w:hint="default" w:ascii="Times New Roman" w:hAnsi="Times New Roman" w:cs="Times New Roman"/>
                <w:bCs/>
                <w:color w:val="auto"/>
                <w:highlight w:val="none"/>
                <w:lang w:eastAsia="zh-CN"/>
              </w:rPr>
              <w:t>′</w:t>
            </w:r>
            <w:r>
              <w:rPr>
                <w:rFonts w:hint="eastAsia" w:cs="Times New Roman"/>
                <w:bCs/>
                <w:color w:val="auto"/>
                <w:highlight w:val="none"/>
                <w:lang w:val="en-US" w:eastAsia="zh-CN"/>
              </w:rPr>
              <w:t>24.301</w:t>
            </w:r>
            <w:r>
              <w:rPr>
                <w:rFonts w:hint="default" w:ascii="Times New Roman" w:hAnsi="Times New Roman" w:cs="Times New Roman"/>
                <w:bCs/>
                <w:color w:val="auto"/>
                <w:highlight w:val="none"/>
                <w:lang w:eastAsia="zh-CN"/>
              </w:rPr>
              <w:t>"</w:t>
            </w:r>
            <w:r>
              <w:rPr>
                <w:rFonts w:hint="default" w:ascii="Times New Roman" w:hAnsi="Times New Roman" w:cs="Times New Roman"/>
                <w:color w:val="auto"/>
                <w:highlight w:val="none"/>
              </w:rPr>
              <w:t>，</w:t>
            </w:r>
            <w:r>
              <w:rPr>
                <w:rFonts w:hint="default" w:ascii="Times New Roman" w:hAnsi="Times New Roman" w:cs="Times New Roman"/>
                <w:color w:val="auto"/>
                <w:kern w:val="0"/>
                <w:highlight w:val="none"/>
                <w:lang w:bidi="ar"/>
              </w:rPr>
              <w:t>详细地理位置见附图</w:t>
            </w:r>
            <w:r>
              <w:rPr>
                <w:rFonts w:hint="default" w:ascii="Times New Roman" w:hAnsi="Times New Roman" w:cs="Times New Roman"/>
                <w:color w:val="auto"/>
                <w:kern w:val="0"/>
                <w:highlight w:val="none"/>
                <w:lang w:val="en-US" w:eastAsia="zh-CN" w:bidi="ar"/>
              </w:rPr>
              <w:t>2-</w:t>
            </w:r>
            <w:r>
              <w:rPr>
                <w:rFonts w:hint="default" w:ascii="Times New Roman" w:hAnsi="Times New Roman" w:cs="Times New Roman"/>
                <w:color w:val="auto"/>
                <w:kern w:val="0"/>
                <w:highlight w:val="none"/>
                <w:lang w:bidi="ar"/>
              </w:rPr>
              <w:t>1。</w:t>
            </w:r>
          </w:p>
          <w:p w14:paraId="12DB74DA">
            <w:pPr>
              <w:tabs>
                <w:tab w:val="left" w:pos="1800"/>
              </w:tabs>
              <w:adjustRightInd w:val="0"/>
              <w:snapToGrid w:val="0"/>
              <w:spacing w:line="360" w:lineRule="auto"/>
              <w:ind w:firstLine="420" w:firstLineChars="200"/>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②周边关</w:t>
            </w:r>
            <w:r>
              <w:rPr>
                <w:rFonts w:hint="default" w:ascii="Times New Roman" w:hAnsi="Times New Roman" w:cs="Times New Roman"/>
                <w:color w:val="auto"/>
                <w:spacing w:val="10"/>
                <w:highlight w:val="none"/>
              </w:rPr>
              <w:t>系：</w:t>
            </w:r>
            <w:r>
              <w:rPr>
                <w:rFonts w:hint="eastAsia" w:cs="Times New Roman"/>
                <w:color w:val="auto"/>
                <w:spacing w:val="10"/>
                <w:highlight w:val="none"/>
                <w:lang w:eastAsia="zh-CN"/>
              </w:rPr>
              <w:t>一期项目</w:t>
            </w:r>
            <w:r>
              <w:rPr>
                <w:rFonts w:hint="default" w:ascii="Times New Roman" w:hAnsi="Times New Roman" w:cs="Times New Roman"/>
                <w:color w:val="auto"/>
                <w:spacing w:val="10"/>
                <w:highlight w:val="none"/>
              </w:rPr>
              <w:t>位于</w:t>
            </w:r>
            <w:r>
              <w:rPr>
                <w:rFonts w:hint="eastAsia" w:cs="Times New Roman"/>
                <w:color w:val="auto"/>
                <w:spacing w:val="10"/>
                <w:highlight w:val="none"/>
                <w:lang w:eastAsia="zh-CN"/>
              </w:rPr>
              <w:t>山东省淄博市淄川区双杨镇赵瓦村102省道与张博路交叉口东北200米</w:t>
            </w:r>
            <w:r>
              <w:rPr>
                <w:rFonts w:hint="default" w:ascii="Times New Roman" w:hAnsi="Times New Roman" w:cs="Times New Roman"/>
                <w:color w:val="auto"/>
                <w:spacing w:val="10"/>
                <w:highlight w:val="none"/>
              </w:rPr>
              <w:t>。项目东侧</w:t>
            </w:r>
            <w:r>
              <w:rPr>
                <w:rFonts w:hint="default" w:ascii="Times New Roman" w:hAnsi="Times New Roman" w:cs="Times New Roman"/>
                <w:color w:val="auto"/>
                <w:spacing w:val="10"/>
                <w:highlight w:val="none"/>
                <w:lang w:eastAsia="zh-CN"/>
              </w:rPr>
              <w:t>、</w:t>
            </w:r>
            <w:r>
              <w:rPr>
                <w:rFonts w:hint="eastAsia" w:cs="Times New Roman"/>
                <w:color w:val="auto"/>
                <w:spacing w:val="10"/>
                <w:highlight w:val="none"/>
                <w:lang w:val="en-US" w:eastAsia="zh-CN"/>
              </w:rPr>
              <w:t>西</w:t>
            </w:r>
            <w:r>
              <w:rPr>
                <w:rFonts w:hint="default" w:ascii="Times New Roman" w:hAnsi="Times New Roman" w:cs="Times New Roman"/>
                <w:color w:val="auto"/>
                <w:spacing w:val="10"/>
                <w:highlight w:val="none"/>
                <w:lang w:val="en-US" w:eastAsia="zh-CN"/>
              </w:rPr>
              <w:t>侧均</w:t>
            </w:r>
            <w:r>
              <w:rPr>
                <w:rFonts w:hint="default" w:ascii="Times New Roman" w:hAnsi="Times New Roman" w:cs="Times New Roman"/>
                <w:color w:val="auto"/>
                <w:spacing w:val="10"/>
                <w:highlight w:val="none"/>
                <w:lang w:eastAsia="zh-CN"/>
              </w:rPr>
              <w:t>为</w:t>
            </w:r>
            <w:r>
              <w:rPr>
                <w:rFonts w:hint="eastAsia" w:cs="Times New Roman"/>
                <w:color w:val="auto"/>
                <w:spacing w:val="10"/>
                <w:highlight w:val="none"/>
                <w:lang w:val="en-US" w:eastAsia="zh-CN"/>
              </w:rPr>
              <w:t>空地</w:t>
            </w:r>
            <w:r>
              <w:rPr>
                <w:rFonts w:hint="default" w:ascii="Times New Roman" w:hAnsi="Times New Roman" w:cs="Times New Roman"/>
                <w:color w:val="auto"/>
                <w:spacing w:val="10"/>
                <w:highlight w:val="none"/>
              </w:rPr>
              <w:t>，</w:t>
            </w:r>
            <w:r>
              <w:rPr>
                <w:rFonts w:hint="default" w:ascii="Times New Roman" w:hAnsi="Times New Roman" w:cs="Times New Roman"/>
                <w:color w:val="auto"/>
                <w:spacing w:val="10"/>
                <w:highlight w:val="none"/>
                <w:lang w:val="en-US" w:eastAsia="zh-CN"/>
              </w:rPr>
              <w:t>南侧为</w:t>
            </w:r>
            <w:r>
              <w:rPr>
                <w:rFonts w:hint="eastAsia" w:cs="Times New Roman"/>
                <w:color w:val="auto"/>
                <w:spacing w:val="10"/>
                <w:highlight w:val="none"/>
                <w:lang w:val="en-US" w:eastAsia="zh-CN"/>
              </w:rPr>
              <w:t>102省道，北侧为山东东瓷科技有限公司</w:t>
            </w:r>
            <w:r>
              <w:rPr>
                <w:rFonts w:hint="default" w:ascii="Times New Roman" w:hAnsi="Times New Roman" w:cs="Times New Roman"/>
                <w:color w:val="auto"/>
                <w:spacing w:val="10"/>
                <w:highlight w:val="none"/>
              </w:rPr>
              <w:t>。</w:t>
            </w:r>
            <w:r>
              <w:rPr>
                <w:rFonts w:hint="eastAsia" w:cs="Times New Roman"/>
                <w:color w:val="auto"/>
                <w:spacing w:val="10"/>
                <w:highlight w:val="none"/>
                <w:lang w:eastAsia="zh-CN"/>
              </w:rPr>
              <w:t>项目</w:t>
            </w:r>
            <w:r>
              <w:rPr>
                <w:rFonts w:hint="default" w:ascii="Times New Roman" w:hAnsi="Times New Roman" w:cs="Times New Roman"/>
                <w:color w:val="auto"/>
                <w:spacing w:val="10"/>
                <w:highlight w:val="none"/>
                <w:lang w:val="en-US" w:eastAsia="zh-CN"/>
              </w:rPr>
              <w:t>东</w:t>
            </w:r>
            <w:r>
              <w:rPr>
                <w:rFonts w:hint="eastAsia" w:cs="Times New Roman"/>
                <w:color w:val="auto"/>
                <w:spacing w:val="10"/>
                <w:highlight w:val="none"/>
                <w:lang w:val="en-US" w:eastAsia="zh-CN"/>
              </w:rPr>
              <w:t>南</w:t>
            </w:r>
            <w:r>
              <w:rPr>
                <w:rFonts w:hint="default" w:ascii="Times New Roman" w:hAnsi="Times New Roman" w:cs="Times New Roman"/>
                <w:color w:val="auto"/>
                <w:spacing w:val="10"/>
                <w:highlight w:val="none"/>
              </w:rPr>
              <w:t>侧距离</w:t>
            </w:r>
            <w:r>
              <w:rPr>
                <w:rFonts w:hint="default" w:ascii="Times New Roman" w:hAnsi="Times New Roman" w:cs="Times New Roman"/>
                <w:color w:val="auto"/>
                <w:spacing w:val="10"/>
                <w:highlight w:val="none"/>
                <w:lang w:val="en-US" w:eastAsia="zh-CN"/>
              </w:rPr>
              <w:t>凤凰</w:t>
            </w:r>
            <w:r>
              <w:rPr>
                <w:rFonts w:hint="eastAsia" w:cs="Times New Roman"/>
                <w:color w:val="auto"/>
                <w:spacing w:val="10"/>
                <w:highlight w:val="none"/>
                <w:lang w:val="en-US" w:eastAsia="zh-CN"/>
              </w:rPr>
              <w:t>村</w:t>
            </w:r>
            <w:r>
              <w:rPr>
                <w:rFonts w:hint="default" w:ascii="Times New Roman" w:hAnsi="Times New Roman" w:cs="Times New Roman"/>
                <w:color w:val="auto"/>
                <w:spacing w:val="10"/>
                <w:highlight w:val="none"/>
                <w:lang w:val="en-US" w:eastAsia="zh-CN"/>
              </w:rPr>
              <w:t>5</w:t>
            </w:r>
            <w:r>
              <w:rPr>
                <w:rFonts w:hint="eastAsia" w:cs="Times New Roman"/>
                <w:color w:val="auto"/>
                <w:spacing w:val="10"/>
                <w:highlight w:val="none"/>
                <w:lang w:val="en-US" w:eastAsia="zh-CN"/>
              </w:rPr>
              <w:t>40</w:t>
            </w:r>
            <w:r>
              <w:rPr>
                <w:rFonts w:hint="default" w:ascii="Times New Roman" w:hAnsi="Times New Roman" w:cs="Times New Roman"/>
                <w:color w:val="auto"/>
                <w:spacing w:val="10"/>
                <w:highlight w:val="none"/>
                <w:lang w:val="en-US" w:eastAsia="zh-CN"/>
              </w:rPr>
              <w:t>m，</w:t>
            </w:r>
            <w:r>
              <w:rPr>
                <w:rFonts w:hint="eastAsia" w:cs="Times New Roman"/>
                <w:color w:val="auto"/>
                <w:spacing w:val="10"/>
                <w:highlight w:val="none"/>
                <w:lang w:val="en-US" w:eastAsia="zh-CN"/>
              </w:rPr>
              <w:t>南侧距离杨兰村537m，</w:t>
            </w:r>
            <w:r>
              <w:rPr>
                <w:rFonts w:hint="default" w:ascii="Times New Roman" w:hAnsi="Times New Roman" w:cs="Times New Roman"/>
                <w:color w:val="auto"/>
                <w:spacing w:val="10"/>
                <w:highlight w:val="none"/>
                <w:lang w:val="en-US" w:eastAsia="zh-CN"/>
              </w:rPr>
              <w:t>西南侧距离</w:t>
            </w:r>
            <w:r>
              <w:rPr>
                <w:rFonts w:hint="eastAsia" w:cs="Times New Roman"/>
                <w:color w:val="auto"/>
                <w:spacing w:val="10"/>
                <w:highlight w:val="none"/>
                <w:lang w:val="en-US" w:eastAsia="zh-CN"/>
              </w:rPr>
              <w:t>杨兰村496</w:t>
            </w:r>
            <w:r>
              <w:rPr>
                <w:rFonts w:hint="default" w:ascii="Times New Roman" w:hAnsi="Times New Roman" w:cs="Times New Roman"/>
                <w:color w:val="auto"/>
                <w:spacing w:val="10"/>
                <w:highlight w:val="none"/>
                <w:lang w:val="en-US" w:eastAsia="zh-CN"/>
              </w:rPr>
              <w:t>m、西北侧距</w:t>
            </w:r>
            <w:r>
              <w:rPr>
                <w:rFonts w:hint="eastAsia" w:cs="Times New Roman"/>
                <w:color w:val="auto"/>
                <w:spacing w:val="10"/>
                <w:highlight w:val="none"/>
                <w:lang w:val="en-US" w:eastAsia="zh-CN"/>
              </w:rPr>
              <w:t>宝塔</w:t>
            </w:r>
            <w:r>
              <w:rPr>
                <w:rFonts w:hint="default" w:ascii="Times New Roman" w:hAnsi="Times New Roman" w:cs="Times New Roman"/>
                <w:color w:val="auto"/>
                <w:spacing w:val="10"/>
                <w:highlight w:val="none"/>
                <w:lang w:val="en-US" w:eastAsia="zh-CN"/>
              </w:rPr>
              <w:t>社区</w:t>
            </w:r>
            <w:r>
              <w:rPr>
                <w:rFonts w:hint="eastAsia" w:cs="Times New Roman"/>
                <w:color w:val="auto"/>
                <w:spacing w:val="10"/>
                <w:highlight w:val="none"/>
                <w:lang w:val="en-US" w:eastAsia="zh-CN"/>
              </w:rPr>
              <w:t>790</w:t>
            </w:r>
            <w:r>
              <w:rPr>
                <w:rFonts w:hint="default" w:ascii="Times New Roman" w:hAnsi="Times New Roman" w:cs="Times New Roman"/>
                <w:color w:val="auto"/>
                <w:spacing w:val="10"/>
                <w:highlight w:val="none"/>
                <w:lang w:val="en-US" w:eastAsia="zh-CN"/>
              </w:rPr>
              <w:t>m</w:t>
            </w:r>
            <w:r>
              <w:rPr>
                <w:rFonts w:hint="default" w:ascii="Times New Roman" w:hAnsi="Times New Roman" w:cs="Times New Roman"/>
                <w:color w:val="auto"/>
                <w:spacing w:val="10"/>
                <w:highlight w:val="none"/>
              </w:rPr>
              <w:t>。项目所在地理位置优越，交通便利。周边关系详见附图</w:t>
            </w:r>
            <w:r>
              <w:rPr>
                <w:rFonts w:hint="default" w:ascii="Times New Roman" w:hAnsi="Times New Roman" w:cs="Times New Roman"/>
                <w:color w:val="auto"/>
                <w:spacing w:val="10"/>
                <w:highlight w:val="none"/>
                <w:lang w:val="en-US" w:eastAsia="zh-CN"/>
              </w:rPr>
              <w:t>2-</w:t>
            </w:r>
            <w:r>
              <w:rPr>
                <w:rFonts w:hint="default" w:ascii="Times New Roman" w:hAnsi="Times New Roman" w:cs="Times New Roman"/>
                <w:color w:val="auto"/>
                <w:spacing w:val="10"/>
                <w:highlight w:val="none"/>
              </w:rPr>
              <w:t>2。</w:t>
            </w:r>
          </w:p>
          <w:p w14:paraId="41B9D452">
            <w:pPr>
              <w:adjustRightInd w:val="0"/>
              <w:snapToGrid w:val="0"/>
              <w:spacing w:line="360" w:lineRule="auto"/>
              <w:ind w:firstLine="420" w:firstLineChars="20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③平面布置及合理性分析：</w:t>
            </w:r>
            <w:r>
              <w:rPr>
                <w:rFonts w:hint="eastAsia" w:cs="Times New Roman"/>
                <w:color w:val="auto"/>
                <w:kern w:val="0"/>
                <w:highlight w:val="none"/>
                <w:lang w:eastAsia="zh-CN"/>
              </w:rPr>
              <w:t>一期项目</w:t>
            </w:r>
            <w:r>
              <w:rPr>
                <w:rFonts w:hint="default" w:ascii="Times New Roman" w:hAnsi="Times New Roman" w:cs="Times New Roman"/>
                <w:color w:val="auto"/>
                <w:kern w:val="0"/>
                <w:highlight w:val="none"/>
                <w:lang w:val="en-US" w:eastAsia="zh-CN"/>
              </w:rPr>
              <w:t>主要</w:t>
            </w:r>
            <w:r>
              <w:rPr>
                <w:rFonts w:hint="eastAsia" w:cs="Times New Roman"/>
                <w:color w:val="auto"/>
                <w:kern w:val="0"/>
                <w:highlight w:val="none"/>
                <w:lang w:val="en-US" w:eastAsia="zh-CN"/>
              </w:rPr>
              <w:t>包括1座生产车间、1座原料仓库、2座产品仓库、1座办公楼，整个厂房由东向西依次为原料仓库、生产车间、产品仓库，办公楼位于厂区的西侧</w:t>
            </w:r>
            <w:r>
              <w:rPr>
                <w:rFonts w:hint="default" w:ascii="Times New Roman" w:hAnsi="Times New Roman" w:cs="Times New Roman"/>
                <w:color w:val="auto"/>
                <w:kern w:val="0"/>
                <w:highlight w:val="none"/>
              </w:rPr>
              <w:t>。项目生产总平面布置较好的满足了工艺流程的顺畅性，体现了物料输送的便捷性，使物料的输送简单化，方便了生产，厂区平面布置基本合理。厂区平面布置图详见附图</w:t>
            </w:r>
            <w:r>
              <w:rPr>
                <w:rFonts w:hint="default" w:ascii="Times New Roman" w:hAnsi="Times New Roman" w:cs="Times New Roman"/>
                <w:color w:val="auto"/>
                <w:kern w:val="0"/>
                <w:highlight w:val="none"/>
                <w:lang w:val="en-US" w:eastAsia="zh-CN"/>
              </w:rPr>
              <w:t>2-</w:t>
            </w:r>
            <w:r>
              <w:rPr>
                <w:rFonts w:hint="default" w:ascii="Times New Roman" w:hAnsi="Times New Roman" w:cs="Times New Roman"/>
                <w:color w:val="auto"/>
                <w:kern w:val="0"/>
                <w:highlight w:val="none"/>
              </w:rPr>
              <w:t>3。</w:t>
            </w:r>
          </w:p>
          <w:p w14:paraId="46FD5FA1">
            <w:pPr>
              <w:adjustRightInd w:val="0"/>
              <w:snapToGrid w:val="0"/>
              <w:spacing w:line="360" w:lineRule="auto"/>
              <w:ind w:firstLine="420" w:firstLineChars="200"/>
              <w:jc w:val="left"/>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6、</w:t>
            </w:r>
            <w:r>
              <w:rPr>
                <w:rFonts w:hint="default" w:ascii="Times New Roman" w:hAnsi="Times New Roman" w:cs="Times New Roman"/>
                <w:color w:val="auto"/>
                <w:kern w:val="0"/>
                <w:highlight w:val="none"/>
                <w:lang w:eastAsia="zh-CN"/>
              </w:rPr>
              <w:t>拟</w:t>
            </w:r>
            <w:r>
              <w:rPr>
                <w:rFonts w:hint="default" w:ascii="Times New Roman" w:hAnsi="Times New Roman" w:cs="Times New Roman"/>
                <w:color w:val="auto"/>
                <w:kern w:val="0"/>
                <w:highlight w:val="none"/>
              </w:rPr>
              <w:t>投产日期：</w:t>
            </w:r>
            <w:r>
              <w:rPr>
                <w:rFonts w:hint="eastAsia" w:cs="Times New Roman"/>
                <w:color w:val="auto"/>
                <w:kern w:val="0"/>
                <w:highlight w:val="none"/>
                <w:lang w:val="en-US" w:eastAsia="zh-CN"/>
              </w:rPr>
              <w:t>一期</w:t>
            </w:r>
            <w:r>
              <w:rPr>
                <w:rFonts w:hint="default" w:ascii="Times New Roman" w:hAnsi="Times New Roman" w:cs="Times New Roman"/>
                <w:color w:val="auto"/>
                <w:kern w:val="0"/>
                <w:highlight w:val="none"/>
              </w:rPr>
              <w:t>项目拟于202</w:t>
            </w:r>
            <w:r>
              <w:rPr>
                <w:rFonts w:hint="eastAsia" w:cs="Times New Roman"/>
                <w:color w:val="auto"/>
                <w:kern w:val="0"/>
                <w:highlight w:val="none"/>
                <w:lang w:val="en-US" w:eastAsia="zh-CN"/>
              </w:rPr>
              <w:t>4</w:t>
            </w:r>
            <w:r>
              <w:rPr>
                <w:rFonts w:hint="default" w:ascii="Times New Roman" w:hAnsi="Times New Roman" w:cs="Times New Roman"/>
                <w:color w:val="auto"/>
                <w:kern w:val="0"/>
                <w:highlight w:val="none"/>
              </w:rPr>
              <w:t>年</w:t>
            </w:r>
            <w:r>
              <w:rPr>
                <w:rFonts w:hint="eastAsia" w:cs="Times New Roman"/>
                <w:color w:val="auto"/>
                <w:kern w:val="0"/>
                <w:highlight w:val="none"/>
                <w:lang w:val="en-US" w:eastAsia="zh-CN"/>
              </w:rPr>
              <w:t>12</w:t>
            </w:r>
            <w:r>
              <w:rPr>
                <w:rFonts w:hint="default" w:ascii="Times New Roman" w:hAnsi="Times New Roman" w:cs="Times New Roman"/>
                <w:color w:val="auto"/>
                <w:kern w:val="0"/>
                <w:highlight w:val="none"/>
              </w:rPr>
              <w:t>月投产。</w:t>
            </w:r>
          </w:p>
          <w:p w14:paraId="1EC76EE2">
            <w:pPr>
              <w:adjustRightInd w:val="0"/>
              <w:snapToGrid w:val="0"/>
              <w:spacing w:line="360" w:lineRule="auto"/>
              <w:ind w:firstLine="420" w:firstLineChars="20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7、产品方案</w:t>
            </w:r>
          </w:p>
          <w:p w14:paraId="3D280A8F">
            <w:pPr>
              <w:adjustRightInd w:val="0"/>
              <w:snapToGrid w:val="0"/>
              <w:spacing w:line="360" w:lineRule="auto"/>
              <w:ind w:firstLine="420" w:firstLineChars="200"/>
              <w:rPr>
                <w:rFonts w:hint="default" w:ascii="Times New Roman" w:hAnsi="Times New Roman" w:cs="Times New Roman"/>
                <w:color w:val="auto"/>
              </w:rPr>
            </w:pPr>
            <w:r>
              <w:rPr>
                <w:rFonts w:hint="eastAsia" w:cs="Times New Roman"/>
                <w:color w:val="auto"/>
                <w:lang w:eastAsia="zh-CN"/>
              </w:rPr>
              <w:t>一期项目</w:t>
            </w:r>
            <w:r>
              <w:rPr>
                <w:rFonts w:hint="default" w:ascii="Times New Roman" w:hAnsi="Times New Roman" w:cs="Times New Roman"/>
                <w:color w:val="auto"/>
              </w:rPr>
              <w:t>产能见表2-</w:t>
            </w:r>
            <w:r>
              <w:rPr>
                <w:rFonts w:hint="eastAsia" w:cs="Times New Roman"/>
                <w:color w:val="auto"/>
                <w:lang w:val="en-US" w:eastAsia="zh-CN"/>
              </w:rPr>
              <w:t>2</w:t>
            </w:r>
            <w:r>
              <w:rPr>
                <w:rFonts w:hint="default" w:ascii="Times New Roman" w:hAnsi="Times New Roman" w:cs="Times New Roman"/>
                <w:color w:val="auto"/>
              </w:rPr>
              <w:t>。</w:t>
            </w:r>
          </w:p>
          <w:p w14:paraId="7F09D359">
            <w:pPr>
              <w:adjustRightInd w:val="0"/>
              <w:snapToGrid w:val="0"/>
              <w:spacing w:line="360" w:lineRule="auto"/>
              <w:jc w:val="center"/>
              <w:rPr>
                <w:rFonts w:hint="default" w:ascii="Times New Roman" w:hAnsi="Times New Roman" w:cs="Times New Roman"/>
                <w:snapToGrid w:val="0"/>
                <w:color w:val="auto"/>
                <w:kern w:val="0"/>
              </w:rPr>
            </w:pPr>
            <w:r>
              <w:rPr>
                <w:rFonts w:hint="default" w:ascii="Times New Roman" w:hAnsi="Times New Roman" w:cs="Times New Roman"/>
                <w:b/>
                <w:color w:val="auto"/>
                <w:kern w:val="0"/>
              </w:rPr>
              <w:t>表2-</w:t>
            </w:r>
            <w:r>
              <w:rPr>
                <w:rFonts w:hint="eastAsia" w:cs="Times New Roman"/>
                <w:b/>
                <w:color w:val="auto"/>
                <w:kern w:val="0"/>
                <w:lang w:val="en-US" w:eastAsia="zh-CN"/>
              </w:rPr>
              <w:t>2一期</w:t>
            </w:r>
            <w:r>
              <w:rPr>
                <w:rFonts w:hint="default" w:ascii="Times New Roman" w:hAnsi="Times New Roman" w:cs="Times New Roman"/>
                <w:b/>
                <w:color w:val="auto"/>
                <w:kern w:val="0"/>
              </w:rPr>
              <w:t>项目产品方案一览表</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5"/>
              <w:gridCol w:w="1194"/>
              <w:gridCol w:w="1335"/>
              <w:gridCol w:w="1648"/>
              <w:gridCol w:w="3283"/>
            </w:tblGrid>
            <w:tr w14:paraId="29461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562" w:type="pct"/>
                  <w:tcBorders>
                    <w:tl2br w:val="nil"/>
                    <w:tr2bl w:val="nil"/>
                  </w:tcBorders>
                  <w:vAlign w:val="center"/>
                </w:tcPr>
                <w:p w14:paraId="2E08F544">
                  <w:pPr>
                    <w:spacing w:line="360" w:lineRule="exact"/>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序号</w:t>
                  </w:r>
                </w:p>
              </w:tc>
              <w:tc>
                <w:tcPr>
                  <w:tcW w:w="710" w:type="pct"/>
                  <w:tcBorders>
                    <w:tl2br w:val="nil"/>
                    <w:tr2bl w:val="nil"/>
                  </w:tcBorders>
                  <w:vAlign w:val="center"/>
                </w:tcPr>
                <w:p w14:paraId="547CE134">
                  <w:pPr>
                    <w:spacing w:line="360" w:lineRule="exact"/>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名称</w:t>
                  </w:r>
                </w:p>
              </w:tc>
              <w:tc>
                <w:tcPr>
                  <w:tcW w:w="794" w:type="pct"/>
                  <w:tcBorders>
                    <w:tl2br w:val="nil"/>
                    <w:tr2bl w:val="nil"/>
                  </w:tcBorders>
                  <w:vAlign w:val="center"/>
                </w:tcPr>
                <w:p w14:paraId="31B49C4B">
                  <w:pPr>
                    <w:spacing w:line="360" w:lineRule="exact"/>
                    <w:jc w:val="center"/>
                    <w:rPr>
                      <w:rFonts w:hint="default" w:ascii="Times New Roman" w:hAnsi="Times New Roman" w:eastAsia="宋体" w:cs="Times New Roman"/>
                      <w:b/>
                      <w:color w:val="auto"/>
                      <w:sz w:val="18"/>
                      <w:szCs w:val="18"/>
                      <w:lang w:val="en-US" w:eastAsia="zh-CN"/>
                    </w:rPr>
                  </w:pPr>
                  <w:r>
                    <w:rPr>
                      <w:rFonts w:hint="eastAsia" w:cs="Times New Roman"/>
                      <w:b/>
                      <w:color w:val="auto"/>
                      <w:sz w:val="18"/>
                      <w:szCs w:val="18"/>
                      <w:lang w:val="en-US" w:eastAsia="zh-CN"/>
                    </w:rPr>
                    <w:t>规格</w:t>
                  </w:r>
                </w:p>
              </w:tc>
              <w:tc>
                <w:tcPr>
                  <w:tcW w:w="980" w:type="pct"/>
                  <w:tcBorders>
                    <w:tl2br w:val="nil"/>
                    <w:tr2bl w:val="nil"/>
                  </w:tcBorders>
                  <w:vAlign w:val="center"/>
                </w:tcPr>
                <w:p w14:paraId="6BDE7F3C">
                  <w:pPr>
                    <w:spacing w:line="360" w:lineRule="exact"/>
                    <w:jc w:val="center"/>
                    <w:rPr>
                      <w:rFonts w:hint="eastAsia" w:cs="Times New Roman"/>
                      <w:b/>
                      <w:color w:val="auto"/>
                      <w:sz w:val="18"/>
                      <w:szCs w:val="18"/>
                      <w:lang w:val="en-US" w:eastAsia="zh-CN"/>
                    </w:rPr>
                  </w:pPr>
                  <w:r>
                    <w:rPr>
                      <w:rFonts w:hint="eastAsia" w:cs="Times New Roman"/>
                      <w:b/>
                      <w:color w:val="auto"/>
                      <w:sz w:val="18"/>
                      <w:szCs w:val="18"/>
                      <w:lang w:val="en-US" w:eastAsia="zh-CN"/>
                    </w:rPr>
                    <w:t>生产规模</w:t>
                  </w:r>
                </w:p>
              </w:tc>
              <w:tc>
                <w:tcPr>
                  <w:tcW w:w="1952" w:type="pct"/>
                  <w:tcBorders>
                    <w:tl2br w:val="nil"/>
                    <w:tr2bl w:val="nil"/>
                  </w:tcBorders>
                  <w:vAlign w:val="center"/>
                </w:tcPr>
                <w:p w14:paraId="26DA8722">
                  <w:pPr>
                    <w:spacing w:line="360" w:lineRule="exact"/>
                    <w:jc w:val="center"/>
                    <w:rPr>
                      <w:rFonts w:hint="default" w:ascii="Times New Roman" w:hAnsi="Times New Roman" w:cs="Times New Roman"/>
                      <w:b/>
                      <w:color w:val="auto"/>
                      <w:sz w:val="18"/>
                      <w:szCs w:val="18"/>
                      <w:lang w:val="en-US"/>
                    </w:rPr>
                  </w:pPr>
                  <w:r>
                    <w:rPr>
                      <w:rFonts w:hint="eastAsia" w:cs="Times New Roman"/>
                      <w:b/>
                      <w:color w:val="auto"/>
                      <w:sz w:val="18"/>
                      <w:szCs w:val="18"/>
                      <w:lang w:val="en-US" w:eastAsia="zh-CN"/>
                    </w:rPr>
                    <w:t>产品质量标准</w:t>
                  </w:r>
                </w:p>
              </w:tc>
            </w:tr>
            <w:tr w14:paraId="05030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562" w:type="pct"/>
                  <w:tcBorders>
                    <w:tl2br w:val="nil"/>
                    <w:tr2bl w:val="nil"/>
                  </w:tcBorders>
                  <w:vAlign w:val="center"/>
                </w:tcPr>
                <w:p w14:paraId="7519C16C">
                  <w:pPr>
                    <w:pStyle w:val="43"/>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710" w:type="pct"/>
                  <w:tcBorders>
                    <w:tl2br w:val="nil"/>
                    <w:tr2bl w:val="nil"/>
                  </w:tcBorders>
                  <w:vAlign w:val="center"/>
                </w:tcPr>
                <w:p w14:paraId="167EA4C1">
                  <w:pPr>
                    <w:pStyle w:val="43"/>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复混肥料</w:t>
                  </w:r>
                </w:p>
              </w:tc>
              <w:tc>
                <w:tcPr>
                  <w:tcW w:w="794" w:type="pct"/>
                  <w:tcBorders>
                    <w:tl2br w:val="nil"/>
                    <w:tr2bl w:val="nil"/>
                  </w:tcBorders>
                  <w:vAlign w:val="center"/>
                </w:tcPr>
                <w:p w14:paraId="4E3F2E56">
                  <w:pPr>
                    <w:pStyle w:val="43"/>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2-4.75cm</w:t>
                  </w:r>
                </w:p>
              </w:tc>
              <w:tc>
                <w:tcPr>
                  <w:tcW w:w="980" w:type="pct"/>
                  <w:tcBorders>
                    <w:tl2br w:val="nil"/>
                    <w:tr2bl w:val="nil"/>
                  </w:tcBorders>
                  <w:vAlign w:val="center"/>
                </w:tcPr>
                <w:p w14:paraId="5C1E95EB">
                  <w:pPr>
                    <w:pStyle w:val="43"/>
                    <w:jc w:val="center"/>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30万吨</w:t>
                  </w:r>
                  <w:r>
                    <w:rPr>
                      <w:rFonts w:hint="default" w:ascii="Times New Roman" w:hAnsi="Times New Roman" w:cs="Times New Roman"/>
                      <w:color w:val="auto"/>
                      <w:sz w:val="18"/>
                      <w:szCs w:val="18"/>
                      <w:lang w:val="en-US" w:eastAsia="zh-CN"/>
                    </w:rPr>
                    <w:t>t/a</w:t>
                  </w:r>
                </w:p>
              </w:tc>
              <w:tc>
                <w:tcPr>
                  <w:tcW w:w="1952" w:type="pct"/>
                  <w:tcBorders>
                    <w:tl2br w:val="nil"/>
                    <w:tr2bl w:val="nil"/>
                  </w:tcBorders>
                  <w:vAlign w:val="center"/>
                </w:tcPr>
                <w:p w14:paraId="08B729A3">
                  <w:pPr>
                    <w:pStyle w:val="43"/>
                    <w:jc w:val="center"/>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执行《复合肥料》（GB/T15063-2020）</w:t>
                  </w:r>
                </w:p>
              </w:tc>
            </w:tr>
          </w:tbl>
          <w:p w14:paraId="2A9EF56F">
            <w:pPr>
              <w:spacing w:line="360" w:lineRule="auto"/>
              <w:ind w:firstLine="420" w:firstLineChars="200"/>
              <w:rPr>
                <w:rFonts w:hint="default" w:ascii="Times New Roman" w:hAnsi="Times New Roman" w:eastAsia="宋体" w:cs="Times New Roman"/>
                <w:snapToGrid w:val="0"/>
                <w:color w:val="auto"/>
                <w:kern w:val="0"/>
                <w:lang w:val="en-US" w:eastAsia="zh-CN"/>
              </w:rPr>
            </w:pPr>
            <w:r>
              <w:rPr>
                <w:rFonts w:hint="eastAsia" w:cs="Times New Roman"/>
                <w:snapToGrid w:val="0"/>
                <w:color w:val="auto"/>
                <w:kern w:val="0"/>
                <w:lang w:val="en-US" w:eastAsia="zh-CN"/>
              </w:rPr>
              <w:t>复合肥料质量标准如下：</w:t>
            </w:r>
          </w:p>
          <w:p w14:paraId="27F4E8A0">
            <w:pPr>
              <w:adjustRightInd w:val="0"/>
              <w:snapToGrid w:val="0"/>
              <w:spacing w:line="360" w:lineRule="auto"/>
              <w:jc w:val="center"/>
              <w:rPr>
                <w:rFonts w:hint="default" w:ascii="Times New Roman" w:hAnsi="Times New Roman" w:cs="Times New Roman"/>
                <w:snapToGrid w:val="0"/>
                <w:color w:val="auto"/>
                <w:kern w:val="0"/>
              </w:rPr>
            </w:pPr>
            <w:r>
              <w:rPr>
                <w:rFonts w:hint="default" w:ascii="Times New Roman" w:hAnsi="Times New Roman" w:cs="Times New Roman"/>
                <w:b/>
                <w:color w:val="auto"/>
                <w:kern w:val="0"/>
              </w:rPr>
              <w:t>表2-</w:t>
            </w:r>
            <w:r>
              <w:rPr>
                <w:rFonts w:hint="eastAsia" w:cs="Times New Roman"/>
                <w:b/>
                <w:color w:val="auto"/>
                <w:kern w:val="0"/>
                <w:lang w:val="en-US" w:eastAsia="zh-CN"/>
              </w:rPr>
              <w:t>3</w:t>
            </w:r>
            <w:r>
              <w:rPr>
                <w:rFonts w:hint="eastAsia" w:ascii="Times New Roman" w:hAnsi="Times New Roman" w:cs="Times New Roman"/>
                <w:b/>
                <w:color w:val="auto"/>
                <w:kern w:val="0"/>
                <w:lang w:val="en-US" w:eastAsia="zh-CN"/>
              </w:rPr>
              <w:t xml:space="preserve"> </w:t>
            </w:r>
            <w:r>
              <w:rPr>
                <w:rFonts w:hint="eastAsia" w:cs="Times New Roman"/>
                <w:b/>
                <w:color w:val="auto"/>
                <w:kern w:val="0"/>
                <w:lang w:val="en-US" w:eastAsia="zh-CN"/>
              </w:rPr>
              <w:t>复合肥料</w:t>
            </w:r>
            <w:r>
              <w:rPr>
                <w:rFonts w:hint="eastAsia" w:ascii="Times New Roman" w:hAnsi="Times New Roman" w:cs="Times New Roman"/>
                <w:b/>
                <w:color w:val="auto"/>
                <w:kern w:val="0"/>
                <w:lang w:val="en-US" w:eastAsia="zh-CN"/>
              </w:rPr>
              <w:t>质量标准</w:t>
            </w:r>
            <w:r>
              <w:rPr>
                <w:rFonts w:hint="default" w:ascii="Times New Roman" w:hAnsi="Times New Roman" w:cs="Times New Roman"/>
                <w:b/>
                <w:color w:val="auto"/>
                <w:kern w:val="0"/>
              </w:rPr>
              <w:t>一览表</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07"/>
              <w:gridCol w:w="3258"/>
              <w:gridCol w:w="1150"/>
              <w:gridCol w:w="913"/>
              <w:gridCol w:w="1177"/>
            </w:tblGrid>
            <w:tr w14:paraId="33966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3073" w:type="pct"/>
                  <w:gridSpan w:val="2"/>
                  <w:vMerge w:val="restart"/>
                  <w:tcBorders>
                    <w:tl2br w:val="nil"/>
                    <w:tr2bl w:val="nil"/>
                  </w:tcBorders>
                  <w:vAlign w:val="center"/>
                </w:tcPr>
                <w:p w14:paraId="45B01A7C">
                  <w:pPr>
                    <w:spacing w:line="360" w:lineRule="exact"/>
                    <w:jc w:val="center"/>
                    <w:rPr>
                      <w:rFonts w:hint="eastAsia" w:ascii="Times New Roman" w:hAnsi="Times New Roman" w:eastAsia="宋体" w:cs="Times New Roman"/>
                      <w:b/>
                      <w:color w:val="auto"/>
                      <w:sz w:val="18"/>
                      <w:szCs w:val="18"/>
                      <w:lang w:val="en-US" w:eastAsia="zh-CN"/>
                    </w:rPr>
                  </w:pPr>
                  <w:r>
                    <w:rPr>
                      <w:rFonts w:hint="eastAsia" w:cs="Times New Roman"/>
                      <w:b/>
                      <w:color w:val="auto"/>
                      <w:sz w:val="18"/>
                      <w:szCs w:val="18"/>
                      <w:lang w:val="en-US" w:eastAsia="zh-CN"/>
                    </w:rPr>
                    <w:t>项目</w:t>
                  </w:r>
                </w:p>
              </w:tc>
              <w:tc>
                <w:tcPr>
                  <w:tcW w:w="1926" w:type="pct"/>
                  <w:gridSpan w:val="3"/>
                  <w:tcBorders>
                    <w:tl2br w:val="nil"/>
                    <w:tr2bl w:val="nil"/>
                  </w:tcBorders>
                  <w:vAlign w:val="center"/>
                </w:tcPr>
                <w:p w14:paraId="59D0204A">
                  <w:pPr>
                    <w:spacing w:line="360" w:lineRule="exact"/>
                    <w:jc w:val="center"/>
                    <w:rPr>
                      <w:rFonts w:hint="default" w:cs="Times New Roman"/>
                      <w:b/>
                      <w:color w:val="auto"/>
                      <w:sz w:val="18"/>
                      <w:szCs w:val="18"/>
                      <w:lang w:val="en-US" w:eastAsia="zh-CN"/>
                    </w:rPr>
                  </w:pPr>
                  <w:r>
                    <w:rPr>
                      <w:rFonts w:hint="eastAsia" w:cs="Times New Roman"/>
                      <w:b/>
                      <w:color w:val="auto"/>
                      <w:sz w:val="18"/>
                      <w:szCs w:val="18"/>
                      <w:lang w:val="en-US" w:eastAsia="zh-CN"/>
                    </w:rPr>
                    <w:t>指标</w:t>
                  </w:r>
                </w:p>
              </w:tc>
            </w:tr>
            <w:tr w14:paraId="554AC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3073" w:type="pct"/>
                  <w:gridSpan w:val="2"/>
                  <w:vMerge w:val="continue"/>
                  <w:tcBorders>
                    <w:tl2br w:val="nil"/>
                    <w:tr2bl w:val="nil"/>
                  </w:tcBorders>
                  <w:vAlign w:val="center"/>
                </w:tcPr>
                <w:p w14:paraId="7386BF5F">
                  <w:pPr>
                    <w:pStyle w:val="43"/>
                    <w:jc w:val="center"/>
                    <w:rPr>
                      <w:rFonts w:hint="default" w:ascii="Times New Roman" w:hAnsi="Times New Roman" w:cs="Times New Roman"/>
                      <w:color w:val="auto"/>
                      <w:sz w:val="18"/>
                      <w:szCs w:val="18"/>
                    </w:rPr>
                  </w:pPr>
                </w:p>
              </w:tc>
              <w:tc>
                <w:tcPr>
                  <w:tcW w:w="684" w:type="pct"/>
                  <w:tcBorders>
                    <w:tl2br w:val="nil"/>
                    <w:tr2bl w:val="nil"/>
                  </w:tcBorders>
                  <w:vAlign w:val="center"/>
                </w:tcPr>
                <w:p w14:paraId="0E8A2E3A">
                  <w:pPr>
                    <w:pStyle w:val="43"/>
                    <w:jc w:val="center"/>
                    <w:rPr>
                      <w:rFonts w:hint="default" w:ascii="Times New Roman" w:hAnsi="Times New Roman" w:eastAsia="宋体" w:cs="Times New Roman"/>
                      <w:b/>
                      <w:bCs/>
                      <w:color w:val="auto"/>
                      <w:sz w:val="18"/>
                      <w:szCs w:val="18"/>
                      <w:lang w:val="en-US" w:eastAsia="zh-CN"/>
                    </w:rPr>
                  </w:pPr>
                  <w:r>
                    <w:rPr>
                      <w:rFonts w:hint="eastAsia" w:ascii="Times New Roman" w:hAnsi="Times New Roman" w:cs="Times New Roman"/>
                      <w:b/>
                      <w:bCs/>
                      <w:color w:val="auto"/>
                      <w:sz w:val="18"/>
                      <w:szCs w:val="18"/>
                      <w:lang w:val="en-US" w:eastAsia="zh-CN"/>
                    </w:rPr>
                    <w:t>高浓度</w:t>
                  </w:r>
                </w:p>
              </w:tc>
              <w:tc>
                <w:tcPr>
                  <w:tcW w:w="543" w:type="pct"/>
                  <w:tcBorders>
                    <w:tl2br w:val="nil"/>
                    <w:tr2bl w:val="nil"/>
                  </w:tcBorders>
                  <w:vAlign w:val="center"/>
                </w:tcPr>
                <w:p w14:paraId="3FE4DF48">
                  <w:pPr>
                    <w:pStyle w:val="43"/>
                    <w:jc w:val="center"/>
                    <w:rPr>
                      <w:rFonts w:hint="default" w:ascii="Times New Roman" w:hAnsi="Times New Roman" w:cs="Times New Roman"/>
                      <w:b/>
                      <w:bCs/>
                      <w:color w:val="auto"/>
                      <w:sz w:val="18"/>
                      <w:szCs w:val="18"/>
                      <w:lang w:val="en-US" w:eastAsia="zh-CN"/>
                    </w:rPr>
                  </w:pPr>
                  <w:r>
                    <w:rPr>
                      <w:rFonts w:hint="eastAsia" w:ascii="Times New Roman" w:hAnsi="Times New Roman" w:cs="Times New Roman"/>
                      <w:b/>
                      <w:bCs/>
                      <w:color w:val="auto"/>
                      <w:sz w:val="18"/>
                      <w:szCs w:val="18"/>
                      <w:lang w:val="en-US" w:eastAsia="zh-CN"/>
                    </w:rPr>
                    <w:t>中浓度</w:t>
                  </w:r>
                </w:p>
              </w:tc>
              <w:tc>
                <w:tcPr>
                  <w:tcW w:w="698" w:type="pct"/>
                  <w:tcBorders>
                    <w:tl2br w:val="nil"/>
                    <w:tr2bl w:val="nil"/>
                  </w:tcBorders>
                  <w:vAlign w:val="center"/>
                </w:tcPr>
                <w:p w14:paraId="641B4C27">
                  <w:pPr>
                    <w:pStyle w:val="43"/>
                    <w:jc w:val="center"/>
                    <w:rPr>
                      <w:rFonts w:hint="default" w:ascii="Times New Roman" w:hAnsi="Times New Roman" w:cs="Times New Roman"/>
                      <w:b/>
                      <w:bCs/>
                      <w:color w:val="auto"/>
                      <w:sz w:val="18"/>
                      <w:szCs w:val="18"/>
                      <w:lang w:val="en-US" w:eastAsia="zh-CN"/>
                    </w:rPr>
                  </w:pPr>
                  <w:r>
                    <w:rPr>
                      <w:rFonts w:hint="eastAsia" w:ascii="Times New Roman" w:hAnsi="Times New Roman" w:cs="Times New Roman"/>
                      <w:b/>
                      <w:bCs/>
                      <w:color w:val="auto"/>
                      <w:sz w:val="18"/>
                      <w:szCs w:val="18"/>
                      <w:lang w:val="en-US" w:eastAsia="zh-CN"/>
                    </w:rPr>
                    <w:t>低浓度</w:t>
                  </w:r>
                </w:p>
              </w:tc>
            </w:tr>
            <w:tr w14:paraId="6C4F0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73" w:type="pct"/>
                  <w:gridSpan w:val="2"/>
                  <w:tcBorders>
                    <w:tl2br w:val="nil"/>
                    <w:tr2bl w:val="nil"/>
                  </w:tcBorders>
                  <w:vAlign w:val="center"/>
                </w:tcPr>
                <w:p w14:paraId="0CF85E2C">
                  <w:pPr>
                    <w:pStyle w:val="43"/>
                    <w:jc w:val="left"/>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总养分</w:t>
                  </w:r>
                  <w:r>
                    <w:rPr>
                      <w:rFonts w:hint="eastAsia" w:ascii="Times New Roman" w:hAnsi="Times New Roman" w:cs="Times New Roman"/>
                      <w:color w:val="auto"/>
                      <w:sz w:val="18"/>
                      <w:szCs w:val="18"/>
                      <w:vertAlign w:val="superscript"/>
                      <w:lang w:val="en-US" w:eastAsia="zh-CN"/>
                    </w:rPr>
                    <w:t>a</w:t>
                  </w:r>
                  <w:r>
                    <w:rPr>
                      <w:rFonts w:hint="eastAsia" w:ascii="Times New Roman" w:hAnsi="Times New Roman" w:cs="Times New Roman"/>
                      <w:color w:val="auto"/>
                      <w:sz w:val="18"/>
                      <w:szCs w:val="18"/>
                      <w:lang w:val="en-US" w:eastAsia="zh-CN"/>
                    </w:rPr>
                    <w:t>（N+P</w:t>
                  </w:r>
                  <w:r>
                    <w:rPr>
                      <w:rFonts w:hint="eastAsia" w:ascii="Times New Roman" w:hAnsi="Times New Roman" w:cs="Times New Roman"/>
                      <w:color w:val="auto"/>
                      <w:sz w:val="18"/>
                      <w:szCs w:val="18"/>
                      <w:vertAlign w:val="subscript"/>
                      <w:lang w:val="en-US" w:eastAsia="zh-CN"/>
                    </w:rPr>
                    <w:t>2</w:t>
                  </w:r>
                  <w:r>
                    <w:rPr>
                      <w:rFonts w:hint="eastAsia" w:ascii="Times New Roman" w:hAnsi="Times New Roman" w:cs="Times New Roman"/>
                      <w:color w:val="auto"/>
                      <w:sz w:val="18"/>
                      <w:szCs w:val="18"/>
                      <w:lang w:val="en-US" w:eastAsia="zh-CN"/>
                    </w:rPr>
                    <w:t>O</w:t>
                  </w:r>
                  <w:r>
                    <w:rPr>
                      <w:rFonts w:hint="eastAsia" w:ascii="Times New Roman" w:hAnsi="Times New Roman" w:cs="Times New Roman"/>
                      <w:color w:val="auto"/>
                      <w:sz w:val="18"/>
                      <w:szCs w:val="18"/>
                      <w:vertAlign w:val="subscript"/>
                      <w:lang w:val="en-US" w:eastAsia="zh-CN"/>
                    </w:rPr>
                    <w:t>5</w:t>
                  </w:r>
                  <w:r>
                    <w:rPr>
                      <w:rFonts w:hint="eastAsia" w:ascii="Times New Roman" w:hAnsi="Times New Roman" w:cs="Times New Roman"/>
                      <w:color w:val="auto"/>
                      <w:sz w:val="18"/>
                      <w:szCs w:val="18"/>
                      <w:lang w:val="en-US" w:eastAsia="zh-CN"/>
                    </w:rPr>
                    <w:t>+K</w:t>
                  </w:r>
                  <w:r>
                    <w:rPr>
                      <w:rFonts w:hint="eastAsia" w:ascii="Times New Roman" w:hAnsi="Times New Roman" w:cs="Times New Roman"/>
                      <w:color w:val="auto"/>
                      <w:sz w:val="18"/>
                      <w:szCs w:val="18"/>
                      <w:vertAlign w:val="subscript"/>
                      <w:lang w:val="en-US" w:eastAsia="zh-CN"/>
                    </w:rPr>
                    <w:t>2</w:t>
                  </w:r>
                  <w:r>
                    <w:rPr>
                      <w:rFonts w:hint="eastAsia" w:ascii="Times New Roman" w:hAnsi="Times New Roman" w:cs="Times New Roman"/>
                      <w:color w:val="auto"/>
                      <w:sz w:val="18"/>
                      <w:szCs w:val="18"/>
                      <w:lang w:val="en-US" w:eastAsia="zh-CN"/>
                    </w:rPr>
                    <w:t>O）/%                                                         ≥</w:t>
                  </w:r>
                </w:p>
              </w:tc>
              <w:tc>
                <w:tcPr>
                  <w:tcW w:w="684" w:type="pct"/>
                  <w:tcBorders>
                    <w:tl2br w:val="nil"/>
                    <w:tr2bl w:val="nil"/>
                  </w:tcBorders>
                  <w:vAlign w:val="center"/>
                </w:tcPr>
                <w:p w14:paraId="6D5621DF">
                  <w:pPr>
                    <w:pStyle w:val="43"/>
                    <w:jc w:val="center"/>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40.0</w:t>
                  </w:r>
                </w:p>
              </w:tc>
              <w:tc>
                <w:tcPr>
                  <w:tcW w:w="543" w:type="pct"/>
                  <w:tcBorders>
                    <w:tl2br w:val="nil"/>
                    <w:tr2bl w:val="nil"/>
                  </w:tcBorders>
                  <w:vAlign w:val="center"/>
                </w:tcPr>
                <w:p w14:paraId="3C4323C1">
                  <w:pPr>
                    <w:pStyle w:val="43"/>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30.0</w:t>
                  </w:r>
                </w:p>
              </w:tc>
              <w:tc>
                <w:tcPr>
                  <w:tcW w:w="698" w:type="pct"/>
                  <w:tcBorders>
                    <w:tl2br w:val="nil"/>
                    <w:tr2bl w:val="nil"/>
                  </w:tcBorders>
                  <w:vAlign w:val="center"/>
                </w:tcPr>
                <w:p w14:paraId="64978F49">
                  <w:pPr>
                    <w:pStyle w:val="43"/>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25.0</w:t>
                  </w:r>
                </w:p>
              </w:tc>
            </w:tr>
            <w:tr w14:paraId="2F4FA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3073" w:type="pct"/>
                  <w:gridSpan w:val="2"/>
                  <w:tcBorders>
                    <w:tl2br w:val="nil"/>
                    <w:tr2bl w:val="nil"/>
                  </w:tcBorders>
                  <w:vAlign w:val="center"/>
                </w:tcPr>
                <w:p w14:paraId="1DDEC760">
                  <w:pPr>
                    <w:pStyle w:val="43"/>
                    <w:jc w:val="left"/>
                    <w:rPr>
                      <w:rFonts w:hint="default" w:ascii="Times New Roman" w:hAnsi="Times New Roman" w:eastAsia="宋体" w:cs="Times New Roman"/>
                      <w:color w:val="auto"/>
                      <w:sz w:val="18"/>
                      <w:szCs w:val="18"/>
                      <w:vertAlign w:val="superscript"/>
                      <w:lang w:val="en-US" w:eastAsia="zh-CN"/>
                    </w:rPr>
                  </w:pPr>
                  <w:r>
                    <w:rPr>
                      <w:rFonts w:hint="eastAsia" w:ascii="Times New Roman" w:hAnsi="Times New Roman" w:cs="Times New Roman"/>
                      <w:color w:val="auto"/>
                      <w:sz w:val="18"/>
                      <w:szCs w:val="18"/>
                      <w:lang w:val="en-US" w:eastAsia="zh-CN"/>
                    </w:rPr>
                    <w:t>水溶性磷占有效磷百分率</w:t>
                  </w:r>
                  <w:r>
                    <w:rPr>
                      <w:rFonts w:hint="eastAsia" w:ascii="Times New Roman" w:hAnsi="Times New Roman" w:cs="Times New Roman"/>
                      <w:color w:val="auto"/>
                      <w:sz w:val="18"/>
                      <w:szCs w:val="18"/>
                      <w:vertAlign w:val="superscript"/>
                      <w:lang w:val="en-US" w:eastAsia="zh-CN"/>
                    </w:rPr>
                    <w:t>b</w:t>
                  </w:r>
                  <w:r>
                    <w:rPr>
                      <w:rFonts w:hint="eastAsia" w:ascii="Times New Roman" w:hAnsi="Times New Roman" w:cs="Times New Roman"/>
                      <w:color w:val="auto"/>
                      <w:sz w:val="18"/>
                      <w:szCs w:val="18"/>
                      <w:lang w:val="en-US" w:eastAsia="zh-CN"/>
                    </w:rPr>
                    <w:t>/%                                                       ≥</w:t>
                  </w:r>
                </w:p>
              </w:tc>
              <w:tc>
                <w:tcPr>
                  <w:tcW w:w="684" w:type="pct"/>
                  <w:tcBorders>
                    <w:tl2br w:val="nil"/>
                    <w:tr2bl w:val="nil"/>
                  </w:tcBorders>
                  <w:vAlign w:val="center"/>
                </w:tcPr>
                <w:p w14:paraId="2059E2A3">
                  <w:pPr>
                    <w:pStyle w:val="43"/>
                    <w:jc w:val="center"/>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60</w:t>
                  </w:r>
                </w:p>
              </w:tc>
              <w:tc>
                <w:tcPr>
                  <w:tcW w:w="543" w:type="pct"/>
                  <w:tcBorders>
                    <w:tl2br w:val="nil"/>
                    <w:tr2bl w:val="nil"/>
                  </w:tcBorders>
                  <w:vAlign w:val="center"/>
                </w:tcPr>
                <w:p w14:paraId="4F19ECD6">
                  <w:pPr>
                    <w:pStyle w:val="43"/>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50</w:t>
                  </w:r>
                </w:p>
              </w:tc>
              <w:tc>
                <w:tcPr>
                  <w:tcW w:w="698" w:type="pct"/>
                  <w:tcBorders>
                    <w:tl2br w:val="nil"/>
                    <w:tr2bl w:val="nil"/>
                  </w:tcBorders>
                  <w:vAlign w:val="center"/>
                </w:tcPr>
                <w:p w14:paraId="74BF8D09">
                  <w:pPr>
                    <w:pStyle w:val="43"/>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40</w:t>
                  </w:r>
                </w:p>
              </w:tc>
            </w:tr>
            <w:tr w14:paraId="1388C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3073" w:type="pct"/>
                  <w:gridSpan w:val="2"/>
                  <w:tcBorders>
                    <w:tl2br w:val="nil"/>
                    <w:tr2bl w:val="nil"/>
                  </w:tcBorders>
                  <w:vAlign w:val="center"/>
                </w:tcPr>
                <w:p w14:paraId="6A27C061">
                  <w:pPr>
                    <w:pStyle w:val="43"/>
                    <w:jc w:val="left"/>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硝态氮</w:t>
                  </w:r>
                  <w:r>
                    <w:rPr>
                      <w:rFonts w:hint="eastAsia" w:ascii="Times New Roman" w:hAnsi="Times New Roman" w:cs="Times New Roman"/>
                      <w:color w:val="auto"/>
                      <w:sz w:val="18"/>
                      <w:szCs w:val="18"/>
                      <w:vertAlign w:val="superscript"/>
                      <w:lang w:val="en-US" w:eastAsia="zh-CN"/>
                    </w:rPr>
                    <w:t>c</w:t>
                  </w:r>
                  <w:r>
                    <w:rPr>
                      <w:rFonts w:hint="eastAsia" w:ascii="Times New Roman" w:hAnsi="Times New Roman" w:cs="Times New Roman"/>
                      <w:color w:val="auto"/>
                      <w:sz w:val="18"/>
                      <w:szCs w:val="18"/>
                      <w:lang w:val="en-US" w:eastAsia="zh-CN"/>
                    </w:rPr>
                    <w:t>/%                                                                                       ≥</w:t>
                  </w:r>
                </w:p>
              </w:tc>
              <w:tc>
                <w:tcPr>
                  <w:tcW w:w="1926" w:type="pct"/>
                  <w:gridSpan w:val="3"/>
                  <w:tcBorders>
                    <w:tl2br w:val="nil"/>
                    <w:tr2bl w:val="nil"/>
                  </w:tcBorders>
                  <w:vAlign w:val="center"/>
                </w:tcPr>
                <w:p w14:paraId="50770A58">
                  <w:pPr>
                    <w:pStyle w:val="43"/>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1.5</w:t>
                  </w:r>
                </w:p>
              </w:tc>
            </w:tr>
            <w:tr w14:paraId="6AB9E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3073" w:type="pct"/>
                  <w:gridSpan w:val="2"/>
                  <w:tcBorders>
                    <w:tl2br w:val="nil"/>
                    <w:tr2bl w:val="nil"/>
                  </w:tcBorders>
                  <w:vAlign w:val="center"/>
                </w:tcPr>
                <w:p w14:paraId="5DCF8743">
                  <w:pPr>
                    <w:pStyle w:val="43"/>
                    <w:jc w:val="left"/>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水分d（H</w:t>
                  </w:r>
                  <w:r>
                    <w:rPr>
                      <w:rFonts w:hint="eastAsia" w:ascii="Times New Roman" w:hAnsi="Times New Roman" w:cs="Times New Roman"/>
                      <w:color w:val="auto"/>
                      <w:sz w:val="18"/>
                      <w:szCs w:val="18"/>
                      <w:vertAlign w:val="subscript"/>
                      <w:lang w:val="en-US" w:eastAsia="zh-CN"/>
                    </w:rPr>
                    <w:t>2</w:t>
                  </w:r>
                  <w:r>
                    <w:rPr>
                      <w:rFonts w:hint="eastAsia" w:ascii="Times New Roman" w:hAnsi="Times New Roman" w:cs="Times New Roman"/>
                      <w:color w:val="auto"/>
                      <w:sz w:val="18"/>
                      <w:szCs w:val="18"/>
                      <w:lang w:val="en-US" w:eastAsia="zh-CN"/>
                    </w:rPr>
                    <w:t>O）/%                                                                           ≤</w:t>
                  </w:r>
                </w:p>
              </w:tc>
              <w:tc>
                <w:tcPr>
                  <w:tcW w:w="684" w:type="pct"/>
                  <w:tcBorders>
                    <w:tl2br w:val="nil"/>
                    <w:tr2bl w:val="nil"/>
                  </w:tcBorders>
                  <w:vAlign w:val="center"/>
                </w:tcPr>
                <w:p w14:paraId="3B9C0810">
                  <w:pPr>
                    <w:pStyle w:val="43"/>
                    <w:jc w:val="center"/>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2.0</w:t>
                  </w:r>
                </w:p>
              </w:tc>
              <w:tc>
                <w:tcPr>
                  <w:tcW w:w="543" w:type="pct"/>
                  <w:tcBorders>
                    <w:tl2br w:val="nil"/>
                    <w:tr2bl w:val="nil"/>
                  </w:tcBorders>
                  <w:vAlign w:val="center"/>
                </w:tcPr>
                <w:p w14:paraId="01786AA6">
                  <w:pPr>
                    <w:pStyle w:val="43"/>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2.5</w:t>
                  </w:r>
                </w:p>
              </w:tc>
              <w:tc>
                <w:tcPr>
                  <w:tcW w:w="698" w:type="pct"/>
                  <w:tcBorders>
                    <w:tl2br w:val="nil"/>
                    <w:tr2bl w:val="nil"/>
                  </w:tcBorders>
                  <w:vAlign w:val="center"/>
                </w:tcPr>
                <w:p w14:paraId="47E76091">
                  <w:pPr>
                    <w:pStyle w:val="43"/>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2.0</w:t>
                  </w:r>
                </w:p>
              </w:tc>
            </w:tr>
            <w:tr w14:paraId="44F4A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3073" w:type="pct"/>
                  <w:gridSpan w:val="2"/>
                  <w:tcBorders>
                    <w:tl2br w:val="nil"/>
                    <w:tr2bl w:val="nil"/>
                  </w:tcBorders>
                  <w:vAlign w:val="center"/>
                </w:tcPr>
                <w:p w14:paraId="35A410E7">
                  <w:pPr>
                    <w:pStyle w:val="43"/>
                    <w:jc w:val="left"/>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粒度e（1.0mm~4.75mm或3.35mm~5.60mm）/%                     ≥</w:t>
                  </w:r>
                </w:p>
              </w:tc>
              <w:tc>
                <w:tcPr>
                  <w:tcW w:w="1926" w:type="pct"/>
                  <w:gridSpan w:val="3"/>
                  <w:tcBorders>
                    <w:tl2br w:val="nil"/>
                    <w:tr2bl w:val="nil"/>
                  </w:tcBorders>
                  <w:vAlign w:val="center"/>
                </w:tcPr>
                <w:p w14:paraId="52B2EA8A">
                  <w:pPr>
                    <w:pStyle w:val="43"/>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90</w:t>
                  </w:r>
                </w:p>
              </w:tc>
            </w:tr>
            <w:tr w14:paraId="71582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35" w:type="pct"/>
                  <w:vMerge w:val="restart"/>
                  <w:tcBorders>
                    <w:tl2br w:val="nil"/>
                    <w:tr2bl w:val="nil"/>
                  </w:tcBorders>
                  <w:vAlign w:val="center"/>
                </w:tcPr>
                <w:p w14:paraId="64457DD9">
                  <w:pPr>
                    <w:pStyle w:val="43"/>
                    <w:jc w:val="left"/>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氯离子</w:t>
                  </w:r>
                  <w:r>
                    <w:rPr>
                      <w:rFonts w:hint="eastAsia" w:ascii="Times New Roman" w:hAnsi="Times New Roman" w:cs="Times New Roman"/>
                      <w:color w:val="auto"/>
                      <w:sz w:val="18"/>
                      <w:szCs w:val="18"/>
                      <w:vertAlign w:val="superscript"/>
                      <w:lang w:val="en-US" w:eastAsia="zh-CN"/>
                    </w:rPr>
                    <w:t>f</w:t>
                  </w:r>
                  <w:r>
                    <w:rPr>
                      <w:rFonts w:hint="eastAsia" w:ascii="Times New Roman" w:hAnsi="Times New Roman" w:cs="Times New Roman"/>
                      <w:color w:val="auto"/>
                      <w:sz w:val="18"/>
                      <w:szCs w:val="18"/>
                      <w:lang w:val="en-US" w:eastAsia="zh-CN"/>
                    </w:rPr>
                    <w:t>/%</w:t>
                  </w:r>
                </w:p>
              </w:tc>
              <w:tc>
                <w:tcPr>
                  <w:tcW w:w="1938" w:type="pct"/>
                  <w:tcBorders>
                    <w:tl2br w:val="nil"/>
                    <w:tr2bl w:val="nil"/>
                  </w:tcBorders>
                  <w:vAlign w:val="center"/>
                </w:tcPr>
                <w:p w14:paraId="1F712A8A">
                  <w:pPr>
                    <w:pStyle w:val="43"/>
                    <w:jc w:val="left"/>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未标“含氯”的产品                          ≤</w:t>
                  </w:r>
                </w:p>
              </w:tc>
              <w:tc>
                <w:tcPr>
                  <w:tcW w:w="1926" w:type="pct"/>
                  <w:gridSpan w:val="3"/>
                  <w:tcBorders>
                    <w:tl2br w:val="nil"/>
                    <w:tr2bl w:val="nil"/>
                  </w:tcBorders>
                  <w:vAlign w:val="center"/>
                </w:tcPr>
                <w:p w14:paraId="0A002994">
                  <w:pPr>
                    <w:pStyle w:val="43"/>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3.0</w:t>
                  </w:r>
                </w:p>
              </w:tc>
            </w:tr>
            <w:tr w14:paraId="0F730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35" w:type="pct"/>
                  <w:vMerge w:val="continue"/>
                  <w:tcBorders>
                    <w:tl2br w:val="nil"/>
                    <w:tr2bl w:val="nil"/>
                  </w:tcBorders>
                  <w:vAlign w:val="center"/>
                </w:tcPr>
                <w:p w14:paraId="18AD9124">
                  <w:pPr>
                    <w:pStyle w:val="43"/>
                    <w:jc w:val="left"/>
                    <w:rPr>
                      <w:rFonts w:hint="default" w:ascii="Times New Roman" w:hAnsi="Times New Roman" w:cs="Times New Roman"/>
                      <w:color w:val="auto"/>
                      <w:sz w:val="18"/>
                      <w:szCs w:val="18"/>
                    </w:rPr>
                  </w:pPr>
                </w:p>
              </w:tc>
              <w:tc>
                <w:tcPr>
                  <w:tcW w:w="1938" w:type="pct"/>
                  <w:tcBorders>
                    <w:tl2br w:val="nil"/>
                    <w:tr2bl w:val="nil"/>
                  </w:tcBorders>
                  <w:vAlign w:val="center"/>
                </w:tcPr>
                <w:p w14:paraId="5917A2E1">
                  <w:pPr>
                    <w:pStyle w:val="43"/>
                    <w:jc w:val="left"/>
                    <w:rPr>
                      <w:rFonts w:hint="eastAsia"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标识“含氯（低氯）”的产品           ≤</w:t>
                  </w:r>
                </w:p>
              </w:tc>
              <w:tc>
                <w:tcPr>
                  <w:tcW w:w="1926" w:type="pct"/>
                  <w:gridSpan w:val="3"/>
                  <w:tcBorders>
                    <w:tl2br w:val="nil"/>
                    <w:tr2bl w:val="nil"/>
                  </w:tcBorders>
                  <w:vAlign w:val="center"/>
                </w:tcPr>
                <w:p w14:paraId="33B83978">
                  <w:pPr>
                    <w:pStyle w:val="43"/>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15.0</w:t>
                  </w:r>
                </w:p>
              </w:tc>
            </w:tr>
            <w:tr w14:paraId="78A6E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35" w:type="pct"/>
                  <w:vMerge w:val="continue"/>
                  <w:tcBorders>
                    <w:tl2br w:val="nil"/>
                    <w:tr2bl w:val="nil"/>
                  </w:tcBorders>
                  <w:vAlign w:val="center"/>
                </w:tcPr>
                <w:p w14:paraId="34B2B7E9">
                  <w:pPr>
                    <w:pStyle w:val="43"/>
                    <w:jc w:val="left"/>
                    <w:rPr>
                      <w:rFonts w:hint="default" w:ascii="Times New Roman" w:hAnsi="Times New Roman" w:cs="Times New Roman"/>
                      <w:color w:val="auto"/>
                      <w:sz w:val="18"/>
                      <w:szCs w:val="18"/>
                    </w:rPr>
                  </w:pPr>
                </w:p>
              </w:tc>
              <w:tc>
                <w:tcPr>
                  <w:tcW w:w="1938" w:type="pct"/>
                  <w:tcBorders>
                    <w:tl2br w:val="nil"/>
                    <w:tr2bl w:val="nil"/>
                  </w:tcBorders>
                  <w:vAlign w:val="center"/>
                </w:tcPr>
                <w:p w14:paraId="7590FFCB">
                  <w:pPr>
                    <w:pStyle w:val="43"/>
                    <w:jc w:val="left"/>
                    <w:rPr>
                      <w:rFonts w:hint="default"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标识“含氯”的产品                           ≤</w:t>
                  </w:r>
                </w:p>
              </w:tc>
              <w:tc>
                <w:tcPr>
                  <w:tcW w:w="1926" w:type="pct"/>
                  <w:gridSpan w:val="3"/>
                  <w:tcBorders>
                    <w:tl2br w:val="nil"/>
                    <w:tr2bl w:val="nil"/>
                  </w:tcBorders>
                  <w:vAlign w:val="center"/>
                </w:tcPr>
                <w:p w14:paraId="10C5BCD5">
                  <w:pPr>
                    <w:pStyle w:val="43"/>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30.0</w:t>
                  </w:r>
                </w:p>
              </w:tc>
            </w:tr>
            <w:tr w14:paraId="7B44B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35" w:type="pct"/>
                  <w:vMerge w:val="restart"/>
                  <w:tcBorders>
                    <w:tl2br w:val="nil"/>
                    <w:tr2bl w:val="nil"/>
                  </w:tcBorders>
                  <w:vAlign w:val="center"/>
                </w:tcPr>
                <w:p w14:paraId="3D6F4231">
                  <w:pPr>
                    <w:pStyle w:val="43"/>
                    <w:jc w:val="left"/>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单一中量元素g（以单质计）/%</w:t>
                  </w:r>
                </w:p>
              </w:tc>
              <w:tc>
                <w:tcPr>
                  <w:tcW w:w="1938" w:type="pct"/>
                  <w:tcBorders>
                    <w:tl2br w:val="nil"/>
                    <w:tr2bl w:val="nil"/>
                  </w:tcBorders>
                  <w:vAlign w:val="center"/>
                </w:tcPr>
                <w:p w14:paraId="5E431953">
                  <w:pPr>
                    <w:pStyle w:val="43"/>
                    <w:jc w:val="left"/>
                    <w:rPr>
                      <w:rFonts w:hint="eastAsia"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有效钙                                                   ≥</w:t>
                  </w:r>
                </w:p>
              </w:tc>
              <w:tc>
                <w:tcPr>
                  <w:tcW w:w="1926" w:type="pct"/>
                  <w:gridSpan w:val="3"/>
                  <w:tcBorders>
                    <w:tl2br w:val="nil"/>
                    <w:tr2bl w:val="nil"/>
                  </w:tcBorders>
                  <w:vAlign w:val="center"/>
                </w:tcPr>
                <w:p w14:paraId="110B9431">
                  <w:pPr>
                    <w:pStyle w:val="43"/>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1.0</w:t>
                  </w:r>
                </w:p>
              </w:tc>
            </w:tr>
            <w:tr w14:paraId="1CD6E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35" w:type="pct"/>
                  <w:vMerge w:val="continue"/>
                  <w:tcBorders>
                    <w:tl2br w:val="nil"/>
                    <w:tr2bl w:val="nil"/>
                  </w:tcBorders>
                  <w:vAlign w:val="center"/>
                </w:tcPr>
                <w:p w14:paraId="25D368B6">
                  <w:pPr>
                    <w:pStyle w:val="43"/>
                    <w:jc w:val="left"/>
                    <w:rPr>
                      <w:rFonts w:hint="default" w:ascii="Times New Roman" w:hAnsi="Times New Roman" w:cs="Times New Roman"/>
                      <w:color w:val="auto"/>
                      <w:sz w:val="18"/>
                      <w:szCs w:val="18"/>
                    </w:rPr>
                  </w:pPr>
                </w:p>
              </w:tc>
              <w:tc>
                <w:tcPr>
                  <w:tcW w:w="1938" w:type="pct"/>
                  <w:tcBorders>
                    <w:tl2br w:val="nil"/>
                    <w:tr2bl w:val="nil"/>
                  </w:tcBorders>
                  <w:vAlign w:val="center"/>
                </w:tcPr>
                <w:p w14:paraId="17379DB8">
                  <w:pPr>
                    <w:pStyle w:val="43"/>
                    <w:jc w:val="left"/>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有效镁                                                   ≥</w:t>
                  </w:r>
                </w:p>
              </w:tc>
              <w:tc>
                <w:tcPr>
                  <w:tcW w:w="1926" w:type="pct"/>
                  <w:gridSpan w:val="3"/>
                  <w:tcBorders>
                    <w:tl2br w:val="nil"/>
                    <w:tr2bl w:val="nil"/>
                  </w:tcBorders>
                  <w:vAlign w:val="center"/>
                </w:tcPr>
                <w:p w14:paraId="6F5568C8">
                  <w:pPr>
                    <w:pStyle w:val="43"/>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1.0</w:t>
                  </w:r>
                </w:p>
              </w:tc>
            </w:tr>
            <w:tr w14:paraId="7F223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35" w:type="pct"/>
                  <w:vMerge w:val="continue"/>
                  <w:tcBorders>
                    <w:tl2br w:val="nil"/>
                    <w:tr2bl w:val="nil"/>
                  </w:tcBorders>
                  <w:vAlign w:val="center"/>
                </w:tcPr>
                <w:p w14:paraId="02C724A9">
                  <w:pPr>
                    <w:pStyle w:val="43"/>
                    <w:jc w:val="left"/>
                    <w:rPr>
                      <w:rFonts w:hint="default" w:ascii="Times New Roman" w:hAnsi="Times New Roman" w:cs="Times New Roman"/>
                      <w:color w:val="auto"/>
                      <w:sz w:val="18"/>
                      <w:szCs w:val="18"/>
                    </w:rPr>
                  </w:pPr>
                </w:p>
              </w:tc>
              <w:tc>
                <w:tcPr>
                  <w:tcW w:w="1938" w:type="pct"/>
                  <w:tcBorders>
                    <w:tl2br w:val="nil"/>
                    <w:tr2bl w:val="nil"/>
                  </w:tcBorders>
                  <w:vAlign w:val="center"/>
                </w:tcPr>
                <w:p w14:paraId="09DA9602">
                  <w:pPr>
                    <w:pStyle w:val="43"/>
                    <w:jc w:val="left"/>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总硫                                                       ≥</w:t>
                  </w:r>
                </w:p>
              </w:tc>
              <w:tc>
                <w:tcPr>
                  <w:tcW w:w="1926" w:type="pct"/>
                  <w:gridSpan w:val="3"/>
                  <w:tcBorders>
                    <w:tl2br w:val="nil"/>
                    <w:tr2bl w:val="nil"/>
                  </w:tcBorders>
                  <w:vAlign w:val="center"/>
                </w:tcPr>
                <w:p w14:paraId="376CE843">
                  <w:pPr>
                    <w:pStyle w:val="43"/>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2.0</w:t>
                  </w:r>
                </w:p>
              </w:tc>
            </w:tr>
            <w:tr w14:paraId="44FB9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3073" w:type="pct"/>
                  <w:gridSpan w:val="2"/>
                  <w:tcBorders>
                    <w:tl2br w:val="nil"/>
                    <w:tr2bl w:val="nil"/>
                  </w:tcBorders>
                  <w:vAlign w:val="center"/>
                </w:tcPr>
                <w:p w14:paraId="16072583">
                  <w:pPr>
                    <w:pStyle w:val="43"/>
                    <w:jc w:val="left"/>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单一微量元素h（以单质计）/%                                                  ≥</w:t>
                  </w:r>
                </w:p>
              </w:tc>
              <w:tc>
                <w:tcPr>
                  <w:tcW w:w="1926" w:type="pct"/>
                  <w:gridSpan w:val="3"/>
                  <w:tcBorders>
                    <w:tl2br w:val="nil"/>
                    <w:tr2bl w:val="nil"/>
                  </w:tcBorders>
                  <w:vAlign w:val="center"/>
                </w:tcPr>
                <w:p w14:paraId="6C3F5FB1">
                  <w:pPr>
                    <w:pStyle w:val="43"/>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0.02</w:t>
                  </w:r>
                </w:p>
              </w:tc>
            </w:tr>
            <w:tr w14:paraId="4A8D9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5000" w:type="pct"/>
                  <w:gridSpan w:val="5"/>
                  <w:tcBorders>
                    <w:tl2br w:val="nil"/>
                    <w:tr2bl w:val="nil"/>
                  </w:tcBorders>
                  <w:vAlign w:val="center"/>
                </w:tcPr>
                <w:p w14:paraId="18968D60">
                  <w:pPr>
                    <w:pStyle w:val="43"/>
                    <w:jc w:val="both"/>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a组成产品的单一养分含量不应小于4.0%,且单一养分测定值与标明值负偏差的绝对值不应大于1.5%。</w:t>
                  </w:r>
                </w:p>
                <w:p w14:paraId="1774B73E">
                  <w:pPr>
                    <w:pStyle w:val="43"/>
                    <w:jc w:val="both"/>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b以钙镁磷肥等枸溶性磷肥为基能磷肥并在包装容器上注明为“枸溶性磷”时，“水溶性磷占有效磷百分率"项目不做检验和判定。若为氮、钾二元肥料，“水溶性磷占有效磷百分率"项目不做检验和判定。</w:t>
                  </w:r>
                </w:p>
                <w:p w14:paraId="3A11C1EF">
                  <w:pPr>
                    <w:pStyle w:val="43"/>
                    <w:jc w:val="both"/>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c包装容器.上标明“含硝态氮”时检测期项目。</w:t>
                  </w:r>
                </w:p>
                <w:p w14:paraId="48CC7C55">
                  <w:pPr>
                    <w:pStyle w:val="43"/>
                    <w:jc w:val="both"/>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d水分以生产企业出厂检验数据为准。</w:t>
                  </w:r>
                </w:p>
                <w:p w14:paraId="6C52451E">
                  <w:pPr>
                    <w:pStyle w:val="43"/>
                    <w:jc w:val="both"/>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e特殊形状或更大颗粒（粉状除外）产品的粒度可由供需双方协议确定。</w:t>
                  </w:r>
                </w:p>
                <w:p w14:paraId="0848108D">
                  <w:pPr>
                    <w:pStyle w:val="43"/>
                    <w:jc w:val="both"/>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f氯离子的质量分数大于30.0%的产品.应在包装容器上标明“含氯（高氯）”；标识“含氯（高氯）”的产品氯离子的质量分数可不做检验和判定。</w:t>
                  </w:r>
                </w:p>
                <w:p w14:paraId="129ABEB8">
                  <w:pPr>
                    <w:pStyle w:val="43"/>
                    <w:jc w:val="both"/>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g 包装容器上标明含钙、镁、硫时检测项目。</w:t>
                  </w:r>
                </w:p>
                <w:p w14:paraId="0D386AC2">
                  <w:pPr>
                    <w:pStyle w:val="43"/>
                    <w:jc w:val="both"/>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h包装容器上标明含铜、铁、锰、锌、硼、钳时检测项目,钼元素的质量分数不高于0.5%。</w:t>
                  </w:r>
                </w:p>
              </w:tc>
            </w:tr>
          </w:tbl>
          <w:p w14:paraId="2104FD6D">
            <w:pPr>
              <w:spacing w:line="360" w:lineRule="auto"/>
              <w:ind w:firstLine="420" w:firstLineChars="200"/>
              <w:rPr>
                <w:rFonts w:hint="default" w:ascii="Times New Roman" w:hAnsi="Times New Roman" w:cs="Times New Roman"/>
                <w:color w:val="auto"/>
                <w:kern w:val="0"/>
              </w:rPr>
            </w:pPr>
            <w:r>
              <w:rPr>
                <w:rFonts w:hint="default" w:ascii="Times New Roman" w:hAnsi="Times New Roman" w:cs="Times New Roman"/>
                <w:snapToGrid w:val="0"/>
                <w:color w:val="auto"/>
                <w:kern w:val="0"/>
              </w:rPr>
              <w:t>8、主要原辅材料及能源消耗</w:t>
            </w:r>
          </w:p>
          <w:p w14:paraId="1CAB4A4A">
            <w:pPr>
              <w:adjustRightInd w:val="0"/>
              <w:snapToGrid w:val="0"/>
              <w:spacing w:line="360" w:lineRule="auto"/>
              <w:ind w:firstLine="420" w:firstLineChars="200"/>
              <w:rPr>
                <w:rFonts w:hint="default" w:ascii="Times New Roman" w:hAnsi="Times New Roman" w:cs="Times New Roman"/>
                <w:snapToGrid w:val="0"/>
                <w:color w:val="auto"/>
                <w:kern w:val="0"/>
              </w:rPr>
            </w:pPr>
            <w:r>
              <w:rPr>
                <w:rFonts w:hint="eastAsia" w:cs="Times New Roman"/>
                <w:snapToGrid w:val="0"/>
                <w:color w:val="auto"/>
                <w:kern w:val="0"/>
                <w:lang w:val="en-US" w:eastAsia="zh-CN"/>
              </w:rPr>
              <w:t>一期</w:t>
            </w:r>
            <w:r>
              <w:rPr>
                <w:rFonts w:hint="default" w:ascii="Times New Roman" w:hAnsi="Times New Roman" w:cs="Times New Roman"/>
                <w:snapToGrid w:val="0"/>
                <w:color w:val="auto"/>
                <w:kern w:val="0"/>
              </w:rPr>
              <w:t>项目主要原辅材料及能源消耗，具体情况见表2-4。</w:t>
            </w:r>
          </w:p>
          <w:p w14:paraId="461B612F">
            <w:pPr>
              <w:adjustRightInd w:val="0"/>
              <w:snapToGrid w:val="0"/>
              <w:spacing w:line="360" w:lineRule="auto"/>
              <w:jc w:val="center"/>
              <w:rPr>
                <w:rFonts w:hint="default" w:ascii="Times New Roman" w:hAnsi="Times New Roman" w:cs="Times New Roman"/>
                <w:b/>
                <w:color w:val="auto"/>
                <w:kern w:val="0"/>
                <w:highlight w:val="none"/>
              </w:rPr>
            </w:pPr>
            <w:r>
              <w:rPr>
                <w:rFonts w:hint="default" w:ascii="Times New Roman" w:hAnsi="Times New Roman" w:cs="Times New Roman"/>
                <w:b/>
                <w:color w:val="auto"/>
                <w:kern w:val="0"/>
                <w:highlight w:val="none"/>
              </w:rPr>
              <w:t>表2-4  主要原辅料及能源消耗</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9"/>
              <w:gridCol w:w="1957"/>
              <w:gridCol w:w="1841"/>
              <w:gridCol w:w="1466"/>
              <w:gridCol w:w="2542"/>
            </w:tblGrid>
            <w:tr w14:paraId="355F0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356" w:type="pct"/>
                  <w:vAlign w:val="center"/>
                </w:tcPr>
                <w:p w14:paraId="3626302B">
                  <w:pPr>
                    <w:tabs>
                      <w:tab w:val="left" w:pos="1680"/>
                    </w:tabs>
                    <w:spacing w:line="0" w:lineRule="atLeast"/>
                    <w:ind w:right="-108"/>
                    <w:jc w:val="center"/>
                    <w:rPr>
                      <w:rFonts w:hint="default" w:ascii="Times New Roman" w:hAnsi="Times New Roman" w:cs="Times New Roman" w:eastAsiaTheme="minorEastAsia"/>
                      <w:b/>
                      <w:color w:val="auto"/>
                      <w:sz w:val="18"/>
                      <w:szCs w:val="18"/>
                    </w:rPr>
                  </w:pPr>
                  <w:bookmarkStart w:id="17" w:name="_Hlk79228775"/>
                  <w:r>
                    <w:rPr>
                      <w:rFonts w:hint="default" w:ascii="Times New Roman" w:hAnsi="Times New Roman" w:cs="Times New Roman" w:eastAsiaTheme="minorEastAsia"/>
                      <w:b/>
                      <w:color w:val="auto"/>
                      <w:sz w:val="18"/>
                      <w:szCs w:val="18"/>
                    </w:rPr>
                    <w:t>序号</w:t>
                  </w:r>
                </w:p>
              </w:tc>
              <w:tc>
                <w:tcPr>
                  <w:tcW w:w="1164" w:type="pct"/>
                  <w:vAlign w:val="center"/>
                </w:tcPr>
                <w:p w14:paraId="6FDC1D2B">
                  <w:pPr>
                    <w:tabs>
                      <w:tab w:val="left" w:pos="1680"/>
                    </w:tabs>
                    <w:spacing w:line="0" w:lineRule="atLeast"/>
                    <w:ind w:right="-108"/>
                    <w:jc w:val="center"/>
                    <w:rPr>
                      <w:rFonts w:hint="default" w:ascii="Times New Roman" w:hAnsi="Times New Roman" w:cs="Times New Roman" w:eastAsiaTheme="minorEastAsia"/>
                      <w:b/>
                      <w:color w:val="auto"/>
                      <w:sz w:val="18"/>
                      <w:szCs w:val="18"/>
                    </w:rPr>
                  </w:pPr>
                  <w:r>
                    <w:rPr>
                      <w:rFonts w:hint="default" w:ascii="Times New Roman" w:hAnsi="Times New Roman" w:cs="Times New Roman" w:eastAsiaTheme="minorEastAsia"/>
                      <w:b/>
                      <w:color w:val="auto"/>
                      <w:sz w:val="18"/>
                      <w:szCs w:val="18"/>
                    </w:rPr>
                    <w:t>名称</w:t>
                  </w:r>
                </w:p>
              </w:tc>
              <w:tc>
                <w:tcPr>
                  <w:tcW w:w="1095" w:type="pct"/>
                  <w:vAlign w:val="center"/>
                </w:tcPr>
                <w:p w14:paraId="0CCEC085">
                  <w:pPr>
                    <w:tabs>
                      <w:tab w:val="left" w:pos="1680"/>
                    </w:tabs>
                    <w:spacing w:line="0" w:lineRule="atLeast"/>
                    <w:ind w:right="-108"/>
                    <w:jc w:val="center"/>
                    <w:rPr>
                      <w:rFonts w:hint="default" w:ascii="Times New Roman" w:hAnsi="Times New Roman" w:cs="Times New Roman" w:eastAsiaTheme="minorEastAsia"/>
                      <w:b/>
                      <w:color w:val="auto"/>
                      <w:sz w:val="18"/>
                      <w:szCs w:val="18"/>
                      <w:lang w:eastAsia="zh-CN"/>
                    </w:rPr>
                  </w:pPr>
                  <w:r>
                    <w:rPr>
                      <w:rFonts w:hint="eastAsia" w:cs="Times New Roman" w:eastAsiaTheme="minorEastAsia"/>
                      <w:b/>
                      <w:color w:val="auto"/>
                      <w:sz w:val="18"/>
                      <w:szCs w:val="18"/>
                      <w:lang w:val="en-US" w:eastAsia="zh-CN"/>
                    </w:rPr>
                    <w:t>一期用量</w:t>
                  </w:r>
                </w:p>
              </w:tc>
              <w:tc>
                <w:tcPr>
                  <w:tcW w:w="872" w:type="pct"/>
                  <w:vAlign w:val="center"/>
                </w:tcPr>
                <w:p w14:paraId="4A760675">
                  <w:pPr>
                    <w:tabs>
                      <w:tab w:val="left" w:pos="1680"/>
                    </w:tabs>
                    <w:spacing w:line="0" w:lineRule="atLeast"/>
                    <w:ind w:right="-108"/>
                    <w:jc w:val="center"/>
                    <w:rPr>
                      <w:rFonts w:hint="default" w:ascii="Times New Roman" w:hAnsi="Times New Roman" w:cs="Times New Roman" w:eastAsiaTheme="minorEastAsia"/>
                      <w:b/>
                      <w:color w:val="auto"/>
                      <w:sz w:val="18"/>
                      <w:szCs w:val="18"/>
                      <w:lang w:eastAsia="zh-CN"/>
                    </w:rPr>
                  </w:pPr>
                  <w:r>
                    <w:rPr>
                      <w:rFonts w:hint="default" w:ascii="Times New Roman" w:hAnsi="Times New Roman" w:cs="Times New Roman" w:eastAsiaTheme="minorEastAsia"/>
                      <w:b/>
                      <w:color w:val="auto"/>
                      <w:sz w:val="18"/>
                      <w:szCs w:val="18"/>
                      <w:lang w:eastAsia="zh-CN"/>
                    </w:rPr>
                    <w:t>单位</w:t>
                  </w:r>
                </w:p>
              </w:tc>
              <w:tc>
                <w:tcPr>
                  <w:tcW w:w="1512" w:type="pct"/>
                  <w:vAlign w:val="center"/>
                </w:tcPr>
                <w:p w14:paraId="7726A1D9">
                  <w:pPr>
                    <w:tabs>
                      <w:tab w:val="left" w:pos="1680"/>
                    </w:tabs>
                    <w:spacing w:line="0" w:lineRule="atLeast"/>
                    <w:ind w:right="-108"/>
                    <w:jc w:val="center"/>
                    <w:rPr>
                      <w:rFonts w:hint="default" w:ascii="Times New Roman" w:hAnsi="Times New Roman" w:cs="Times New Roman" w:eastAsiaTheme="minorEastAsia"/>
                      <w:b/>
                      <w:color w:val="auto"/>
                      <w:sz w:val="18"/>
                      <w:szCs w:val="18"/>
                    </w:rPr>
                  </w:pPr>
                  <w:r>
                    <w:rPr>
                      <w:rFonts w:hint="default" w:ascii="Times New Roman" w:hAnsi="Times New Roman" w:cs="Times New Roman" w:eastAsiaTheme="minorEastAsia"/>
                      <w:b/>
                      <w:color w:val="auto"/>
                      <w:sz w:val="18"/>
                      <w:szCs w:val="18"/>
                      <w:highlight w:val="none"/>
                    </w:rPr>
                    <w:t>备注</w:t>
                  </w:r>
                </w:p>
              </w:tc>
            </w:tr>
            <w:tr w14:paraId="1B81A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Align w:val="center"/>
                </w:tcPr>
                <w:p w14:paraId="3AA285A3">
                  <w:pPr>
                    <w:pStyle w:val="1042"/>
                    <w:numPr>
                      <w:ilvl w:val="0"/>
                      <w:numId w:val="18"/>
                    </w:numPr>
                    <w:ind w:firstLineChars="0"/>
                    <w:jc w:val="center"/>
                    <w:rPr>
                      <w:rFonts w:hint="default" w:ascii="Times New Roman" w:hAnsi="Times New Roman" w:cs="Times New Roman" w:eastAsiaTheme="minorEastAsia"/>
                      <w:color w:val="auto"/>
                      <w:sz w:val="18"/>
                      <w:szCs w:val="18"/>
                    </w:rPr>
                  </w:pPr>
                </w:p>
              </w:tc>
              <w:tc>
                <w:tcPr>
                  <w:tcW w:w="1164" w:type="pct"/>
                  <w:vAlign w:val="center"/>
                </w:tcPr>
                <w:p w14:paraId="79063BAA">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硫酸铵</w:t>
                  </w:r>
                </w:p>
              </w:tc>
              <w:tc>
                <w:tcPr>
                  <w:tcW w:w="1095" w:type="pct"/>
                  <w:vAlign w:val="center"/>
                </w:tcPr>
                <w:p w14:paraId="7F0B79A8">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15万</w:t>
                  </w:r>
                </w:p>
              </w:tc>
              <w:tc>
                <w:tcPr>
                  <w:tcW w:w="872" w:type="pct"/>
                  <w:vAlign w:val="center"/>
                </w:tcPr>
                <w:p w14:paraId="368F0722">
                  <w:pPr>
                    <w:jc w:val="center"/>
                    <w:rPr>
                      <w:rFonts w:hint="default" w:ascii="Times New Roman" w:hAnsi="Times New Roman" w:cs="Times New Roman" w:eastAsiaTheme="minorEastAsia"/>
                      <w:bCs/>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val="en-US" w:eastAsia="zh-CN"/>
                    </w:rPr>
                    <w:t>t/a</w:t>
                  </w:r>
                </w:p>
              </w:tc>
              <w:tc>
                <w:tcPr>
                  <w:tcW w:w="1512" w:type="pct"/>
                  <w:vAlign w:val="center"/>
                </w:tcPr>
                <w:p w14:paraId="7F41EAFF">
                  <w:pPr>
                    <w:jc w:val="center"/>
                    <w:rPr>
                      <w:rFonts w:hint="default" w:ascii="Times New Roman" w:hAnsi="Times New Roman" w:cs="Times New Roman" w:eastAsiaTheme="minorEastAsia"/>
                      <w:bCs/>
                      <w:color w:val="FF0000"/>
                      <w:sz w:val="18"/>
                      <w:szCs w:val="18"/>
                      <w:highlight w:val="yellow"/>
                      <w:lang w:val="en-US" w:eastAsia="zh-CN"/>
                    </w:rPr>
                  </w:pPr>
                  <w:r>
                    <w:rPr>
                      <w:rFonts w:hint="default" w:ascii="Times New Roman" w:hAnsi="Times New Roman" w:cs="Times New Roman" w:eastAsiaTheme="minorEastAsia"/>
                      <w:bCs/>
                      <w:color w:val="auto"/>
                      <w:sz w:val="18"/>
                      <w:szCs w:val="18"/>
                      <w:highlight w:val="none"/>
                      <w:lang w:eastAsia="zh-CN"/>
                    </w:rPr>
                    <w:t>外购，</w:t>
                  </w:r>
                  <w:r>
                    <w:rPr>
                      <w:rFonts w:hint="eastAsia" w:cs="Times New Roman" w:eastAsiaTheme="minorEastAsia"/>
                      <w:bCs/>
                      <w:color w:val="auto"/>
                      <w:sz w:val="18"/>
                      <w:szCs w:val="18"/>
                      <w:highlight w:val="none"/>
                      <w:lang w:val="en-US" w:eastAsia="zh-CN"/>
                    </w:rPr>
                    <w:t>散装/吨包/50kg/袋，最大储存量为5000t，其中5万吨硫酸铵为散装，5万吨硫酸铵包装规格为1t/袋，5万吨硫酸铵包装规格为50kg/袋</w:t>
                  </w:r>
                </w:p>
              </w:tc>
            </w:tr>
            <w:tr w14:paraId="3D9E9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Align w:val="center"/>
                </w:tcPr>
                <w:p w14:paraId="7897A1A5">
                  <w:pPr>
                    <w:pStyle w:val="1042"/>
                    <w:numPr>
                      <w:ilvl w:val="0"/>
                      <w:numId w:val="18"/>
                    </w:numPr>
                    <w:ind w:firstLineChars="0"/>
                    <w:jc w:val="center"/>
                    <w:rPr>
                      <w:rFonts w:hint="default" w:ascii="Times New Roman" w:hAnsi="Times New Roman" w:cs="Times New Roman" w:eastAsiaTheme="minorEastAsia"/>
                      <w:color w:val="auto"/>
                      <w:sz w:val="18"/>
                      <w:szCs w:val="18"/>
                    </w:rPr>
                  </w:pPr>
                </w:p>
              </w:tc>
              <w:tc>
                <w:tcPr>
                  <w:tcW w:w="1164" w:type="pct"/>
                  <w:vAlign w:val="center"/>
                </w:tcPr>
                <w:p w14:paraId="559FF690">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尿素</w:t>
                  </w:r>
                </w:p>
              </w:tc>
              <w:tc>
                <w:tcPr>
                  <w:tcW w:w="1095" w:type="pct"/>
                  <w:vAlign w:val="center"/>
                </w:tcPr>
                <w:p w14:paraId="4B8486AF">
                  <w:pPr>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3万</w:t>
                  </w:r>
                </w:p>
              </w:tc>
              <w:tc>
                <w:tcPr>
                  <w:tcW w:w="872" w:type="pct"/>
                  <w:vAlign w:val="center"/>
                </w:tcPr>
                <w:p w14:paraId="65DB7614">
                  <w:pPr>
                    <w:jc w:val="center"/>
                    <w:rPr>
                      <w:rFonts w:hint="default" w:ascii="Times New Roman" w:hAnsi="Times New Roman" w:cs="Times New Roman" w:eastAsiaTheme="minorEastAsia"/>
                      <w:bCs/>
                      <w:color w:val="auto"/>
                      <w:sz w:val="18"/>
                      <w:szCs w:val="18"/>
                      <w:highlight w:val="none"/>
                    </w:rPr>
                  </w:pPr>
                  <w:r>
                    <w:rPr>
                      <w:rFonts w:hint="default" w:ascii="Times New Roman" w:hAnsi="Times New Roman" w:cs="Times New Roman" w:eastAsiaTheme="minorEastAsia"/>
                      <w:bCs/>
                      <w:color w:val="auto"/>
                      <w:sz w:val="18"/>
                      <w:szCs w:val="18"/>
                      <w:highlight w:val="none"/>
                      <w:lang w:val="en-US" w:eastAsia="zh-CN"/>
                    </w:rPr>
                    <w:t>t/a</w:t>
                  </w:r>
                </w:p>
              </w:tc>
              <w:tc>
                <w:tcPr>
                  <w:tcW w:w="1512" w:type="pct"/>
                  <w:vAlign w:val="center"/>
                </w:tcPr>
                <w:p w14:paraId="251A2A49">
                  <w:pPr>
                    <w:jc w:val="center"/>
                    <w:rPr>
                      <w:rFonts w:hint="default" w:ascii="Times New Roman" w:hAnsi="Times New Roman" w:cs="Times New Roman" w:eastAsiaTheme="minorEastAsia"/>
                      <w:bCs/>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eastAsia="zh-CN"/>
                    </w:rPr>
                    <w:t>外购，</w:t>
                  </w:r>
                  <w:r>
                    <w:rPr>
                      <w:rFonts w:hint="eastAsia" w:cs="Times New Roman" w:eastAsiaTheme="minorEastAsia"/>
                      <w:bCs/>
                      <w:color w:val="auto"/>
                      <w:sz w:val="18"/>
                      <w:szCs w:val="18"/>
                      <w:highlight w:val="none"/>
                      <w:lang w:val="en-US" w:eastAsia="zh-CN"/>
                    </w:rPr>
                    <w:t>吨包，50kg/袋，最大储存量为3000t</w:t>
                  </w:r>
                </w:p>
              </w:tc>
            </w:tr>
            <w:tr w14:paraId="1F408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356" w:type="pct"/>
                  <w:vAlign w:val="center"/>
                </w:tcPr>
                <w:p w14:paraId="551FA569">
                  <w:pPr>
                    <w:pStyle w:val="1042"/>
                    <w:numPr>
                      <w:ilvl w:val="0"/>
                      <w:numId w:val="18"/>
                    </w:numPr>
                    <w:ind w:firstLineChars="0"/>
                    <w:jc w:val="center"/>
                    <w:rPr>
                      <w:rFonts w:hint="default" w:ascii="Times New Roman" w:hAnsi="Times New Roman" w:cs="Times New Roman" w:eastAsiaTheme="minorEastAsia"/>
                      <w:color w:val="auto"/>
                      <w:sz w:val="18"/>
                      <w:szCs w:val="18"/>
                    </w:rPr>
                  </w:pPr>
                </w:p>
              </w:tc>
              <w:tc>
                <w:tcPr>
                  <w:tcW w:w="1164" w:type="pct"/>
                  <w:vAlign w:val="center"/>
                </w:tcPr>
                <w:p w14:paraId="0967CC7F">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硫酸钾</w:t>
                  </w:r>
                </w:p>
              </w:tc>
              <w:tc>
                <w:tcPr>
                  <w:tcW w:w="1095" w:type="pct"/>
                  <w:vAlign w:val="center"/>
                </w:tcPr>
                <w:p w14:paraId="1459EF7A">
                  <w:pPr>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1.5万</w:t>
                  </w:r>
                </w:p>
              </w:tc>
              <w:tc>
                <w:tcPr>
                  <w:tcW w:w="872" w:type="pct"/>
                  <w:vAlign w:val="center"/>
                </w:tcPr>
                <w:p w14:paraId="327D9E75">
                  <w:pPr>
                    <w:jc w:val="center"/>
                    <w:rPr>
                      <w:rFonts w:hint="default" w:ascii="Times New Roman" w:hAnsi="Times New Roman" w:cs="Times New Roman" w:eastAsiaTheme="minorEastAsia"/>
                      <w:bCs/>
                      <w:color w:val="auto"/>
                      <w:sz w:val="18"/>
                      <w:szCs w:val="18"/>
                      <w:highlight w:val="none"/>
                    </w:rPr>
                  </w:pPr>
                  <w:r>
                    <w:rPr>
                      <w:rFonts w:hint="default" w:ascii="Times New Roman" w:hAnsi="Times New Roman" w:cs="Times New Roman" w:eastAsiaTheme="minorEastAsia"/>
                      <w:bCs/>
                      <w:color w:val="auto"/>
                      <w:sz w:val="18"/>
                      <w:szCs w:val="18"/>
                      <w:highlight w:val="none"/>
                      <w:lang w:val="en-US" w:eastAsia="zh-CN"/>
                    </w:rPr>
                    <w:t>t/a</w:t>
                  </w:r>
                </w:p>
              </w:tc>
              <w:tc>
                <w:tcPr>
                  <w:tcW w:w="1512" w:type="pct"/>
                  <w:vAlign w:val="center"/>
                </w:tcPr>
                <w:p w14:paraId="62E7CC50">
                  <w:pPr>
                    <w:jc w:val="center"/>
                    <w:rPr>
                      <w:rFonts w:hint="default" w:ascii="Times New Roman" w:hAnsi="Times New Roman" w:cs="Times New Roman" w:eastAsiaTheme="minorEastAsia"/>
                      <w:bCs/>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eastAsia="zh-CN"/>
                    </w:rPr>
                    <w:t>外购，</w:t>
                  </w:r>
                  <w:r>
                    <w:rPr>
                      <w:rFonts w:hint="eastAsia" w:cs="Times New Roman" w:eastAsiaTheme="minorEastAsia"/>
                      <w:bCs/>
                      <w:color w:val="auto"/>
                      <w:sz w:val="18"/>
                      <w:szCs w:val="18"/>
                      <w:highlight w:val="none"/>
                      <w:lang w:val="en-US" w:eastAsia="zh-CN"/>
                    </w:rPr>
                    <w:t>吨包，50kg/袋，最大储存量为1000t</w:t>
                  </w:r>
                </w:p>
              </w:tc>
            </w:tr>
            <w:tr w14:paraId="4086A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Align w:val="center"/>
                </w:tcPr>
                <w:p w14:paraId="049D028C">
                  <w:pPr>
                    <w:pStyle w:val="1042"/>
                    <w:numPr>
                      <w:ilvl w:val="0"/>
                      <w:numId w:val="18"/>
                    </w:numPr>
                    <w:ind w:firstLineChars="0"/>
                    <w:jc w:val="center"/>
                    <w:rPr>
                      <w:rFonts w:hint="default" w:ascii="Times New Roman" w:hAnsi="Times New Roman" w:cs="Times New Roman" w:eastAsiaTheme="minorEastAsia"/>
                      <w:color w:val="auto"/>
                      <w:sz w:val="18"/>
                      <w:szCs w:val="18"/>
                    </w:rPr>
                  </w:pPr>
                </w:p>
              </w:tc>
              <w:tc>
                <w:tcPr>
                  <w:tcW w:w="1164" w:type="pct"/>
                  <w:vAlign w:val="center"/>
                </w:tcPr>
                <w:p w14:paraId="0614372D">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氯化钾</w:t>
                  </w:r>
                </w:p>
              </w:tc>
              <w:tc>
                <w:tcPr>
                  <w:tcW w:w="1095" w:type="pct"/>
                  <w:vAlign w:val="center"/>
                </w:tcPr>
                <w:p w14:paraId="39D4D6BF">
                  <w:pPr>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2.75万</w:t>
                  </w:r>
                </w:p>
              </w:tc>
              <w:tc>
                <w:tcPr>
                  <w:tcW w:w="872" w:type="pct"/>
                  <w:vAlign w:val="center"/>
                </w:tcPr>
                <w:p w14:paraId="55D22071">
                  <w:pPr>
                    <w:jc w:val="center"/>
                    <w:rPr>
                      <w:rFonts w:hint="default" w:ascii="Times New Roman" w:hAnsi="Times New Roman" w:cs="Times New Roman" w:eastAsiaTheme="minorEastAsia"/>
                      <w:bCs/>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val="en-US" w:eastAsia="zh-CN"/>
                    </w:rPr>
                    <w:t>t/a</w:t>
                  </w:r>
                </w:p>
              </w:tc>
              <w:tc>
                <w:tcPr>
                  <w:tcW w:w="1512" w:type="pct"/>
                  <w:vAlign w:val="center"/>
                </w:tcPr>
                <w:p w14:paraId="17723F7E">
                  <w:pPr>
                    <w:jc w:val="center"/>
                    <w:rPr>
                      <w:rFonts w:hint="default" w:ascii="Times New Roman" w:hAnsi="Times New Roman" w:cs="Times New Roman" w:eastAsiaTheme="minorEastAsia"/>
                      <w:bCs/>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eastAsia="zh-CN"/>
                    </w:rPr>
                    <w:t>外购，</w:t>
                  </w:r>
                  <w:r>
                    <w:rPr>
                      <w:rFonts w:hint="eastAsia" w:cs="Times New Roman" w:eastAsiaTheme="minorEastAsia"/>
                      <w:bCs/>
                      <w:color w:val="auto"/>
                      <w:sz w:val="18"/>
                      <w:szCs w:val="18"/>
                      <w:highlight w:val="none"/>
                      <w:lang w:val="en-US" w:eastAsia="zh-CN"/>
                    </w:rPr>
                    <w:t>吨包，50kg/袋，最大储存量为3000t</w:t>
                  </w:r>
                </w:p>
              </w:tc>
            </w:tr>
            <w:tr w14:paraId="725CA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Align w:val="center"/>
                </w:tcPr>
                <w:p w14:paraId="2A45C614">
                  <w:pPr>
                    <w:pStyle w:val="1042"/>
                    <w:numPr>
                      <w:ilvl w:val="0"/>
                      <w:numId w:val="18"/>
                    </w:numPr>
                    <w:ind w:firstLineChars="0"/>
                    <w:jc w:val="center"/>
                    <w:rPr>
                      <w:rFonts w:hint="default" w:ascii="Times New Roman" w:hAnsi="Times New Roman" w:cs="Times New Roman" w:eastAsiaTheme="minorEastAsia"/>
                      <w:color w:val="auto"/>
                      <w:sz w:val="18"/>
                      <w:szCs w:val="18"/>
                    </w:rPr>
                  </w:pPr>
                </w:p>
              </w:tc>
              <w:tc>
                <w:tcPr>
                  <w:tcW w:w="1164" w:type="pct"/>
                  <w:vAlign w:val="center"/>
                </w:tcPr>
                <w:p w14:paraId="396FF05C">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磷酸二铵</w:t>
                  </w:r>
                </w:p>
              </w:tc>
              <w:tc>
                <w:tcPr>
                  <w:tcW w:w="1095" w:type="pct"/>
                  <w:vAlign w:val="center"/>
                </w:tcPr>
                <w:p w14:paraId="2EBA116A">
                  <w:pPr>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1.5万</w:t>
                  </w:r>
                </w:p>
              </w:tc>
              <w:tc>
                <w:tcPr>
                  <w:tcW w:w="872" w:type="pct"/>
                  <w:vAlign w:val="center"/>
                </w:tcPr>
                <w:p w14:paraId="67747E61">
                  <w:pPr>
                    <w:jc w:val="center"/>
                    <w:rPr>
                      <w:rFonts w:hint="default" w:ascii="Times New Roman" w:hAnsi="Times New Roman" w:cs="Times New Roman" w:eastAsiaTheme="minorEastAsia"/>
                      <w:bCs/>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val="en-US" w:eastAsia="zh-CN"/>
                    </w:rPr>
                    <w:t>t/a</w:t>
                  </w:r>
                </w:p>
              </w:tc>
              <w:tc>
                <w:tcPr>
                  <w:tcW w:w="1512" w:type="pct"/>
                  <w:vAlign w:val="center"/>
                </w:tcPr>
                <w:p w14:paraId="760E0429">
                  <w:pPr>
                    <w:jc w:val="center"/>
                    <w:rPr>
                      <w:rFonts w:hint="default" w:ascii="Times New Roman" w:hAnsi="Times New Roman" w:cs="Times New Roman" w:eastAsiaTheme="minorEastAsia"/>
                      <w:bCs/>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eastAsia="zh-CN"/>
                    </w:rPr>
                    <w:t>外购，</w:t>
                  </w:r>
                  <w:r>
                    <w:rPr>
                      <w:rFonts w:hint="eastAsia" w:cs="Times New Roman" w:eastAsiaTheme="minorEastAsia"/>
                      <w:bCs/>
                      <w:color w:val="auto"/>
                      <w:sz w:val="18"/>
                      <w:szCs w:val="18"/>
                      <w:highlight w:val="none"/>
                      <w:lang w:val="en-US" w:eastAsia="zh-CN"/>
                    </w:rPr>
                    <w:t>吨包，50kg/袋，最大储存量为100t</w:t>
                  </w:r>
                </w:p>
              </w:tc>
            </w:tr>
            <w:tr w14:paraId="64FFB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Align w:val="center"/>
                </w:tcPr>
                <w:p w14:paraId="1795634B">
                  <w:pPr>
                    <w:pStyle w:val="1042"/>
                    <w:numPr>
                      <w:ilvl w:val="0"/>
                      <w:numId w:val="18"/>
                    </w:numPr>
                    <w:ind w:firstLineChars="0"/>
                    <w:jc w:val="center"/>
                    <w:rPr>
                      <w:rFonts w:hint="default" w:ascii="Times New Roman" w:hAnsi="Times New Roman" w:cs="Times New Roman" w:eastAsiaTheme="minorEastAsia"/>
                      <w:color w:val="auto"/>
                      <w:sz w:val="18"/>
                      <w:szCs w:val="18"/>
                    </w:rPr>
                  </w:pPr>
                </w:p>
              </w:tc>
              <w:tc>
                <w:tcPr>
                  <w:tcW w:w="1164" w:type="pct"/>
                  <w:vAlign w:val="center"/>
                </w:tcPr>
                <w:p w14:paraId="27F8C4B7">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磷酸一铵</w:t>
                  </w:r>
                </w:p>
              </w:tc>
              <w:tc>
                <w:tcPr>
                  <w:tcW w:w="1095" w:type="pct"/>
                  <w:vAlign w:val="center"/>
                </w:tcPr>
                <w:p w14:paraId="7F7ED4C3">
                  <w:pPr>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1万</w:t>
                  </w:r>
                </w:p>
              </w:tc>
              <w:tc>
                <w:tcPr>
                  <w:tcW w:w="872" w:type="pct"/>
                  <w:vAlign w:val="center"/>
                </w:tcPr>
                <w:p w14:paraId="19BD1DB7">
                  <w:pPr>
                    <w:jc w:val="center"/>
                    <w:rPr>
                      <w:rFonts w:hint="default" w:ascii="Times New Roman" w:hAnsi="Times New Roman" w:cs="Times New Roman" w:eastAsiaTheme="minorEastAsia"/>
                      <w:bCs/>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val="en-US" w:eastAsia="zh-CN"/>
                    </w:rPr>
                    <w:t>t/a</w:t>
                  </w:r>
                </w:p>
              </w:tc>
              <w:tc>
                <w:tcPr>
                  <w:tcW w:w="1512" w:type="pct"/>
                  <w:vAlign w:val="center"/>
                </w:tcPr>
                <w:p w14:paraId="10130D54">
                  <w:pPr>
                    <w:jc w:val="center"/>
                    <w:rPr>
                      <w:rFonts w:hint="default" w:ascii="Times New Roman" w:hAnsi="Times New Roman" w:cs="Times New Roman" w:eastAsiaTheme="minorEastAsia"/>
                      <w:bCs/>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eastAsia="zh-CN"/>
                    </w:rPr>
                    <w:t>外购，</w:t>
                  </w:r>
                  <w:r>
                    <w:rPr>
                      <w:rFonts w:hint="eastAsia" w:cs="Times New Roman" w:eastAsiaTheme="minorEastAsia"/>
                      <w:bCs/>
                      <w:color w:val="auto"/>
                      <w:sz w:val="18"/>
                      <w:szCs w:val="18"/>
                      <w:highlight w:val="none"/>
                      <w:lang w:val="en-US" w:eastAsia="zh-CN"/>
                    </w:rPr>
                    <w:t>吨包，50kg/袋，最大储存量为1000t</w:t>
                  </w:r>
                </w:p>
              </w:tc>
            </w:tr>
            <w:tr w14:paraId="6185B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Align w:val="center"/>
                </w:tcPr>
                <w:p w14:paraId="04182C18">
                  <w:pPr>
                    <w:pStyle w:val="1042"/>
                    <w:numPr>
                      <w:ilvl w:val="0"/>
                      <w:numId w:val="18"/>
                    </w:numPr>
                    <w:ind w:firstLineChars="0"/>
                    <w:jc w:val="center"/>
                    <w:rPr>
                      <w:rFonts w:hint="default" w:ascii="Times New Roman" w:hAnsi="Times New Roman" w:cs="Times New Roman" w:eastAsiaTheme="minorEastAsia"/>
                      <w:color w:val="auto"/>
                      <w:sz w:val="18"/>
                      <w:szCs w:val="18"/>
                    </w:rPr>
                  </w:pPr>
                </w:p>
              </w:tc>
              <w:tc>
                <w:tcPr>
                  <w:tcW w:w="1164" w:type="pct"/>
                  <w:vAlign w:val="center"/>
                </w:tcPr>
                <w:p w14:paraId="01D071D2">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硫酸镁</w:t>
                  </w:r>
                </w:p>
              </w:tc>
              <w:tc>
                <w:tcPr>
                  <w:tcW w:w="1095" w:type="pct"/>
                  <w:vAlign w:val="center"/>
                </w:tcPr>
                <w:p w14:paraId="0E9D3A47">
                  <w:pPr>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600</w:t>
                  </w:r>
                </w:p>
              </w:tc>
              <w:tc>
                <w:tcPr>
                  <w:tcW w:w="872" w:type="pct"/>
                  <w:vAlign w:val="center"/>
                </w:tcPr>
                <w:p w14:paraId="0901EC93">
                  <w:pPr>
                    <w:jc w:val="center"/>
                    <w:rPr>
                      <w:rFonts w:hint="default" w:ascii="Times New Roman" w:hAnsi="Times New Roman" w:cs="Times New Roman" w:eastAsiaTheme="minorEastAsia"/>
                      <w:bCs/>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val="en-US" w:eastAsia="zh-CN"/>
                    </w:rPr>
                    <w:t>t/a</w:t>
                  </w:r>
                </w:p>
              </w:tc>
              <w:tc>
                <w:tcPr>
                  <w:tcW w:w="1512" w:type="pct"/>
                  <w:vAlign w:val="center"/>
                </w:tcPr>
                <w:p w14:paraId="254F2DBD">
                  <w:pPr>
                    <w:jc w:val="center"/>
                    <w:rPr>
                      <w:rFonts w:hint="default" w:ascii="Times New Roman" w:hAnsi="Times New Roman" w:cs="Times New Roman" w:eastAsiaTheme="minorEastAsia"/>
                      <w:bCs/>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eastAsia="zh-CN"/>
                    </w:rPr>
                    <w:t>外购，</w:t>
                  </w:r>
                  <w:r>
                    <w:rPr>
                      <w:rFonts w:hint="eastAsia" w:cs="Times New Roman" w:eastAsiaTheme="minorEastAsia"/>
                      <w:bCs/>
                      <w:color w:val="auto"/>
                      <w:sz w:val="18"/>
                      <w:szCs w:val="18"/>
                      <w:highlight w:val="none"/>
                      <w:lang w:val="en-US" w:eastAsia="zh-CN"/>
                    </w:rPr>
                    <w:t>吨包，50kg/袋，最大储存量为100t</w:t>
                  </w:r>
                </w:p>
              </w:tc>
            </w:tr>
            <w:tr w14:paraId="2CAE4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Align w:val="center"/>
                </w:tcPr>
                <w:p w14:paraId="70EF3EC3">
                  <w:pPr>
                    <w:pStyle w:val="1042"/>
                    <w:numPr>
                      <w:ilvl w:val="0"/>
                      <w:numId w:val="18"/>
                    </w:numPr>
                    <w:ind w:firstLineChars="0"/>
                    <w:jc w:val="center"/>
                    <w:rPr>
                      <w:rFonts w:hint="default" w:ascii="Times New Roman" w:hAnsi="Times New Roman" w:cs="Times New Roman" w:eastAsiaTheme="minorEastAsia"/>
                      <w:color w:val="auto"/>
                      <w:sz w:val="18"/>
                      <w:szCs w:val="18"/>
                    </w:rPr>
                  </w:pPr>
                </w:p>
              </w:tc>
              <w:tc>
                <w:tcPr>
                  <w:tcW w:w="1164" w:type="pct"/>
                  <w:vAlign w:val="center"/>
                </w:tcPr>
                <w:p w14:paraId="701C20D6">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硫酸锌</w:t>
                  </w:r>
                </w:p>
              </w:tc>
              <w:tc>
                <w:tcPr>
                  <w:tcW w:w="1095" w:type="pct"/>
                  <w:vAlign w:val="center"/>
                </w:tcPr>
                <w:p w14:paraId="7618AD84">
                  <w:pPr>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1000</w:t>
                  </w:r>
                </w:p>
              </w:tc>
              <w:tc>
                <w:tcPr>
                  <w:tcW w:w="872" w:type="pct"/>
                  <w:vAlign w:val="center"/>
                </w:tcPr>
                <w:p w14:paraId="0635C9E6">
                  <w:pPr>
                    <w:jc w:val="center"/>
                    <w:rPr>
                      <w:rFonts w:hint="default" w:ascii="Times New Roman" w:hAnsi="Times New Roman" w:cs="Times New Roman" w:eastAsiaTheme="minorEastAsia"/>
                      <w:bCs/>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val="en-US" w:eastAsia="zh-CN"/>
                    </w:rPr>
                    <w:t>t/a</w:t>
                  </w:r>
                </w:p>
              </w:tc>
              <w:tc>
                <w:tcPr>
                  <w:tcW w:w="1512" w:type="pct"/>
                  <w:vAlign w:val="center"/>
                </w:tcPr>
                <w:p w14:paraId="71E20916">
                  <w:pPr>
                    <w:jc w:val="center"/>
                    <w:rPr>
                      <w:rFonts w:hint="default" w:ascii="Times New Roman" w:hAnsi="Times New Roman" w:cs="Times New Roman" w:eastAsiaTheme="minorEastAsia"/>
                      <w:bCs/>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eastAsia="zh-CN"/>
                    </w:rPr>
                    <w:t>外购，</w:t>
                  </w:r>
                  <w:r>
                    <w:rPr>
                      <w:rFonts w:hint="eastAsia" w:cs="Times New Roman" w:eastAsiaTheme="minorEastAsia"/>
                      <w:bCs/>
                      <w:color w:val="auto"/>
                      <w:sz w:val="18"/>
                      <w:szCs w:val="18"/>
                      <w:highlight w:val="none"/>
                      <w:lang w:val="en-US" w:eastAsia="zh-CN"/>
                    </w:rPr>
                    <w:t>吨包，50kg/袋，最大储存量为200t</w:t>
                  </w:r>
                </w:p>
              </w:tc>
            </w:tr>
            <w:tr w14:paraId="687EB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Align w:val="center"/>
                </w:tcPr>
                <w:p w14:paraId="273A341C">
                  <w:pPr>
                    <w:pStyle w:val="1042"/>
                    <w:numPr>
                      <w:ilvl w:val="0"/>
                      <w:numId w:val="18"/>
                    </w:numPr>
                    <w:ind w:firstLineChars="0"/>
                    <w:jc w:val="center"/>
                    <w:rPr>
                      <w:rFonts w:hint="default" w:ascii="Times New Roman" w:hAnsi="Times New Roman" w:cs="Times New Roman" w:eastAsiaTheme="minorEastAsia"/>
                      <w:color w:val="auto"/>
                      <w:sz w:val="18"/>
                      <w:szCs w:val="18"/>
                    </w:rPr>
                  </w:pPr>
                </w:p>
              </w:tc>
              <w:tc>
                <w:tcPr>
                  <w:tcW w:w="1164" w:type="pct"/>
                  <w:vAlign w:val="center"/>
                </w:tcPr>
                <w:p w14:paraId="074A96DC">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氯化铵</w:t>
                  </w:r>
                </w:p>
              </w:tc>
              <w:tc>
                <w:tcPr>
                  <w:tcW w:w="1095" w:type="pct"/>
                  <w:vAlign w:val="center"/>
                </w:tcPr>
                <w:p w14:paraId="432418DF">
                  <w:pPr>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5万</w:t>
                  </w:r>
                </w:p>
              </w:tc>
              <w:tc>
                <w:tcPr>
                  <w:tcW w:w="872" w:type="pct"/>
                  <w:vAlign w:val="center"/>
                </w:tcPr>
                <w:p w14:paraId="6AB62954">
                  <w:pPr>
                    <w:jc w:val="center"/>
                    <w:rPr>
                      <w:rFonts w:hint="default" w:ascii="Times New Roman" w:hAnsi="Times New Roman" w:cs="Times New Roman" w:eastAsiaTheme="minorEastAsia"/>
                      <w:bCs/>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val="en-US" w:eastAsia="zh-CN"/>
                    </w:rPr>
                    <w:t>t/a</w:t>
                  </w:r>
                </w:p>
              </w:tc>
              <w:tc>
                <w:tcPr>
                  <w:tcW w:w="1512" w:type="pct"/>
                  <w:vAlign w:val="center"/>
                </w:tcPr>
                <w:p w14:paraId="68415ACA">
                  <w:pPr>
                    <w:jc w:val="center"/>
                    <w:rPr>
                      <w:rFonts w:hint="default" w:ascii="Times New Roman" w:hAnsi="Times New Roman" w:cs="Times New Roman" w:eastAsiaTheme="minorEastAsia"/>
                      <w:bCs/>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eastAsia="zh-CN"/>
                    </w:rPr>
                    <w:t>外购，</w:t>
                  </w:r>
                  <w:r>
                    <w:rPr>
                      <w:rFonts w:hint="eastAsia" w:cs="Times New Roman" w:eastAsiaTheme="minorEastAsia"/>
                      <w:bCs/>
                      <w:color w:val="auto"/>
                      <w:sz w:val="18"/>
                      <w:szCs w:val="18"/>
                      <w:highlight w:val="none"/>
                      <w:lang w:val="en-US" w:eastAsia="zh-CN"/>
                    </w:rPr>
                    <w:t>吨包，50kg/袋，最大储存量为1000t</w:t>
                  </w:r>
                </w:p>
              </w:tc>
            </w:tr>
            <w:tr w14:paraId="7B42C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356" w:type="pct"/>
                  <w:vAlign w:val="center"/>
                </w:tcPr>
                <w:p w14:paraId="4C4EEA24">
                  <w:pPr>
                    <w:pStyle w:val="1042"/>
                    <w:numPr>
                      <w:ilvl w:val="0"/>
                      <w:numId w:val="18"/>
                    </w:numPr>
                    <w:ind w:firstLineChars="0"/>
                    <w:jc w:val="center"/>
                    <w:rPr>
                      <w:rFonts w:hint="default" w:ascii="Times New Roman" w:hAnsi="Times New Roman" w:cs="Times New Roman" w:eastAsiaTheme="minorEastAsia"/>
                      <w:color w:val="auto"/>
                      <w:sz w:val="18"/>
                      <w:szCs w:val="18"/>
                    </w:rPr>
                  </w:pPr>
                </w:p>
              </w:tc>
              <w:tc>
                <w:tcPr>
                  <w:tcW w:w="1164" w:type="pct"/>
                  <w:vAlign w:val="center"/>
                </w:tcPr>
                <w:p w14:paraId="01D8F0EE">
                  <w:pPr>
                    <w:tabs>
                      <w:tab w:val="left" w:pos="1680"/>
                    </w:tabs>
                    <w:jc w:val="center"/>
                    <w:rPr>
                      <w:rFonts w:hint="default" w:ascii="Times New Roman" w:hAnsi="Times New Roman" w:cs="Times New Roman" w:eastAsiaTheme="minorEastAsia"/>
                      <w:bCs/>
                      <w:color w:val="auto"/>
                      <w:sz w:val="18"/>
                      <w:szCs w:val="18"/>
                      <w:lang w:val="en-US" w:eastAsia="zh-CN"/>
                    </w:rPr>
                  </w:pPr>
                  <w:r>
                    <w:rPr>
                      <w:rFonts w:hint="eastAsia" w:cs="Times New Roman" w:eastAsiaTheme="minorEastAsia"/>
                      <w:bCs/>
                      <w:color w:val="auto"/>
                      <w:sz w:val="18"/>
                      <w:szCs w:val="18"/>
                      <w:lang w:val="en-US" w:eastAsia="zh-CN"/>
                    </w:rPr>
                    <w:t>液压油</w:t>
                  </w:r>
                </w:p>
              </w:tc>
              <w:tc>
                <w:tcPr>
                  <w:tcW w:w="1095" w:type="pct"/>
                  <w:vAlign w:val="center"/>
                </w:tcPr>
                <w:p w14:paraId="21528632">
                  <w:pPr>
                    <w:jc w:val="center"/>
                    <w:rPr>
                      <w:rFonts w:hint="default" w:ascii="Times New Roman" w:hAnsi="Times New Roman" w:cs="Times New Roman" w:eastAsiaTheme="minorEastAsia"/>
                      <w:bCs/>
                      <w:color w:val="auto"/>
                      <w:sz w:val="18"/>
                      <w:szCs w:val="18"/>
                      <w:lang w:val="en-US" w:eastAsia="zh-CN"/>
                    </w:rPr>
                  </w:pPr>
                  <w:r>
                    <w:rPr>
                      <w:rFonts w:hint="eastAsia" w:cs="Times New Roman" w:eastAsiaTheme="minorEastAsia"/>
                      <w:bCs/>
                      <w:color w:val="auto"/>
                      <w:sz w:val="18"/>
                      <w:szCs w:val="18"/>
                      <w:lang w:val="en-US" w:eastAsia="zh-CN"/>
                    </w:rPr>
                    <w:t>0.5</w:t>
                  </w:r>
                </w:p>
              </w:tc>
              <w:tc>
                <w:tcPr>
                  <w:tcW w:w="872" w:type="pct"/>
                  <w:vAlign w:val="center"/>
                </w:tcPr>
                <w:p w14:paraId="1B5C70EB">
                  <w:pPr>
                    <w:jc w:val="center"/>
                    <w:rPr>
                      <w:rFonts w:hint="default" w:ascii="Times New Roman" w:hAnsi="Times New Roman" w:cs="Times New Roman" w:eastAsiaTheme="minorEastAsia"/>
                      <w:bCs/>
                      <w:color w:val="auto"/>
                      <w:sz w:val="18"/>
                      <w:szCs w:val="18"/>
                      <w:lang w:val="en-US" w:eastAsia="zh-CN"/>
                    </w:rPr>
                  </w:pPr>
                  <w:r>
                    <w:rPr>
                      <w:rFonts w:hint="default" w:ascii="Times New Roman" w:hAnsi="Times New Roman" w:cs="Times New Roman" w:eastAsiaTheme="minorEastAsia"/>
                      <w:bCs/>
                      <w:color w:val="auto"/>
                      <w:sz w:val="18"/>
                      <w:szCs w:val="18"/>
                      <w:lang w:val="en-US" w:eastAsia="zh-CN"/>
                    </w:rPr>
                    <w:t>t/a</w:t>
                  </w:r>
                </w:p>
              </w:tc>
              <w:tc>
                <w:tcPr>
                  <w:tcW w:w="1512" w:type="pct"/>
                  <w:vAlign w:val="center"/>
                </w:tcPr>
                <w:p w14:paraId="74DA85B9">
                  <w:pPr>
                    <w:jc w:val="center"/>
                    <w:rPr>
                      <w:rFonts w:hint="default" w:ascii="Times New Roman" w:hAnsi="Times New Roman" w:cs="Times New Roman" w:eastAsiaTheme="minorEastAsia"/>
                      <w:bCs/>
                      <w:color w:val="FF0000"/>
                      <w:sz w:val="18"/>
                      <w:szCs w:val="18"/>
                      <w:highlight w:val="yellow"/>
                      <w:lang w:val="en-US" w:eastAsia="zh-CN"/>
                    </w:rPr>
                  </w:pPr>
                  <w:r>
                    <w:rPr>
                      <w:rFonts w:hint="default" w:ascii="Times New Roman" w:hAnsi="Times New Roman" w:cs="Times New Roman" w:eastAsiaTheme="minorEastAsia"/>
                      <w:bCs/>
                      <w:color w:val="auto"/>
                      <w:sz w:val="18"/>
                      <w:szCs w:val="18"/>
                      <w:highlight w:val="none"/>
                      <w:lang w:eastAsia="zh-CN"/>
                    </w:rPr>
                    <w:t>外购，</w:t>
                  </w:r>
                  <w:r>
                    <w:rPr>
                      <w:rFonts w:hint="eastAsia" w:cs="Times New Roman" w:eastAsiaTheme="minorEastAsia"/>
                      <w:bCs/>
                      <w:color w:val="auto"/>
                      <w:sz w:val="18"/>
                      <w:szCs w:val="18"/>
                      <w:highlight w:val="none"/>
                      <w:lang w:val="en-US" w:eastAsia="zh-CN"/>
                    </w:rPr>
                    <w:t>年添加量</w:t>
                  </w:r>
                </w:p>
              </w:tc>
            </w:tr>
            <w:tr w14:paraId="05C74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Align w:val="center"/>
                </w:tcPr>
                <w:p w14:paraId="1CF2ADBB">
                  <w:pPr>
                    <w:pStyle w:val="1042"/>
                    <w:numPr>
                      <w:ilvl w:val="0"/>
                      <w:numId w:val="18"/>
                    </w:numPr>
                    <w:ind w:firstLineChars="0"/>
                    <w:jc w:val="center"/>
                    <w:rPr>
                      <w:rFonts w:hint="default" w:ascii="Times New Roman" w:hAnsi="Times New Roman" w:cs="Times New Roman" w:eastAsiaTheme="minorEastAsia"/>
                      <w:color w:val="auto"/>
                      <w:sz w:val="18"/>
                      <w:szCs w:val="18"/>
                    </w:rPr>
                  </w:pPr>
                </w:p>
              </w:tc>
              <w:tc>
                <w:tcPr>
                  <w:tcW w:w="1164" w:type="pct"/>
                  <w:vAlign w:val="center"/>
                </w:tcPr>
                <w:p w14:paraId="3A28F182">
                  <w:pPr>
                    <w:tabs>
                      <w:tab w:val="left" w:pos="1680"/>
                    </w:tabs>
                    <w:jc w:val="center"/>
                    <w:rPr>
                      <w:rFonts w:hint="default" w:ascii="Times New Roman" w:hAnsi="Times New Roman" w:cs="Times New Roman" w:eastAsiaTheme="minorEastAsia"/>
                      <w:bCs/>
                      <w:color w:val="auto"/>
                      <w:kern w:val="2"/>
                      <w:sz w:val="18"/>
                      <w:szCs w:val="18"/>
                      <w:lang w:val="en-US" w:eastAsia="zh-CN" w:bidi="ar-SA"/>
                    </w:rPr>
                  </w:pPr>
                  <w:r>
                    <w:rPr>
                      <w:rFonts w:hint="default" w:ascii="Times New Roman" w:hAnsi="Times New Roman" w:cs="Times New Roman" w:eastAsiaTheme="minorEastAsia"/>
                      <w:bCs/>
                      <w:color w:val="auto"/>
                      <w:sz w:val="18"/>
                      <w:szCs w:val="18"/>
                      <w:lang w:val="en-US" w:eastAsia="zh-CN"/>
                    </w:rPr>
                    <w:t>包装袋</w:t>
                  </w:r>
                </w:p>
              </w:tc>
              <w:tc>
                <w:tcPr>
                  <w:tcW w:w="1095" w:type="pct"/>
                  <w:vAlign w:val="center"/>
                </w:tcPr>
                <w:p w14:paraId="221721D2">
                  <w:pPr>
                    <w:jc w:val="center"/>
                    <w:rPr>
                      <w:rFonts w:hint="default" w:ascii="Times New Roman" w:hAnsi="Times New Roman" w:cs="Times New Roman" w:eastAsiaTheme="minorEastAsia"/>
                      <w:bCs/>
                      <w:color w:val="auto"/>
                      <w:kern w:val="2"/>
                      <w:sz w:val="18"/>
                      <w:szCs w:val="18"/>
                      <w:lang w:val="en-US" w:eastAsia="zh-CN" w:bidi="ar-SA"/>
                    </w:rPr>
                  </w:pPr>
                  <w:r>
                    <w:rPr>
                      <w:rFonts w:hint="eastAsia" w:cs="Times New Roman" w:eastAsiaTheme="minorEastAsia"/>
                      <w:bCs/>
                      <w:color w:val="auto"/>
                      <w:sz w:val="18"/>
                      <w:szCs w:val="18"/>
                      <w:lang w:val="en-US" w:eastAsia="zh-CN"/>
                    </w:rPr>
                    <w:t>2</w:t>
                  </w:r>
                </w:p>
              </w:tc>
              <w:tc>
                <w:tcPr>
                  <w:tcW w:w="872" w:type="pct"/>
                  <w:vAlign w:val="center"/>
                </w:tcPr>
                <w:p w14:paraId="7319766A">
                  <w:pPr>
                    <w:jc w:val="center"/>
                    <w:rPr>
                      <w:rFonts w:hint="default" w:ascii="Times New Roman" w:hAnsi="Times New Roman" w:cs="Times New Roman" w:eastAsiaTheme="minorEastAsia"/>
                      <w:bCs/>
                      <w:color w:val="auto"/>
                      <w:kern w:val="2"/>
                      <w:sz w:val="18"/>
                      <w:szCs w:val="18"/>
                      <w:lang w:val="en-US" w:eastAsia="zh-CN" w:bidi="ar-SA"/>
                    </w:rPr>
                  </w:pPr>
                  <w:r>
                    <w:rPr>
                      <w:rFonts w:hint="default" w:ascii="Times New Roman" w:hAnsi="Times New Roman" w:cs="Times New Roman" w:eastAsiaTheme="minorEastAsia"/>
                      <w:bCs/>
                      <w:color w:val="auto"/>
                      <w:sz w:val="18"/>
                      <w:szCs w:val="18"/>
                      <w:lang w:val="en-US" w:eastAsia="zh-CN"/>
                    </w:rPr>
                    <w:t>t/a</w:t>
                  </w:r>
                </w:p>
              </w:tc>
              <w:tc>
                <w:tcPr>
                  <w:tcW w:w="1512" w:type="pct"/>
                  <w:vAlign w:val="center"/>
                </w:tcPr>
                <w:p w14:paraId="1AF018BE">
                  <w:pPr>
                    <w:jc w:val="center"/>
                    <w:rPr>
                      <w:rFonts w:hint="default" w:ascii="Times New Roman" w:hAnsi="Times New Roman" w:cs="Times New Roman" w:eastAsiaTheme="minorEastAsia"/>
                      <w:bCs/>
                      <w:color w:val="auto"/>
                      <w:kern w:val="2"/>
                      <w:sz w:val="18"/>
                      <w:szCs w:val="18"/>
                      <w:highlight w:val="none"/>
                      <w:lang w:val="en-US" w:eastAsia="zh-CN" w:bidi="ar-SA"/>
                    </w:rPr>
                  </w:pPr>
                  <w:r>
                    <w:rPr>
                      <w:rFonts w:hint="default" w:ascii="Times New Roman" w:hAnsi="Times New Roman" w:cs="Times New Roman" w:eastAsiaTheme="minorEastAsia"/>
                      <w:bCs/>
                      <w:color w:val="auto"/>
                      <w:sz w:val="18"/>
                      <w:szCs w:val="18"/>
                      <w:highlight w:val="none"/>
                      <w:lang w:eastAsia="zh-CN"/>
                    </w:rPr>
                    <w:t>外购</w:t>
                  </w:r>
                </w:p>
              </w:tc>
            </w:tr>
            <w:tr w14:paraId="17DF3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Align w:val="center"/>
                </w:tcPr>
                <w:p w14:paraId="7DF98C70">
                  <w:pPr>
                    <w:pStyle w:val="1042"/>
                    <w:numPr>
                      <w:ilvl w:val="0"/>
                      <w:numId w:val="18"/>
                    </w:numPr>
                    <w:ind w:firstLineChars="0"/>
                    <w:jc w:val="center"/>
                    <w:rPr>
                      <w:rFonts w:hint="default" w:ascii="Times New Roman" w:hAnsi="Times New Roman" w:cs="Times New Roman" w:eastAsiaTheme="minorEastAsia"/>
                      <w:color w:val="auto"/>
                      <w:sz w:val="18"/>
                      <w:szCs w:val="18"/>
                    </w:rPr>
                  </w:pPr>
                </w:p>
              </w:tc>
              <w:tc>
                <w:tcPr>
                  <w:tcW w:w="1164" w:type="pct"/>
                  <w:vAlign w:val="center"/>
                </w:tcPr>
                <w:p w14:paraId="19889CC8">
                  <w:pPr>
                    <w:tabs>
                      <w:tab w:val="left" w:pos="1680"/>
                    </w:tabs>
                    <w:jc w:val="center"/>
                    <w:rPr>
                      <w:rFonts w:hint="default"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包膜剂</w:t>
                  </w:r>
                </w:p>
              </w:tc>
              <w:tc>
                <w:tcPr>
                  <w:tcW w:w="1095" w:type="pct"/>
                  <w:vAlign w:val="center"/>
                </w:tcPr>
                <w:p w14:paraId="25EBA1F0">
                  <w:pPr>
                    <w:tabs>
                      <w:tab w:val="left" w:pos="1680"/>
                    </w:tabs>
                    <w:jc w:val="center"/>
                    <w:rPr>
                      <w:rFonts w:hint="default"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10</w:t>
                  </w:r>
                </w:p>
              </w:tc>
              <w:tc>
                <w:tcPr>
                  <w:tcW w:w="872" w:type="pct"/>
                  <w:vAlign w:val="center"/>
                </w:tcPr>
                <w:p w14:paraId="148ABD0F">
                  <w:pPr>
                    <w:tabs>
                      <w:tab w:val="left" w:pos="479"/>
                      <w:tab w:val="left" w:pos="1680"/>
                    </w:tabs>
                    <w:jc w:val="center"/>
                    <w:rPr>
                      <w:rFonts w:hint="eastAsia" w:cs="Times New Roman" w:eastAsiaTheme="minorEastAsia"/>
                      <w:bCs/>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val="en-US" w:eastAsia="zh-CN"/>
                    </w:rPr>
                    <w:t>t/a</w:t>
                  </w:r>
                </w:p>
              </w:tc>
              <w:tc>
                <w:tcPr>
                  <w:tcW w:w="1512" w:type="pct"/>
                  <w:vAlign w:val="center"/>
                </w:tcPr>
                <w:p w14:paraId="294CC031">
                  <w:pPr>
                    <w:tabs>
                      <w:tab w:val="left" w:pos="1680"/>
                    </w:tabs>
                    <w:jc w:val="center"/>
                    <w:rPr>
                      <w:rFonts w:hint="eastAsia" w:cs="Times New Roman" w:eastAsiaTheme="minorEastAsia"/>
                      <w:color w:val="auto"/>
                      <w:sz w:val="18"/>
                      <w:szCs w:val="18"/>
                      <w:highlight w:val="none"/>
                      <w:lang w:val="en-US" w:eastAsia="zh-CN"/>
                    </w:rPr>
                  </w:pPr>
                  <w:r>
                    <w:rPr>
                      <w:rFonts w:hint="default" w:ascii="Times New Roman" w:hAnsi="Times New Roman" w:cs="Times New Roman" w:eastAsiaTheme="minorEastAsia"/>
                      <w:bCs/>
                      <w:color w:val="auto"/>
                      <w:sz w:val="18"/>
                      <w:szCs w:val="18"/>
                      <w:highlight w:val="none"/>
                      <w:lang w:eastAsia="zh-CN"/>
                    </w:rPr>
                    <w:t>外购</w:t>
                  </w:r>
                  <w:r>
                    <w:rPr>
                      <w:rFonts w:hint="eastAsia" w:cs="Times New Roman" w:eastAsiaTheme="minorEastAsia"/>
                      <w:bCs/>
                      <w:color w:val="auto"/>
                      <w:sz w:val="18"/>
                      <w:szCs w:val="18"/>
                      <w:highlight w:val="none"/>
                      <w:lang w:eastAsia="zh-CN"/>
                    </w:rPr>
                    <w:t>，</w:t>
                  </w:r>
                  <w:r>
                    <w:rPr>
                      <w:rFonts w:hint="eastAsia" w:cs="Times New Roman" w:eastAsiaTheme="minorEastAsia"/>
                      <w:bCs/>
                      <w:color w:val="auto"/>
                      <w:sz w:val="18"/>
                      <w:szCs w:val="18"/>
                      <w:highlight w:val="none"/>
                      <w:lang w:val="en-US" w:eastAsia="zh-CN"/>
                    </w:rPr>
                    <w:t>吨包/50kg/袋</w:t>
                  </w:r>
                </w:p>
              </w:tc>
            </w:tr>
            <w:tr w14:paraId="39BE8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Align w:val="center"/>
                </w:tcPr>
                <w:p w14:paraId="039E1F0C">
                  <w:pPr>
                    <w:pStyle w:val="1042"/>
                    <w:numPr>
                      <w:ilvl w:val="0"/>
                      <w:numId w:val="18"/>
                    </w:numPr>
                    <w:ind w:firstLineChars="0"/>
                    <w:jc w:val="center"/>
                    <w:rPr>
                      <w:rFonts w:hint="default" w:ascii="Times New Roman" w:hAnsi="Times New Roman" w:cs="Times New Roman" w:eastAsiaTheme="minorEastAsia"/>
                      <w:color w:val="auto"/>
                      <w:sz w:val="18"/>
                      <w:szCs w:val="18"/>
                    </w:rPr>
                  </w:pPr>
                </w:p>
              </w:tc>
              <w:tc>
                <w:tcPr>
                  <w:tcW w:w="1164" w:type="pct"/>
                  <w:vAlign w:val="center"/>
                </w:tcPr>
                <w:p w14:paraId="6745531C">
                  <w:pPr>
                    <w:tabs>
                      <w:tab w:val="left" w:pos="1680"/>
                    </w:tabs>
                    <w:jc w:val="center"/>
                    <w:rPr>
                      <w:rFonts w:hint="eastAsia"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天然气</w:t>
                  </w:r>
                </w:p>
              </w:tc>
              <w:tc>
                <w:tcPr>
                  <w:tcW w:w="1095" w:type="pct"/>
                  <w:vAlign w:val="center"/>
                </w:tcPr>
                <w:p w14:paraId="66B4988A">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60万</w:t>
                  </w:r>
                </w:p>
              </w:tc>
              <w:tc>
                <w:tcPr>
                  <w:tcW w:w="872" w:type="pct"/>
                  <w:vAlign w:val="center"/>
                </w:tcPr>
                <w:p w14:paraId="1F06B2E8">
                  <w:pPr>
                    <w:tabs>
                      <w:tab w:val="left" w:pos="1680"/>
                    </w:tabs>
                    <w:jc w:val="center"/>
                    <w:rPr>
                      <w:rFonts w:hint="default" w:ascii="Times New Roman" w:hAnsi="Times New Roman"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m</w:t>
                  </w:r>
                  <w:r>
                    <w:rPr>
                      <w:rFonts w:hint="eastAsia" w:cs="Times New Roman" w:eastAsiaTheme="minorEastAsia"/>
                      <w:bCs/>
                      <w:color w:val="auto"/>
                      <w:sz w:val="18"/>
                      <w:szCs w:val="18"/>
                      <w:highlight w:val="none"/>
                      <w:vertAlign w:val="superscript"/>
                      <w:lang w:val="en-US" w:eastAsia="zh-CN"/>
                    </w:rPr>
                    <w:t>3</w:t>
                  </w:r>
                  <w:r>
                    <w:rPr>
                      <w:rFonts w:hint="eastAsia" w:cs="Times New Roman" w:eastAsiaTheme="minorEastAsia"/>
                      <w:bCs/>
                      <w:color w:val="auto"/>
                      <w:sz w:val="18"/>
                      <w:szCs w:val="18"/>
                      <w:highlight w:val="none"/>
                      <w:lang w:val="en-US" w:eastAsia="zh-CN"/>
                    </w:rPr>
                    <w:t>/a</w:t>
                  </w:r>
                </w:p>
              </w:tc>
              <w:tc>
                <w:tcPr>
                  <w:tcW w:w="1512" w:type="pct"/>
                  <w:vAlign w:val="center"/>
                </w:tcPr>
                <w:p w14:paraId="2F2577AB">
                  <w:pPr>
                    <w:tabs>
                      <w:tab w:val="left" w:pos="1680"/>
                    </w:tabs>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管道输送</w:t>
                  </w:r>
                </w:p>
              </w:tc>
            </w:tr>
            <w:tr w14:paraId="0AFB6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Align w:val="center"/>
                </w:tcPr>
                <w:p w14:paraId="4841F814">
                  <w:pPr>
                    <w:pStyle w:val="1042"/>
                    <w:numPr>
                      <w:ilvl w:val="0"/>
                      <w:numId w:val="18"/>
                    </w:numPr>
                    <w:ind w:firstLineChars="0"/>
                    <w:jc w:val="center"/>
                    <w:rPr>
                      <w:rFonts w:hint="default" w:ascii="Times New Roman" w:hAnsi="Times New Roman" w:cs="Times New Roman" w:eastAsiaTheme="minorEastAsia"/>
                      <w:color w:val="auto"/>
                      <w:sz w:val="18"/>
                      <w:szCs w:val="18"/>
                    </w:rPr>
                  </w:pPr>
                </w:p>
              </w:tc>
              <w:tc>
                <w:tcPr>
                  <w:tcW w:w="1164" w:type="pct"/>
                  <w:vAlign w:val="center"/>
                </w:tcPr>
                <w:p w14:paraId="2D9F5F92">
                  <w:pPr>
                    <w:tabs>
                      <w:tab w:val="left" w:pos="1680"/>
                    </w:tabs>
                    <w:jc w:val="center"/>
                    <w:rPr>
                      <w:rFonts w:hint="default" w:ascii="Times New Roman" w:hAnsi="Times New Roman" w:cs="Times New Roman" w:eastAsiaTheme="minorEastAsia"/>
                      <w:bCs/>
                      <w:color w:val="auto"/>
                      <w:kern w:val="2"/>
                      <w:sz w:val="18"/>
                      <w:szCs w:val="18"/>
                      <w:highlight w:val="none"/>
                      <w:lang w:val="en-US" w:eastAsia="zh-CN" w:bidi="ar-SA"/>
                    </w:rPr>
                  </w:pPr>
                  <w:r>
                    <w:rPr>
                      <w:rFonts w:hint="default" w:ascii="Times New Roman" w:hAnsi="Times New Roman" w:cs="Times New Roman" w:eastAsiaTheme="minorEastAsia"/>
                      <w:bCs/>
                      <w:color w:val="auto"/>
                      <w:sz w:val="18"/>
                      <w:szCs w:val="18"/>
                      <w:highlight w:val="none"/>
                    </w:rPr>
                    <w:t>水</w:t>
                  </w:r>
                </w:p>
              </w:tc>
              <w:tc>
                <w:tcPr>
                  <w:tcW w:w="1095" w:type="pct"/>
                  <w:vAlign w:val="center"/>
                </w:tcPr>
                <w:p w14:paraId="67618625">
                  <w:pPr>
                    <w:tabs>
                      <w:tab w:val="left" w:pos="1680"/>
                    </w:tabs>
                    <w:jc w:val="center"/>
                    <w:rPr>
                      <w:rFonts w:hint="default" w:ascii="Times New Roman" w:hAnsi="Times New Roman" w:cs="Times New Roman" w:eastAsiaTheme="minorEastAsia"/>
                      <w:bCs/>
                      <w:color w:val="auto"/>
                      <w:kern w:val="2"/>
                      <w:sz w:val="18"/>
                      <w:szCs w:val="18"/>
                      <w:highlight w:val="none"/>
                      <w:lang w:val="en-US" w:eastAsia="zh-CN" w:bidi="ar-SA"/>
                    </w:rPr>
                  </w:pPr>
                  <w:r>
                    <w:rPr>
                      <w:rFonts w:hint="eastAsia" w:cs="Times New Roman" w:eastAsiaTheme="minorEastAsia"/>
                      <w:bCs/>
                      <w:color w:val="auto"/>
                      <w:sz w:val="18"/>
                      <w:szCs w:val="18"/>
                      <w:highlight w:val="none"/>
                      <w:lang w:val="en-US" w:eastAsia="zh-CN"/>
                    </w:rPr>
                    <w:t>2832.223</w:t>
                  </w:r>
                </w:p>
              </w:tc>
              <w:tc>
                <w:tcPr>
                  <w:tcW w:w="872" w:type="pct"/>
                  <w:vAlign w:val="center"/>
                </w:tcPr>
                <w:p w14:paraId="43EAD798">
                  <w:pPr>
                    <w:tabs>
                      <w:tab w:val="left" w:pos="1680"/>
                    </w:tabs>
                    <w:jc w:val="center"/>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bCs/>
                      <w:color w:val="auto"/>
                      <w:sz w:val="18"/>
                      <w:szCs w:val="18"/>
                      <w:highlight w:val="none"/>
                      <w:lang w:val="en-US" w:eastAsia="zh-CN"/>
                    </w:rPr>
                    <w:t>m</w:t>
                  </w:r>
                  <w:r>
                    <w:rPr>
                      <w:rFonts w:hint="default" w:ascii="Times New Roman" w:hAnsi="Times New Roman" w:cs="Times New Roman" w:eastAsiaTheme="minorEastAsia"/>
                      <w:bCs/>
                      <w:color w:val="auto"/>
                      <w:sz w:val="18"/>
                      <w:szCs w:val="18"/>
                      <w:highlight w:val="none"/>
                      <w:vertAlign w:val="superscript"/>
                      <w:lang w:val="en-US" w:eastAsia="zh-CN"/>
                    </w:rPr>
                    <w:t>3</w:t>
                  </w:r>
                  <w:r>
                    <w:rPr>
                      <w:rFonts w:hint="default" w:ascii="Times New Roman" w:hAnsi="Times New Roman" w:cs="Times New Roman" w:eastAsiaTheme="minorEastAsia"/>
                      <w:bCs/>
                      <w:color w:val="auto"/>
                      <w:sz w:val="18"/>
                      <w:szCs w:val="18"/>
                      <w:highlight w:val="none"/>
                      <w:lang w:val="en-US" w:eastAsia="zh-CN"/>
                    </w:rPr>
                    <w:t>/a</w:t>
                  </w:r>
                </w:p>
              </w:tc>
              <w:tc>
                <w:tcPr>
                  <w:tcW w:w="1512" w:type="pct"/>
                  <w:vAlign w:val="center"/>
                </w:tcPr>
                <w:p w14:paraId="49438B3E">
                  <w:pPr>
                    <w:tabs>
                      <w:tab w:val="left" w:pos="1680"/>
                    </w:tabs>
                    <w:jc w:val="center"/>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rPr>
                    <w:t>由</w:t>
                  </w:r>
                  <w:r>
                    <w:rPr>
                      <w:rFonts w:hint="default" w:ascii="Times New Roman" w:hAnsi="Times New Roman" w:cs="Times New Roman" w:eastAsiaTheme="minorEastAsia"/>
                      <w:color w:val="auto"/>
                      <w:sz w:val="18"/>
                      <w:szCs w:val="18"/>
                      <w:highlight w:val="none"/>
                      <w:lang w:val="en-US" w:eastAsia="zh-CN"/>
                    </w:rPr>
                    <w:t>双杨镇</w:t>
                  </w:r>
                  <w:r>
                    <w:rPr>
                      <w:rFonts w:hint="default" w:ascii="Times New Roman" w:hAnsi="Times New Roman" w:cs="Times New Roman" w:eastAsiaTheme="minorEastAsia"/>
                      <w:color w:val="auto"/>
                      <w:sz w:val="18"/>
                      <w:szCs w:val="18"/>
                      <w:highlight w:val="none"/>
                    </w:rPr>
                    <w:t>自来水管网提供</w:t>
                  </w:r>
                </w:p>
              </w:tc>
            </w:tr>
            <w:tr w14:paraId="44384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Align w:val="center"/>
                </w:tcPr>
                <w:p w14:paraId="06A0B91C">
                  <w:pPr>
                    <w:pStyle w:val="1042"/>
                    <w:numPr>
                      <w:ilvl w:val="0"/>
                      <w:numId w:val="18"/>
                    </w:numPr>
                    <w:ind w:firstLineChars="0"/>
                    <w:jc w:val="center"/>
                    <w:rPr>
                      <w:rFonts w:hint="default" w:ascii="Times New Roman" w:hAnsi="Times New Roman" w:cs="Times New Roman" w:eastAsiaTheme="minorEastAsia"/>
                      <w:color w:val="auto"/>
                      <w:sz w:val="18"/>
                      <w:szCs w:val="18"/>
                    </w:rPr>
                  </w:pPr>
                </w:p>
              </w:tc>
              <w:tc>
                <w:tcPr>
                  <w:tcW w:w="1164" w:type="pct"/>
                  <w:vAlign w:val="center"/>
                </w:tcPr>
                <w:p w14:paraId="786D8BC8">
                  <w:pPr>
                    <w:tabs>
                      <w:tab w:val="left" w:pos="1680"/>
                    </w:tabs>
                    <w:jc w:val="center"/>
                    <w:rPr>
                      <w:rFonts w:hint="default" w:ascii="Times New Roman" w:hAnsi="Times New Roman" w:cs="Times New Roman" w:eastAsiaTheme="minorEastAsia"/>
                      <w:bCs/>
                      <w:color w:val="auto"/>
                      <w:kern w:val="2"/>
                      <w:sz w:val="18"/>
                      <w:szCs w:val="18"/>
                      <w:highlight w:val="none"/>
                      <w:lang w:val="en-US" w:eastAsia="zh-CN" w:bidi="ar-SA"/>
                    </w:rPr>
                  </w:pPr>
                  <w:r>
                    <w:rPr>
                      <w:rFonts w:hint="default" w:ascii="Times New Roman" w:hAnsi="Times New Roman" w:cs="Times New Roman" w:eastAsiaTheme="minorEastAsia"/>
                      <w:bCs/>
                      <w:color w:val="auto"/>
                      <w:sz w:val="18"/>
                      <w:szCs w:val="18"/>
                      <w:highlight w:val="none"/>
                    </w:rPr>
                    <w:t>电</w:t>
                  </w:r>
                </w:p>
              </w:tc>
              <w:tc>
                <w:tcPr>
                  <w:tcW w:w="1095" w:type="pct"/>
                  <w:vAlign w:val="center"/>
                </w:tcPr>
                <w:p w14:paraId="69CC8837">
                  <w:pPr>
                    <w:tabs>
                      <w:tab w:val="left" w:pos="1680"/>
                    </w:tabs>
                    <w:jc w:val="center"/>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40</w:t>
                  </w:r>
                  <w:r>
                    <w:rPr>
                      <w:rFonts w:hint="eastAsia" w:cs="Times New Roman" w:eastAsiaTheme="minorEastAsia"/>
                      <w:color w:val="auto"/>
                      <w:sz w:val="18"/>
                      <w:szCs w:val="18"/>
                      <w:highlight w:val="none"/>
                      <w:lang w:val="en-US" w:eastAsia="zh-CN"/>
                    </w:rPr>
                    <w:t>0</w:t>
                  </w:r>
                </w:p>
              </w:tc>
              <w:tc>
                <w:tcPr>
                  <w:tcW w:w="872" w:type="pct"/>
                  <w:vAlign w:val="center"/>
                </w:tcPr>
                <w:p w14:paraId="463DED84">
                  <w:pPr>
                    <w:tabs>
                      <w:tab w:val="left" w:pos="1680"/>
                    </w:tabs>
                    <w:jc w:val="center"/>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lang w:val="en-US" w:eastAsia="zh-CN"/>
                    </w:rPr>
                    <w:t>万kWh/a</w:t>
                  </w:r>
                </w:p>
              </w:tc>
              <w:tc>
                <w:tcPr>
                  <w:tcW w:w="1512" w:type="pct"/>
                  <w:vAlign w:val="center"/>
                </w:tcPr>
                <w:p w14:paraId="56D8F72C">
                  <w:pPr>
                    <w:tabs>
                      <w:tab w:val="left" w:pos="1680"/>
                    </w:tabs>
                    <w:jc w:val="center"/>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sz w:val="18"/>
                      <w:szCs w:val="18"/>
                      <w:highlight w:val="none"/>
                    </w:rPr>
                    <w:t>由</w:t>
                  </w:r>
                  <w:r>
                    <w:rPr>
                      <w:rFonts w:hint="default" w:ascii="Times New Roman" w:hAnsi="Times New Roman" w:cs="Times New Roman" w:eastAsiaTheme="minorEastAsia"/>
                      <w:color w:val="auto"/>
                      <w:sz w:val="18"/>
                      <w:szCs w:val="18"/>
                      <w:highlight w:val="none"/>
                      <w:lang w:val="en-US" w:eastAsia="zh-CN"/>
                    </w:rPr>
                    <w:t>双杨镇</w:t>
                  </w:r>
                  <w:r>
                    <w:rPr>
                      <w:rFonts w:hint="default" w:ascii="Times New Roman" w:hAnsi="Times New Roman" w:cs="Times New Roman" w:eastAsiaTheme="minorEastAsia"/>
                      <w:color w:val="auto"/>
                      <w:sz w:val="18"/>
                      <w:szCs w:val="18"/>
                      <w:highlight w:val="none"/>
                    </w:rPr>
                    <w:t>供电所线路</w:t>
                  </w:r>
                  <w:r>
                    <w:rPr>
                      <w:rFonts w:hint="default" w:ascii="Times New Roman" w:hAnsi="Times New Roman" w:cs="Times New Roman" w:eastAsiaTheme="minorEastAsia"/>
                      <w:bCs/>
                      <w:color w:val="auto"/>
                      <w:sz w:val="18"/>
                      <w:szCs w:val="18"/>
                      <w:highlight w:val="none"/>
                      <w:lang w:val="de-DE"/>
                    </w:rPr>
                    <w:t>供给</w:t>
                  </w:r>
                </w:p>
              </w:tc>
            </w:tr>
            <w:bookmarkEnd w:id="17"/>
          </w:tbl>
          <w:p w14:paraId="5282F0DD">
            <w:pPr>
              <w:keepNext w:val="0"/>
              <w:keepLines w:val="0"/>
              <w:pageBreakBefore w:val="0"/>
              <w:widowControl/>
              <w:suppressLineNumbers w:val="0"/>
              <w:shd w:val="clear" w:fill="FFFFFF"/>
              <w:kinsoku/>
              <w:wordWrap/>
              <w:overflowPunct/>
              <w:topLinePunct w:val="0"/>
              <w:autoSpaceDE/>
              <w:autoSpaceDN/>
              <w:bidi w:val="0"/>
              <w:adjustRightInd/>
              <w:snapToGrid/>
              <w:spacing w:afterAutospacing="0" w:line="360" w:lineRule="auto"/>
              <w:ind w:left="0" w:firstLine="420"/>
              <w:jc w:val="both"/>
              <w:textAlignment w:val="auto"/>
              <w:rPr>
                <w:rFonts w:hint="default" w:ascii="Times New Roman" w:hAnsi="Times New Roman" w:cs="Times New Roman"/>
                <w:b w:val="0"/>
                <w:bCs w:val="0"/>
                <w:i w:val="0"/>
                <w:iCs w:val="0"/>
                <w:caps w:val="0"/>
                <w:color w:val="auto"/>
                <w:spacing w:val="0"/>
                <w:sz w:val="18"/>
                <w:szCs w:val="18"/>
                <w:highlight w:val="none"/>
                <w:shd w:val="clear" w:fill="FFFFFF"/>
                <w:lang w:val="en-US" w:eastAsia="zh-CN"/>
              </w:rPr>
            </w:pPr>
            <w:r>
              <w:rPr>
                <w:rFonts w:hint="default" w:ascii="Times New Roman" w:hAnsi="Times New Roman" w:cs="Times New Roman"/>
                <w:b w:val="0"/>
                <w:bCs w:val="0"/>
                <w:i w:val="0"/>
                <w:iCs w:val="0"/>
                <w:caps w:val="0"/>
                <w:color w:val="auto"/>
                <w:spacing w:val="0"/>
                <w:sz w:val="18"/>
                <w:szCs w:val="18"/>
                <w:highlight w:val="none"/>
                <w:shd w:val="clear" w:fill="FFFFFF"/>
                <w:lang w:val="en-US" w:eastAsia="zh-CN"/>
              </w:rPr>
              <w:t>硫酸铵：无机物，化学式为</w:t>
            </w:r>
            <w:r>
              <w:rPr>
                <w:rFonts w:hint="eastAsia" w:cs="Times New Roman"/>
                <w:b w:val="0"/>
                <w:bCs w:val="0"/>
                <w:i w:val="0"/>
                <w:iCs w:val="0"/>
                <w:caps w:val="0"/>
                <w:color w:val="auto"/>
                <w:spacing w:val="0"/>
                <w:sz w:val="18"/>
                <w:szCs w:val="18"/>
                <w:highlight w:val="none"/>
                <w:shd w:val="clear" w:fill="FFFFFF"/>
                <w:lang w:val="en-US" w:eastAsia="zh-CN"/>
              </w:rPr>
              <w:t>（</w:t>
            </w:r>
            <w:r>
              <w:rPr>
                <w:rFonts w:hint="default" w:ascii="Times New Roman" w:hAnsi="Times New Roman" w:cs="Times New Roman"/>
                <w:b w:val="0"/>
                <w:bCs w:val="0"/>
                <w:i w:val="0"/>
                <w:iCs w:val="0"/>
                <w:caps w:val="0"/>
                <w:color w:val="auto"/>
                <w:spacing w:val="0"/>
                <w:sz w:val="18"/>
                <w:szCs w:val="18"/>
                <w:highlight w:val="none"/>
                <w:shd w:val="clear" w:fill="FFFFFF"/>
                <w:lang w:val="en-US" w:eastAsia="zh-CN"/>
              </w:rPr>
              <w:t>NH</w:t>
            </w:r>
            <w:r>
              <w:rPr>
                <w:rFonts w:hint="default" w:ascii="Times New Roman" w:hAnsi="Times New Roman" w:cs="Times New Roman"/>
                <w:b w:val="0"/>
                <w:bCs w:val="0"/>
                <w:i w:val="0"/>
                <w:iCs w:val="0"/>
                <w:caps w:val="0"/>
                <w:color w:val="auto"/>
                <w:spacing w:val="0"/>
                <w:sz w:val="18"/>
                <w:szCs w:val="18"/>
                <w:highlight w:val="none"/>
                <w:shd w:val="clear" w:fill="FFFFFF"/>
                <w:vertAlign w:val="subscript"/>
                <w:lang w:val="en-US" w:eastAsia="zh-CN"/>
              </w:rPr>
              <w:t>4</w:t>
            </w:r>
            <w:r>
              <w:rPr>
                <w:rFonts w:hint="eastAsia" w:cs="Times New Roman"/>
                <w:b w:val="0"/>
                <w:bCs w:val="0"/>
                <w:i w:val="0"/>
                <w:iCs w:val="0"/>
                <w:caps w:val="0"/>
                <w:color w:val="auto"/>
                <w:spacing w:val="0"/>
                <w:sz w:val="18"/>
                <w:szCs w:val="18"/>
                <w:highlight w:val="none"/>
                <w:shd w:val="clear" w:fill="FFFFFF"/>
                <w:lang w:val="en-US" w:eastAsia="zh-CN"/>
              </w:rPr>
              <w:t>）</w:t>
            </w:r>
            <w:r>
              <w:rPr>
                <w:rFonts w:hint="default" w:ascii="Times New Roman" w:hAnsi="Times New Roman" w:cs="Times New Roman"/>
                <w:b w:val="0"/>
                <w:bCs w:val="0"/>
                <w:i w:val="0"/>
                <w:iCs w:val="0"/>
                <w:caps w:val="0"/>
                <w:color w:val="auto"/>
                <w:spacing w:val="0"/>
                <w:sz w:val="18"/>
                <w:szCs w:val="18"/>
                <w:highlight w:val="none"/>
                <w:shd w:val="clear" w:fill="FFFFFF"/>
                <w:vertAlign w:val="subscript"/>
                <w:lang w:val="en-US" w:eastAsia="zh-CN"/>
              </w:rPr>
              <w:t>2</w:t>
            </w:r>
            <w:r>
              <w:rPr>
                <w:rFonts w:hint="default" w:ascii="Times New Roman" w:hAnsi="Times New Roman" w:cs="Times New Roman"/>
                <w:b w:val="0"/>
                <w:bCs w:val="0"/>
                <w:i w:val="0"/>
                <w:iCs w:val="0"/>
                <w:caps w:val="0"/>
                <w:color w:val="auto"/>
                <w:spacing w:val="0"/>
                <w:sz w:val="18"/>
                <w:szCs w:val="18"/>
                <w:highlight w:val="none"/>
                <w:shd w:val="clear" w:fill="FFFFFF"/>
                <w:lang w:val="en-US" w:eastAsia="zh-CN"/>
              </w:rPr>
              <w:t>SO</w:t>
            </w:r>
            <w:r>
              <w:rPr>
                <w:rFonts w:hint="default" w:ascii="Times New Roman" w:hAnsi="Times New Roman" w:cs="Times New Roman"/>
                <w:b w:val="0"/>
                <w:bCs w:val="0"/>
                <w:i w:val="0"/>
                <w:iCs w:val="0"/>
                <w:caps w:val="0"/>
                <w:color w:val="auto"/>
                <w:spacing w:val="0"/>
                <w:sz w:val="18"/>
                <w:szCs w:val="18"/>
                <w:highlight w:val="none"/>
                <w:shd w:val="clear" w:fill="FFFFFF"/>
                <w:vertAlign w:val="subscript"/>
                <w:lang w:val="en-US" w:eastAsia="zh-CN"/>
              </w:rPr>
              <w:t>4</w:t>
            </w:r>
            <w:r>
              <w:rPr>
                <w:rFonts w:hint="default" w:ascii="Times New Roman" w:hAnsi="Times New Roman" w:cs="Times New Roman"/>
                <w:b w:val="0"/>
                <w:bCs w:val="0"/>
                <w:i w:val="0"/>
                <w:iCs w:val="0"/>
                <w:caps w:val="0"/>
                <w:color w:val="auto"/>
                <w:spacing w:val="0"/>
                <w:sz w:val="18"/>
                <w:szCs w:val="18"/>
                <w:highlight w:val="none"/>
                <w:shd w:val="clear" w:fill="FFFFFF"/>
                <w:lang w:val="en-US" w:eastAsia="zh-CN"/>
              </w:rPr>
              <w:t>，无色结晶或白色颗粒，无气味。280℃以上分解。水中溶解度：0℃时70.6g，100℃时103.8g。不溶于乙醇和丙酮。0.1mol/L水溶液的pH为5.5。相对密度1.77。折光率1.521。硫酸铵主要用作肥料，适用于各种土壤和作物。还可用于纺织、皮革、医药等方面</w:t>
            </w:r>
            <w:r>
              <w:rPr>
                <w:rFonts w:hint="default" w:ascii="Times New Roman" w:hAnsi="Times New Roman" w:eastAsia="宋体" w:cs="Times New Roman"/>
                <w:b w:val="0"/>
                <w:bCs w:val="0"/>
                <w:i w:val="0"/>
                <w:iCs w:val="0"/>
                <w:caps w:val="0"/>
                <w:color w:val="auto"/>
                <w:spacing w:val="0"/>
                <w:sz w:val="18"/>
                <w:szCs w:val="18"/>
                <w:highlight w:val="none"/>
                <w:shd w:val="clear" w:fill="FFFFFF"/>
                <w:lang w:val="en-US" w:eastAsia="zh-CN"/>
              </w:rPr>
              <w:t>。</w:t>
            </w:r>
          </w:p>
          <w:p w14:paraId="22C01038">
            <w:pPr>
              <w:pStyle w:val="7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rFonts w:hint="eastAsia" w:ascii="Times New Roman" w:hAnsi="Times New Roman" w:cs="Times New Roman" w:eastAsiaTheme="minorEastAsia"/>
                <w:b w:val="0"/>
                <w:bCs/>
                <w:color w:val="auto"/>
                <w:sz w:val="18"/>
                <w:szCs w:val="18"/>
                <w:highlight w:val="none"/>
                <w:lang w:val="en-US" w:eastAsia="zh-CN"/>
              </w:rPr>
            </w:pPr>
            <w:r>
              <w:rPr>
                <w:rFonts w:hint="eastAsia" w:ascii="Times New Roman" w:hAnsi="Times New Roman" w:cs="Times New Roman" w:eastAsiaTheme="minorEastAsia"/>
                <w:b w:val="0"/>
                <w:bCs/>
                <w:color w:val="auto"/>
                <w:sz w:val="18"/>
                <w:szCs w:val="18"/>
                <w:highlight w:val="none"/>
                <w:lang w:val="en-US" w:eastAsia="zh-CN"/>
              </w:rPr>
              <w:t>尿素：又称</w:t>
            </w:r>
            <w:r>
              <w:rPr>
                <w:rFonts w:hint="eastAsia" w:ascii="Times New Roman" w:hAnsi="Times New Roman" w:cs="Times New Roman" w:eastAsiaTheme="minorEastAsia"/>
                <w:b w:val="0"/>
                <w:bCs/>
                <w:color w:val="auto"/>
                <w:sz w:val="18"/>
                <w:szCs w:val="18"/>
                <w:highlight w:val="none"/>
                <w:lang w:val="en-US" w:eastAsia="zh-CN"/>
              </w:rPr>
              <w:fldChar w:fldCharType="begin"/>
            </w:r>
            <w:r>
              <w:rPr>
                <w:rFonts w:hint="eastAsia" w:ascii="Times New Roman" w:hAnsi="Times New Roman" w:cs="Times New Roman" w:eastAsiaTheme="minorEastAsia"/>
                <w:b w:val="0"/>
                <w:bCs/>
                <w:color w:val="auto"/>
                <w:sz w:val="18"/>
                <w:szCs w:val="18"/>
                <w:highlight w:val="none"/>
                <w:lang w:val="en-US" w:eastAsia="zh-CN"/>
              </w:rPr>
              <w:instrText xml:space="preserve"> HYPERLINK "https://baike.so.com/doc/4641346-4854310.html" \t "https://baike.so.com/doc/_blank" </w:instrText>
            </w:r>
            <w:r>
              <w:rPr>
                <w:rFonts w:hint="eastAsia" w:ascii="Times New Roman" w:hAnsi="Times New Roman" w:cs="Times New Roman" w:eastAsiaTheme="minorEastAsia"/>
                <w:b w:val="0"/>
                <w:bCs/>
                <w:color w:val="auto"/>
                <w:sz w:val="18"/>
                <w:szCs w:val="18"/>
                <w:highlight w:val="none"/>
                <w:lang w:val="en-US" w:eastAsia="zh-CN"/>
              </w:rPr>
              <w:fldChar w:fldCharType="separate"/>
            </w:r>
            <w:r>
              <w:rPr>
                <w:rFonts w:hint="eastAsia" w:ascii="Times New Roman" w:hAnsi="Times New Roman" w:cs="Times New Roman" w:eastAsiaTheme="minorEastAsia"/>
                <w:b w:val="0"/>
                <w:bCs/>
                <w:color w:val="auto"/>
                <w:sz w:val="18"/>
                <w:szCs w:val="18"/>
                <w:highlight w:val="none"/>
                <w:lang w:val="en-US" w:eastAsia="zh-CN"/>
              </w:rPr>
              <w:t>碳酰胺</w:t>
            </w:r>
            <w:r>
              <w:rPr>
                <w:rFonts w:hint="eastAsia" w:ascii="Times New Roman" w:hAnsi="Times New Roman" w:cs="Times New Roman" w:eastAsiaTheme="minorEastAsia"/>
                <w:b w:val="0"/>
                <w:bCs/>
                <w:color w:val="auto"/>
                <w:sz w:val="18"/>
                <w:szCs w:val="18"/>
                <w:highlight w:val="none"/>
                <w:lang w:val="en-US" w:eastAsia="zh-CN"/>
              </w:rPr>
              <w:fldChar w:fldCharType="end"/>
            </w:r>
            <w:r>
              <w:rPr>
                <w:rFonts w:hint="eastAsia" w:ascii="Times New Roman" w:hAnsi="Times New Roman" w:cs="Times New Roman" w:eastAsiaTheme="minorEastAsia"/>
                <w:b w:val="0"/>
                <w:bCs/>
                <w:color w:val="auto"/>
                <w:sz w:val="18"/>
                <w:szCs w:val="18"/>
                <w:highlight w:val="none"/>
                <w:lang w:val="en-US" w:eastAsia="zh-CN"/>
              </w:rPr>
              <w:t>（carbamide），是由</w:t>
            </w:r>
            <w:r>
              <w:rPr>
                <w:rFonts w:hint="eastAsia" w:ascii="Times New Roman" w:hAnsi="Times New Roman" w:cs="Times New Roman" w:eastAsiaTheme="minorEastAsia"/>
                <w:b w:val="0"/>
                <w:bCs/>
                <w:color w:val="auto"/>
                <w:sz w:val="18"/>
                <w:szCs w:val="18"/>
                <w:highlight w:val="none"/>
                <w:lang w:val="en-US" w:eastAsia="zh-CN"/>
              </w:rPr>
              <w:fldChar w:fldCharType="begin"/>
            </w:r>
            <w:r>
              <w:rPr>
                <w:rFonts w:hint="eastAsia" w:ascii="Times New Roman" w:hAnsi="Times New Roman" w:cs="Times New Roman" w:eastAsiaTheme="minorEastAsia"/>
                <w:b w:val="0"/>
                <w:bCs/>
                <w:color w:val="auto"/>
                <w:sz w:val="18"/>
                <w:szCs w:val="18"/>
                <w:highlight w:val="none"/>
                <w:lang w:val="en-US" w:eastAsia="zh-CN"/>
              </w:rPr>
              <w:instrText xml:space="preserve"> HYPERLINK "https://baike.so.com/doc/2191102-2318387.html" \t "https://baike.so.com/doc/_blank" </w:instrText>
            </w:r>
            <w:r>
              <w:rPr>
                <w:rFonts w:hint="eastAsia" w:ascii="Times New Roman" w:hAnsi="Times New Roman" w:cs="Times New Roman" w:eastAsiaTheme="minorEastAsia"/>
                <w:b w:val="0"/>
                <w:bCs/>
                <w:color w:val="auto"/>
                <w:sz w:val="18"/>
                <w:szCs w:val="18"/>
                <w:highlight w:val="none"/>
                <w:lang w:val="en-US" w:eastAsia="zh-CN"/>
              </w:rPr>
              <w:fldChar w:fldCharType="separate"/>
            </w:r>
            <w:r>
              <w:rPr>
                <w:rFonts w:hint="eastAsia" w:ascii="Times New Roman" w:hAnsi="Times New Roman" w:cs="Times New Roman" w:eastAsiaTheme="minorEastAsia"/>
                <w:b w:val="0"/>
                <w:bCs/>
                <w:color w:val="auto"/>
                <w:sz w:val="18"/>
                <w:szCs w:val="18"/>
                <w:highlight w:val="none"/>
                <w:lang w:val="en-US" w:eastAsia="zh-CN"/>
              </w:rPr>
              <w:t>碳</w:t>
            </w:r>
            <w:r>
              <w:rPr>
                <w:rFonts w:hint="eastAsia" w:ascii="Times New Roman" w:hAnsi="Times New Roman" w:cs="Times New Roman" w:eastAsiaTheme="minorEastAsia"/>
                <w:b w:val="0"/>
                <w:bCs/>
                <w:color w:val="auto"/>
                <w:sz w:val="18"/>
                <w:szCs w:val="18"/>
                <w:highlight w:val="none"/>
                <w:lang w:val="en-US" w:eastAsia="zh-CN"/>
              </w:rPr>
              <w:fldChar w:fldCharType="end"/>
            </w:r>
            <w:r>
              <w:rPr>
                <w:rFonts w:hint="eastAsia" w:ascii="Times New Roman" w:hAnsi="Times New Roman" w:cs="Times New Roman" w:eastAsiaTheme="minorEastAsia"/>
                <w:b w:val="0"/>
                <w:bCs/>
                <w:color w:val="auto"/>
                <w:sz w:val="18"/>
                <w:szCs w:val="18"/>
                <w:highlight w:val="none"/>
                <w:lang w:val="en-US" w:eastAsia="zh-CN"/>
              </w:rPr>
              <w:t>、氮、氧、氢组成的</w:t>
            </w:r>
            <w:r>
              <w:rPr>
                <w:rFonts w:hint="eastAsia" w:ascii="Times New Roman" w:hAnsi="Times New Roman" w:cs="Times New Roman" w:eastAsiaTheme="minorEastAsia"/>
                <w:b w:val="0"/>
                <w:bCs/>
                <w:color w:val="auto"/>
                <w:sz w:val="18"/>
                <w:szCs w:val="18"/>
                <w:highlight w:val="none"/>
                <w:lang w:val="en-US" w:eastAsia="zh-CN"/>
              </w:rPr>
              <w:fldChar w:fldCharType="begin"/>
            </w:r>
            <w:r>
              <w:rPr>
                <w:rFonts w:hint="eastAsia" w:ascii="Times New Roman" w:hAnsi="Times New Roman" w:cs="Times New Roman" w:eastAsiaTheme="minorEastAsia"/>
                <w:b w:val="0"/>
                <w:bCs/>
                <w:color w:val="auto"/>
                <w:sz w:val="18"/>
                <w:szCs w:val="18"/>
                <w:highlight w:val="none"/>
                <w:lang w:val="en-US" w:eastAsia="zh-CN"/>
              </w:rPr>
              <w:instrText xml:space="preserve"> HYPERLINK "https://baike.so.com/doc/1104012-1168170.html" \t "https://baike.so.com/doc/_blank" </w:instrText>
            </w:r>
            <w:r>
              <w:rPr>
                <w:rFonts w:hint="eastAsia" w:ascii="Times New Roman" w:hAnsi="Times New Roman" w:cs="Times New Roman" w:eastAsiaTheme="minorEastAsia"/>
                <w:b w:val="0"/>
                <w:bCs/>
                <w:color w:val="auto"/>
                <w:sz w:val="18"/>
                <w:szCs w:val="18"/>
                <w:highlight w:val="none"/>
                <w:lang w:val="en-US" w:eastAsia="zh-CN"/>
              </w:rPr>
              <w:fldChar w:fldCharType="separate"/>
            </w:r>
            <w:r>
              <w:rPr>
                <w:rFonts w:hint="eastAsia" w:ascii="Times New Roman" w:hAnsi="Times New Roman" w:cs="Times New Roman" w:eastAsiaTheme="minorEastAsia"/>
                <w:b w:val="0"/>
                <w:bCs/>
                <w:color w:val="auto"/>
                <w:sz w:val="18"/>
                <w:szCs w:val="18"/>
                <w:highlight w:val="none"/>
                <w:lang w:val="en-US" w:eastAsia="zh-CN"/>
              </w:rPr>
              <w:t>有机化合物</w:t>
            </w:r>
            <w:r>
              <w:rPr>
                <w:rFonts w:hint="eastAsia" w:ascii="Times New Roman" w:hAnsi="Times New Roman" w:cs="Times New Roman" w:eastAsiaTheme="minorEastAsia"/>
                <w:b w:val="0"/>
                <w:bCs/>
                <w:color w:val="auto"/>
                <w:sz w:val="18"/>
                <w:szCs w:val="18"/>
                <w:highlight w:val="none"/>
                <w:lang w:val="en-US" w:eastAsia="zh-CN"/>
              </w:rPr>
              <w:fldChar w:fldCharType="end"/>
            </w:r>
            <w:r>
              <w:rPr>
                <w:rFonts w:hint="eastAsia" w:ascii="Times New Roman" w:hAnsi="Times New Roman" w:cs="Times New Roman" w:eastAsiaTheme="minorEastAsia"/>
                <w:b w:val="0"/>
                <w:bCs/>
                <w:color w:val="auto"/>
                <w:sz w:val="18"/>
                <w:szCs w:val="18"/>
                <w:highlight w:val="none"/>
                <w:lang w:val="en-US" w:eastAsia="zh-CN"/>
              </w:rPr>
              <w:t>是一种白色</w:t>
            </w:r>
            <w:r>
              <w:rPr>
                <w:rFonts w:hint="eastAsia" w:ascii="Times New Roman" w:hAnsi="Times New Roman" w:cs="Times New Roman" w:eastAsiaTheme="minorEastAsia"/>
                <w:b w:val="0"/>
                <w:bCs/>
                <w:color w:val="auto"/>
                <w:sz w:val="18"/>
                <w:szCs w:val="18"/>
                <w:highlight w:val="none"/>
                <w:lang w:val="en-US" w:eastAsia="zh-CN"/>
              </w:rPr>
              <w:fldChar w:fldCharType="begin"/>
            </w:r>
            <w:r>
              <w:rPr>
                <w:rFonts w:hint="eastAsia" w:ascii="Times New Roman" w:hAnsi="Times New Roman" w:cs="Times New Roman" w:eastAsiaTheme="minorEastAsia"/>
                <w:b w:val="0"/>
                <w:bCs/>
                <w:color w:val="auto"/>
                <w:sz w:val="18"/>
                <w:szCs w:val="18"/>
                <w:highlight w:val="none"/>
                <w:lang w:val="en-US" w:eastAsia="zh-CN"/>
              </w:rPr>
              <w:instrText xml:space="preserve"> HYPERLINK "https://baike.so.com/doc/191492-202333.html" \t "https://baike.so.com/doc/_blank" </w:instrText>
            </w:r>
            <w:r>
              <w:rPr>
                <w:rFonts w:hint="eastAsia" w:ascii="Times New Roman" w:hAnsi="Times New Roman" w:cs="Times New Roman" w:eastAsiaTheme="minorEastAsia"/>
                <w:b w:val="0"/>
                <w:bCs/>
                <w:color w:val="auto"/>
                <w:sz w:val="18"/>
                <w:szCs w:val="18"/>
                <w:highlight w:val="none"/>
                <w:lang w:val="en-US" w:eastAsia="zh-CN"/>
              </w:rPr>
              <w:fldChar w:fldCharType="separate"/>
            </w:r>
            <w:r>
              <w:rPr>
                <w:rFonts w:hint="eastAsia" w:ascii="Times New Roman" w:hAnsi="Times New Roman" w:cs="Times New Roman" w:eastAsiaTheme="minorEastAsia"/>
                <w:b w:val="0"/>
                <w:bCs/>
                <w:color w:val="auto"/>
                <w:sz w:val="18"/>
                <w:szCs w:val="18"/>
                <w:highlight w:val="none"/>
                <w:lang w:val="en-US" w:eastAsia="zh-CN"/>
              </w:rPr>
              <w:t>晶体</w:t>
            </w:r>
            <w:r>
              <w:rPr>
                <w:rFonts w:hint="eastAsia" w:ascii="Times New Roman" w:hAnsi="Times New Roman" w:cs="Times New Roman" w:eastAsiaTheme="minorEastAsia"/>
                <w:b w:val="0"/>
                <w:bCs/>
                <w:color w:val="auto"/>
                <w:sz w:val="18"/>
                <w:szCs w:val="18"/>
                <w:highlight w:val="none"/>
                <w:lang w:val="en-US" w:eastAsia="zh-CN"/>
              </w:rPr>
              <w:fldChar w:fldCharType="end"/>
            </w:r>
            <w:r>
              <w:rPr>
                <w:rFonts w:hint="eastAsia" w:ascii="Times New Roman" w:hAnsi="Times New Roman" w:cs="Times New Roman" w:eastAsiaTheme="minorEastAsia"/>
                <w:b w:val="0"/>
                <w:bCs/>
                <w:color w:val="auto"/>
                <w:sz w:val="18"/>
                <w:szCs w:val="18"/>
                <w:highlight w:val="none"/>
                <w:lang w:val="en-US" w:eastAsia="zh-CN"/>
              </w:rPr>
              <w:t>。最简单的有机化合物之一，是哺乳动物和某些鱼类体内蛋白质代谢分解的主要含氮终产物。也是目前含氮量最高的</w:t>
            </w:r>
            <w:r>
              <w:rPr>
                <w:rFonts w:hint="eastAsia" w:ascii="Times New Roman" w:hAnsi="Times New Roman" w:cs="Times New Roman" w:eastAsiaTheme="minorEastAsia"/>
                <w:b w:val="0"/>
                <w:bCs/>
                <w:color w:val="auto"/>
                <w:sz w:val="18"/>
                <w:szCs w:val="18"/>
                <w:highlight w:val="none"/>
                <w:lang w:val="en-US" w:eastAsia="zh-CN"/>
              </w:rPr>
              <w:fldChar w:fldCharType="begin"/>
            </w:r>
            <w:r>
              <w:rPr>
                <w:rFonts w:hint="eastAsia" w:ascii="Times New Roman" w:hAnsi="Times New Roman" w:cs="Times New Roman" w:eastAsiaTheme="minorEastAsia"/>
                <w:b w:val="0"/>
                <w:bCs/>
                <w:color w:val="auto"/>
                <w:sz w:val="18"/>
                <w:szCs w:val="18"/>
                <w:highlight w:val="none"/>
                <w:lang w:val="en-US" w:eastAsia="zh-CN"/>
              </w:rPr>
              <w:instrText xml:space="preserve"> HYPERLINK "https://baike.so.com/doc/364690-386341.html" \t "https://baike.so.com/doc/_blank" </w:instrText>
            </w:r>
            <w:r>
              <w:rPr>
                <w:rFonts w:hint="eastAsia" w:ascii="Times New Roman" w:hAnsi="Times New Roman" w:cs="Times New Roman" w:eastAsiaTheme="minorEastAsia"/>
                <w:b w:val="0"/>
                <w:bCs/>
                <w:color w:val="auto"/>
                <w:sz w:val="18"/>
                <w:szCs w:val="18"/>
                <w:highlight w:val="none"/>
                <w:lang w:val="en-US" w:eastAsia="zh-CN"/>
              </w:rPr>
              <w:fldChar w:fldCharType="separate"/>
            </w:r>
            <w:r>
              <w:rPr>
                <w:rFonts w:hint="eastAsia" w:ascii="Times New Roman" w:hAnsi="Times New Roman" w:cs="Times New Roman" w:eastAsiaTheme="minorEastAsia"/>
                <w:b w:val="0"/>
                <w:bCs/>
                <w:color w:val="auto"/>
                <w:sz w:val="18"/>
                <w:szCs w:val="18"/>
                <w:highlight w:val="none"/>
                <w:lang w:val="en-US" w:eastAsia="zh-CN"/>
              </w:rPr>
              <w:t>氮肥</w:t>
            </w:r>
            <w:r>
              <w:rPr>
                <w:rFonts w:hint="eastAsia" w:ascii="Times New Roman" w:hAnsi="Times New Roman" w:cs="Times New Roman" w:eastAsiaTheme="minorEastAsia"/>
                <w:b w:val="0"/>
                <w:bCs/>
                <w:color w:val="auto"/>
                <w:sz w:val="18"/>
                <w:szCs w:val="18"/>
                <w:highlight w:val="none"/>
                <w:lang w:val="en-US" w:eastAsia="zh-CN"/>
              </w:rPr>
              <w:fldChar w:fldCharType="end"/>
            </w:r>
            <w:r>
              <w:rPr>
                <w:rFonts w:hint="eastAsia" w:ascii="Times New Roman" w:hAnsi="Times New Roman" w:cs="Times New Roman" w:eastAsiaTheme="minorEastAsia"/>
                <w:b w:val="0"/>
                <w:bCs/>
                <w:color w:val="auto"/>
                <w:sz w:val="18"/>
                <w:szCs w:val="18"/>
                <w:highlight w:val="none"/>
                <w:lang w:val="en-US" w:eastAsia="zh-CN"/>
              </w:rPr>
              <w:t>。作为一种中性肥料，尿素适用于各种土壤和植物。它易保存，使用方便，对</w:t>
            </w:r>
            <w:r>
              <w:rPr>
                <w:rFonts w:hint="eastAsia" w:ascii="Times New Roman" w:hAnsi="Times New Roman" w:cs="Times New Roman" w:eastAsiaTheme="minorEastAsia"/>
                <w:b w:val="0"/>
                <w:bCs/>
                <w:color w:val="auto"/>
                <w:sz w:val="18"/>
                <w:szCs w:val="18"/>
                <w:highlight w:val="none"/>
                <w:lang w:val="en-US" w:eastAsia="zh-CN"/>
              </w:rPr>
              <w:fldChar w:fldCharType="begin"/>
            </w:r>
            <w:r>
              <w:rPr>
                <w:rFonts w:hint="eastAsia" w:ascii="Times New Roman" w:hAnsi="Times New Roman" w:cs="Times New Roman" w:eastAsiaTheme="minorEastAsia"/>
                <w:b w:val="0"/>
                <w:bCs/>
                <w:color w:val="auto"/>
                <w:sz w:val="18"/>
                <w:szCs w:val="18"/>
                <w:highlight w:val="none"/>
                <w:lang w:val="en-US" w:eastAsia="zh-CN"/>
              </w:rPr>
              <w:instrText xml:space="preserve"> HYPERLINK "https://baike.so.com/doc/2557765-27396666.html" \t "https://baike.so.com/doc/_blank" </w:instrText>
            </w:r>
            <w:r>
              <w:rPr>
                <w:rFonts w:hint="eastAsia" w:ascii="Times New Roman" w:hAnsi="Times New Roman" w:cs="Times New Roman" w:eastAsiaTheme="minorEastAsia"/>
                <w:b w:val="0"/>
                <w:bCs/>
                <w:color w:val="auto"/>
                <w:sz w:val="18"/>
                <w:szCs w:val="18"/>
                <w:highlight w:val="none"/>
                <w:lang w:val="en-US" w:eastAsia="zh-CN"/>
              </w:rPr>
              <w:fldChar w:fldCharType="separate"/>
            </w:r>
            <w:r>
              <w:rPr>
                <w:rFonts w:hint="eastAsia" w:ascii="Times New Roman" w:hAnsi="Times New Roman" w:cs="Times New Roman" w:eastAsiaTheme="minorEastAsia"/>
                <w:b w:val="0"/>
                <w:bCs/>
                <w:color w:val="auto"/>
                <w:sz w:val="18"/>
                <w:szCs w:val="18"/>
                <w:highlight w:val="none"/>
                <w:lang w:val="en-US" w:eastAsia="zh-CN"/>
              </w:rPr>
              <w:t>土壤</w:t>
            </w:r>
            <w:r>
              <w:rPr>
                <w:rFonts w:hint="eastAsia" w:ascii="Times New Roman" w:hAnsi="Times New Roman" w:cs="Times New Roman" w:eastAsiaTheme="minorEastAsia"/>
                <w:b w:val="0"/>
                <w:bCs/>
                <w:color w:val="auto"/>
                <w:sz w:val="18"/>
                <w:szCs w:val="18"/>
                <w:highlight w:val="none"/>
                <w:lang w:val="en-US" w:eastAsia="zh-CN"/>
              </w:rPr>
              <w:fldChar w:fldCharType="end"/>
            </w:r>
            <w:r>
              <w:rPr>
                <w:rFonts w:hint="eastAsia" w:ascii="Times New Roman" w:hAnsi="Times New Roman" w:cs="Times New Roman" w:eastAsiaTheme="minorEastAsia"/>
                <w:b w:val="0"/>
                <w:bCs/>
                <w:color w:val="auto"/>
                <w:sz w:val="18"/>
                <w:szCs w:val="18"/>
                <w:highlight w:val="none"/>
                <w:lang w:val="en-US" w:eastAsia="zh-CN"/>
              </w:rPr>
              <w:t>的破坏作用小，是目前使用量较大的一种化学</w:t>
            </w:r>
            <w:r>
              <w:rPr>
                <w:rFonts w:hint="eastAsia" w:ascii="Times New Roman" w:hAnsi="Times New Roman" w:cs="Times New Roman" w:eastAsiaTheme="minorEastAsia"/>
                <w:b w:val="0"/>
                <w:bCs/>
                <w:color w:val="auto"/>
                <w:sz w:val="18"/>
                <w:szCs w:val="18"/>
                <w:highlight w:val="none"/>
                <w:lang w:val="en-US" w:eastAsia="zh-CN"/>
              </w:rPr>
              <w:fldChar w:fldCharType="begin"/>
            </w:r>
            <w:r>
              <w:rPr>
                <w:rFonts w:hint="eastAsia" w:ascii="Times New Roman" w:hAnsi="Times New Roman" w:cs="Times New Roman" w:eastAsiaTheme="minorEastAsia"/>
                <w:b w:val="0"/>
                <w:bCs/>
                <w:color w:val="auto"/>
                <w:sz w:val="18"/>
                <w:szCs w:val="18"/>
                <w:highlight w:val="none"/>
                <w:lang w:val="en-US" w:eastAsia="zh-CN"/>
              </w:rPr>
              <w:instrText xml:space="preserve"> HYPERLINK "https://baike.so.com/doc/364690-386341.html" \t "https://baike.so.com/doc/_blank" </w:instrText>
            </w:r>
            <w:r>
              <w:rPr>
                <w:rFonts w:hint="eastAsia" w:ascii="Times New Roman" w:hAnsi="Times New Roman" w:cs="Times New Roman" w:eastAsiaTheme="minorEastAsia"/>
                <w:b w:val="0"/>
                <w:bCs/>
                <w:color w:val="auto"/>
                <w:sz w:val="18"/>
                <w:szCs w:val="18"/>
                <w:highlight w:val="none"/>
                <w:lang w:val="en-US" w:eastAsia="zh-CN"/>
              </w:rPr>
              <w:fldChar w:fldCharType="separate"/>
            </w:r>
            <w:r>
              <w:rPr>
                <w:rFonts w:hint="eastAsia" w:ascii="Times New Roman" w:hAnsi="Times New Roman" w:cs="Times New Roman" w:eastAsiaTheme="minorEastAsia"/>
                <w:b w:val="0"/>
                <w:bCs/>
                <w:color w:val="auto"/>
                <w:sz w:val="18"/>
                <w:szCs w:val="18"/>
                <w:highlight w:val="none"/>
                <w:lang w:val="en-US" w:eastAsia="zh-CN"/>
              </w:rPr>
              <w:t>氮肥</w:t>
            </w:r>
            <w:r>
              <w:rPr>
                <w:rFonts w:hint="eastAsia" w:ascii="Times New Roman" w:hAnsi="Times New Roman" w:cs="Times New Roman" w:eastAsiaTheme="minorEastAsia"/>
                <w:b w:val="0"/>
                <w:bCs/>
                <w:color w:val="auto"/>
                <w:sz w:val="18"/>
                <w:szCs w:val="18"/>
                <w:highlight w:val="none"/>
                <w:lang w:val="en-US" w:eastAsia="zh-CN"/>
              </w:rPr>
              <w:fldChar w:fldCharType="end"/>
            </w:r>
            <w:r>
              <w:rPr>
                <w:rFonts w:hint="eastAsia" w:ascii="Times New Roman" w:hAnsi="Times New Roman" w:cs="Times New Roman" w:eastAsiaTheme="minorEastAsia"/>
                <w:b w:val="0"/>
                <w:bCs/>
                <w:color w:val="auto"/>
                <w:sz w:val="18"/>
                <w:szCs w:val="18"/>
                <w:highlight w:val="none"/>
                <w:lang w:val="en-US" w:eastAsia="zh-CN"/>
              </w:rPr>
              <w:t>。工业上用</w:t>
            </w:r>
            <w:r>
              <w:rPr>
                <w:rFonts w:hint="eastAsia" w:ascii="Times New Roman" w:hAnsi="Times New Roman" w:cs="Times New Roman" w:eastAsiaTheme="minorEastAsia"/>
                <w:b w:val="0"/>
                <w:bCs/>
                <w:color w:val="auto"/>
                <w:sz w:val="18"/>
                <w:szCs w:val="18"/>
                <w:highlight w:val="none"/>
                <w:lang w:val="en-US" w:eastAsia="zh-CN"/>
              </w:rPr>
              <w:fldChar w:fldCharType="begin"/>
            </w:r>
            <w:r>
              <w:rPr>
                <w:rFonts w:hint="eastAsia" w:ascii="Times New Roman" w:hAnsi="Times New Roman" w:cs="Times New Roman" w:eastAsiaTheme="minorEastAsia"/>
                <w:b w:val="0"/>
                <w:bCs/>
                <w:color w:val="auto"/>
                <w:sz w:val="18"/>
                <w:szCs w:val="18"/>
                <w:highlight w:val="none"/>
                <w:lang w:val="en-US" w:eastAsia="zh-CN"/>
              </w:rPr>
              <w:instrText xml:space="preserve"> HYPERLINK "https://baike.so.com/doc/5003839-5228512.html" \t "https://baike.so.com/doc/_blank" </w:instrText>
            </w:r>
            <w:r>
              <w:rPr>
                <w:rFonts w:hint="eastAsia" w:ascii="Times New Roman" w:hAnsi="Times New Roman" w:cs="Times New Roman" w:eastAsiaTheme="minorEastAsia"/>
                <w:b w:val="0"/>
                <w:bCs/>
                <w:color w:val="auto"/>
                <w:sz w:val="18"/>
                <w:szCs w:val="18"/>
                <w:highlight w:val="none"/>
                <w:lang w:val="en-US" w:eastAsia="zh-CN"/>
              </w:rPr>
              <w:fldChar w:fldCharType="separate"/>
            </w:r>
            <w:r>
              <w:rPr>
                <w:rFonts w:hint="eastAsia" w:ascii="Times New Roman" w:hAnsi="Times New Roman" w:cs="Times New Roman" w:eastAsiaTheme="minorEastAsia"/>
                <w:b w:val="0"/>
                <w:bCs/>
                <w:color w:val="auto"/>
                <w:sz w:val="18"/>
                <w:szCs w:val="18"/>
                <w:highlight w:val="none"/>
                <w:lang w:val="en-US" w:eastAsia="zh-CN"/>
              </w:rPr>
              <w:t>氨气</w:t>
            </w:r>
            <w:r>
              <w:rPr>
                <w:rFonts w:hint="eastAsia" w:ascii="Times New Roman" w:hAnsi="Times New Roman" w:cs="Times New Roman" w:eastAsiaTheme="minorEastAsia"/>
                <w:b w:val="0"/>
                <w:bCs/>
                <w:color w:val="auto"/>
                <w:sz w:val="18"/>
                <w:szCs w:val="18"/>
                <w:highlight w:val="none"/>
                <w:lang w:val="en-US" w:eastAsia="zh-CN"/>
              </w:rPr>
              <w:fldChar w:fldCharType="end"/>
            </w:r>
            <w:r>
              <w:rPr>
                <w:rFonts w:hint="eastAsia" w:ascii="Times New Roman" w:hAnsi="Times New Roman" w:cs="Times New Roman" w:eastAsiaTheme="minorEastAsia"/>
                <w:b w:val="0"/>
                <w:bCs/>
                <w:color w:val="auto"/>
                <w:sz w:val="18"/>
                <w:szCs w:val="18"/>
                <w:highlight w:val="none"/>
                <w:lang w:val="en-US" w:eastAsia="zh-CN"/>
              </w:rPr>
              <w:t>和</w:t>
            </w:r>
            <w:r>
              <w:rPr>
                <w:rFonts w:hint="eastAsia" w:ascii="Times New Roman" w:hAnsi="Times New Roman" w:cs="Times New Roman" w:eastAsiaTheme="minorEastAsia"/>
                <w:b w:val="0"/>
                <w:bCs/>
                <w:color w:val="auto"/>
                <w:sz w:val="18"/>
                <w:szCs w:val="18"/>
                <w:highlight w:val="none"/>
                <w:lang w:val="en-US" w:eastAsia="zh-CN"/>
              </w:rPr>
              <w:fldChar w:fldCharType="begin"/>
            </w:r>
            <w:r>
              <w:rPr>
                <w:rFonts w:hint="eastAsia" w:ascii="Times New Roman" w:hAnsi="Times New Roman" w:cs="Times New Roman" w:eastAsiaTheme="minorEastAsia"/>
                <w:b w:val="0"/>
                <w:bCs/>
                <w:color w:val="auto"/>
                <w:sz w:val="18"/>
                <w:szCs w:val="18"/>
                <w:highlight w:val="none"/>
                <w:lang w:val="en-US" w:eastAsia="zh-CN"/>
              </w:rPr>
              <w:instrText xml:space="preserve"> HYPERLINK "https://baike.so.com/doc/1320639-1396245.html" \t "https://baike.so.com/doc/_blank" </w:instrText>
            </w:r>
            <w:r>
              <w:rPr>
                <w:rFonts w:hint="eastAsia" w:ascii="Times New Roman" w:hAnsi="Times New Roman" w:cs="Times New Roman" w:eastAsiaTheme="minorEastAsia"/>
                <w:b w:val="0"/>
                <w:bCs/>
                <w:color w:val="auto"/>
                <w:sz w:val="18"/>
                <w:szCs w:val="18"/>
                <w:highlight w:val="none"/>
                <w:lang w:val="en-US" w:eastAsia="zh-CN"/>
              </w:rPr>
              <w:fldChar w:fldCharType="separate"/>
            </w:r>
            <w:r>
              <w:rPr>
                <w:rFonts w:hint="eastAsia" w:ascii="Times New Roman" w:hAnsi="Times New Roman" w:cs="Times New Roman" w:eastAsiaTheme="minorEastAsia"/>
                <w:b w:val="0"/>
                <w:bCs/>
                <w:color w:val="auto"/>
                <w:sz w:val="18"/>
                <w:szCs w:val="18"/>
                <w:highlight w:val="none"/>
                <w:lang w:val="en-US" w:eastAsia="zh-CN"/>
              </w:rPr>
              <w:t>二氧化碳</w:t>
            </w:r>
            <w:r>
              <w:rPr>
                <w:rFonts w:hint="eastAsia" w:ascii="Times New Roman" w:hAnsi="Times New Roman" w:cs="Times New Roman" w:eastAsiaTheme="minorEastAsia"/>
                <w:b w:val="0"/>
                <w:bCs/>
                <w:color w:val="auto"/>
                <w:sz w:val="18"/>
                <w:szCs w:val="18"/>
                <w:highlight w:val="none"/>
                <w:lang w:val="en-US" w:eastAsia="zh-CN"/>
              </w:rPr>
              <w:fldChar w:fldCharType="end"/>
            </w:r>
            <w:r>
              <w:rPr>
                <w:rFonts w:hint="eastAsia" w:ascii="Times New Roman" w:hAnsi="Times New Roman" w:cs="Times New Roman" w:eastAsiaTheme="minorEastAsia"/>
                <w:b w:val="0"/>
                <w:bCs/>
                <w:color w:val="auto"/>
                <w:sz w:val="18"/>
                <w:szCs w:val="18"/>
                <w:highlight w:val="none"/>
                <w:lang w:val="en-US" w:eastAsia="zh-CN"/>
              </w:rPr>
              <w:t>在一定条件下合成尿素。</w:t>
            </w:r>
          </w:p>
          <w:p w14:paraId="001226C1">
            <w:pPr>
              <w:pStyle w:val="7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rFonts w:hint="default" w:ascii="Times New Roman" w:hAnsi="Times New Roman" w:cs="Times New Roman" w:eastAsiaTheme="minorEastAsia"/>
                <w:b w:val="0"/>
                <w:bCs/>
                <w:color w:val="auto"/>
                <w:sz w:val="18"/>
                <w:szCs w:val="18"/>
                <w:highlight w:val="none"/>
                <w:lang w:val="en-US" w:eastAsia="zh-CN"/>
              </w:rPr>
            </w:pPr>
            <w:r>
              <w:rPr>
                <w:rFonts w:hint="eastAsia" w:ascii="Times New Roman" w:hAnsi="Times New Roman" w:cs="Times New Roman" w:eastAsiaTheme="minorEastAsia"/>
                <w:b w:val="0"/>
                <w:bCs/>
                <w:color w:val="auto"/>
                <w:sz w:val="18"/>
                <w:szCs w:val="18"/>
                <w:highlight w:val="none"/>
                <w:lang w:val="en-US" w:eastAsia="zh-CN"/>
              </w:rPr>
              <w:t>硫酸钾：是一种无机盐，化学式为K</w:t>
            </w:r>
            <w:r>
              <w:rPr>
                <w:rFonts w:hint="eastAsia" w:ascii="Times New Roman" w:hAnsi="Times New Roman" w:cs="Times New Roman" w:eastAsiaTheme="minorEastAsia"/>
                <w:b w:val="0"/>
                <w:bCs/>
                <w:color w:val="auto"/>
                <w:sz w:val="18"/>
                <w:szCs w:val="18"/>
                <w:highlight w:val="none"/>
                <w:vertAlign w:val="subscript"/>
                <w:lang w:val="en-US" w:eastAsia="zh-CN"/>
              </w:rPr>
              <w:t>2</w:t>
            </w:r>
            <w:r>
              <w:rPr>
                <w:rFonts w:hint="eastAsia" w:ascii="Times New Roman" w:hAnsi="Times New Roman" w:cs="Times New Roman" w:eastAsiaTheme="minorEastAsia"/>
                <w:b w:val="0"/>
                <w:bCs/>
                <w:color w:val="auto"/>
                <w:sz w:val="18"/>
                <w:szCs w:val="18"/>
                <w:highlight w:val="none"/>
                <w:lang w:val="en-US" w:eastAsia="zh-CN"/>
              </w:rPr>
              <w:t>SO</w:t>
            </w:r>
            <w:r>
              <w:rPr>
                <w:rFonts w:hint="eastAsia" w:ascii="Times New Roman" w:hAnsi="Times New Roman" w:cs="Times New Roman" w:eastAsiaTheme="minorEastAsia"/>
                <w:b w:val="0"/>
                <w:bCs/>
                <w:color w:val="auto"/>
                <w:sz w:val="18"/>
                <w:szCs w:val="18"/>
                <w:highlight w:val="none"/>
                <w:vertAlign w:val="subscript"/>
                <w:lang w:val="en-US" w:eastAsia="zh-CN"/>
              </w:rPr>
              <w:t>4</w:t>
            </w:r>
            <w:r>
              <w:rPr>
                <w:rFonts w:hint="eastAsia" w:ascii="Times New Roman" w:hAnsi="Times New Roman" w:cs="Times New Roman" w:eastAsiaTheme="minorEastAsia"/>
                <w:b w:val="0"/>
                <w:bCs/>
                <w:color w:val="auto"/>
                <w:sz w:val="18"/>
                <w:szCs w:val="18"/>
                <w:highlight w:val="none"/>
                <w:lang w:val="en-US" w:eastAsia="zh-CN"/>
              </w:rPr>
              <w:t>，呈白色结晶性粉末。农用硫酸钾外观多呈淡黄色，硫酸钾的吸湿性小，不易结块，物理性状良好，施用方便，是很好的水溶性钾肥，也是制作无氯氮、磷、钾三元复合肥的主要原料。</w:t>
            </w:r>
          </w:p>
          <w:p w14:paraId="093D3ED5">
            <w:pPr>
              <w:pStyle w:val="7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rFonts w:hint="default" w:ascii="Times New Roman" w:hAnsi="Times New Roman" w:cs="Times New Roman" w:eastAsiaTheme="minorEastAsia"/>
                <w:b w:val="0"/>
                <w:bCs/>
                <w:color w:val="auto"/>
                <w:sz w:val="18"/>
                <w:szCs w:val="18"/>
                <w:highlight w:val="none"/>
                <w:lang w:val="en-US" w:eastAsia="zh-CN"/>
              </w:rPr>
            </w:pPr>
            <w:r>
              <w:rPr>
                <w:rFonts w:hint="eastAsia" w:ascii="Times New Roman" w:hAnsi="Times New Roman" w:cs="Times New Roman" w:eastAsiaTheme="minorEastAsia"/>
                <w:b w:val="0"/>
                <w:bCs/>
                <w:color w:val="auto"/>
                <w:sz w:val="18"/>
                <w:szCs w:val="18"/>
                <w:highlight w:val="none"/>
                <w:lang w:val="en-US" w:eastAsia="zh-CN"/>
              </w:rPr>
              <w:t>氯化钾：一种无机化合物，化学式为KCl，外观如同食盐，无臭、味咸。 常用于低钠盐、矿物质水的添加剂。氯化钾是临床常用的电解质平衡调节药，临床疗效确切，广泛运用于临床各科。</w:t>
            </w:r>
          </w:p>
          <w:p w14:paraId="6E85A2AB">
            <w:pPr>
              <w:pStyle w:val="7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rFonts w:hint="default" w:ascii="Times New Roman" w:hAnsi="Times New Roman" w:cs="Times New Roman" w:eastAsiaTheme="minorEastAsia"/>
                <w:b w:val="0"/>
                <w:bCs/>
                <w:color w:val="auto"/>
                <w:sz w:val="18"/>
                <w:szCs w:val="18"/>
                <w:highlight w:val="none"/>
                <w:lang w:val="en-US" w:eastAsia="zh-CN"/>
              </w:rPr>
            </w:pPr>
            <w:r>
              <w:rPr>
                <w:rFonts w:hint="eastAsia" w:ascii="Times New Roman" w:hAnsi="Times New Roman" w:cs="Times New Roman" w:eastAsiaTheme="minorEastAsia"/>
                <w:b w:val="0"/>
                <w:bCs/>
                <w:color w:val="auto"/>
                <w:sz w:val="18"/>
                <w:szCs w:val="18"/>
                <w:highlight w:val="none"/>
                <w:lang w:val="en-US" w:eastAsia="zh-CN"/>
              </w:rPr>
              <w:t>磷酸二铵：又称磷酸氢二铵（DAP），是含氮磷两种营养成分的复合肥。呈灰白色或深灰色颗粒，比重1.619，易溶于水，不溶于乙醇。有一定吸湿性，在潮湿空气中易分解，挥发出氨变成磷酸二氢铵。加热至155℃分解。190℃熔融，分解放出氨和水。水溶液呈弱碱性，pH8.0。</w:t>
            </w:r>
          </w:p>
          <w:p w14:paraId="3272FAE8">
            <w:pPr>
              <w:pStyle w:val="7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rFonts w:hint="default" w:ascii="Times New Roman" w:hAnsi="Times New Roman" w:cs="Times New Roman" w:eastAsiaTheme="minorEastAsia"/>
                <w:b w:val="0"/>
                <w:bCs/>
                <w:color w:val="auto"/>
                <w:sz w:val="18"/>
                <w:szCs w:val="18"/>
                <w:highlight w:val="none"/>
                <w:lang w:val="en-US" w:eastAsia="zh-CN"/>
              </w:rPr>
            </w:pPr>
            <w:r>
              <w:rPr>
                <w:rFonts w:hint="eastAsia" w:ascii="Times New Roman" w:hAnsi="Times New Roman" w:cs="Times New Roman" w:eastAsiaTheme="minorEastAsia"/>
                <w:b w:val="0"/>
                <w:bCs/>
                <w:color w:val="auto"/>
                <w:sz w:val="18"/>
                <w:szCs w:val="18"/>
                <w:highlight w:val="none"/>
                <w:lang w:val="en-US" w:eastAsia="zh-CN"/>
              </w:rPr>
              <w:t>磷酸一铵：别名有磷铵、磷酸二氢铵、工业磷酸一铵、MAP。为无色透明的正方晶系粗大或细小晶体。相对密度（19℃）1.803，熔点150℃。易溶于水，微溶于醇，不溶于酮。在空气中稳定，加热到100～110℃不会失去氨；加热到130℃以上时开始分解，并逐步放出氨和水，生成偏磷酸铵和磷酸的混合物。其水溶液呈酸性，1%溶液的 pH 值为4.5。</w:t>
            </w:r>
          </w:p>
          <w:p w14:paraId="5EA497AE">
            <w:pPr>
              <w:pStyle w:val="7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rFonts w:hint="default" w:ascii="Times New Roman" w:hAnsi="Times New Roman" w:cs="Times New Roman" w:eastAsiaTheme="minorEastAsia"/>
                <w:b/>
                <w:bCs w:val="0"/>
                <w:color w:val="auto"/>
                <w:sz w:val="18"/>
                <w:szCs w:val="18"/>
                <w:highlight w:val="none"/>
                <w:lang w:val="en-US" w:eastAsia="zh-CN"/>
              </w:rPr>
            </w:pPr>
            <w:r>
              <w:rPr>
                <w:rFonts w:hint="eastAsia" w:ascii="Times New Roman" w:hAnsi="Times New Roman" w:cs="Times New Roman" w:eastAsiaTheme="minorEastAsia"/>
                <w:b w:val="0"/>
                <w:bCs/>
                <w:color w:val="auto"/>
                <w:sz w:val="18"/>
                <w:szCs w:val="18"/>
                <w:highlight w:val="none"/>
                <w:lang w:val="en-US" w:eastAsia="zh-CN"/>
              </w:rPr>
              <w:t>硫酸镁：是一种含镁的</w:t>
            </w:r>
            <w:r>
              <w:rPr>
                <w:rFonts w:hint="eastAsia" w:ascii="Times New Roman" w:hAnsi="Times New Roman" w:cs="Times New Roman" w:eastAsiaTheme="minorEastAsia"/>
                <w:b w:val="0"/>
                <w:bCs/>
                <w:color w:val="auto"/>
                <w:sz w:val="18"/>
                <w:szCs w:val="18"/>
                <w:highlight w:val="none"/>
                <w:lang w:val="en-US" w:eastAsia="zh-CN"/>
              </w:rPr>
              <w:fldChar w:fldCharType="begin"/>
            </w:r>
            <w:r>
              <w:rPr>
                <w:rFonts w:hint="eastAsia" w:ascii="Times New Roman" w:hAnsi="Times New Roman" w:cs="Times New Roman" w:eastAsiaTheme="minorEastAsia"/>
                <w:b w:val="0"/>
                <w:bCs/>
                <w:color w:val="auto"/>
                <w:sz w:val="18"/>
                <w:szCs w:val="18"/>
                <w:highlight w:val="none"/>
                <w:lang w:val="en-US" w:eastAsia="zh-CN"/>
              </w:rPr>
              <w:instrText xml:space="preserve"> HYPERLINK "https://baike.so.com/doc/6546024-6759769.html" \t "https://baike.so.com/doc/_blank" </w:instrText>
            </w:r>
            <w:r>
              <w:rPr>
                <w:rFonts w:hint="eastAsia" w:ascii="Times New Roman" w:hAnsi="Times New Roman" w:cs="Times New Roman" w:eastAsiaTheme="minorEastAsia"/>
                <w:b w:val="0"/>
                <w:bCs/>
                <w:color w:val="auto"/>
                <w:sz w:val="18"/>
                <w:szCs w:val="18"/>
                <w:highlight w:val="none"/>
                <w:lang w:val="en-US" w:eastAsia="zh-CN"/>
              </w:rPr>
              <w:fldChar w:fldCharType="separate"/>
            </w:r>
            <w:r>
              <w:rPr>
                <w:rFonts w:hint="eastAsia" w:ascii="Times New Roman" w:hAnsi="Times New Roman" w:cs="Times New Roman" w:eastAsiaTheme="minorEastAsia"/>
                <w:b w:val="0"/>
                <w:bCs/>
                <w:color w:val="auto"/>
                <w:sz w:val="18"/>
                <w:szCs w:val="18"/>
                <w:highlight w:val="none"/>
                <w:lang w:val="en-US" w:eastAsia="zh-CN"/>
              </w:rPr>
              <w:t>化合</w:t>
            </w:r>
            <w:r>
              <w:rPr>
                <w:rFonts w:hint="eastAsia" w:ascii="Times New Roman" w:hAnsi="Times New Roman" w:cs="Times New Roman" w:eastAsiaTheme="minorEastAsia"/>
                <w:b w:val="0"/>
                <w:bCs/>
                <w:color w:val="auto"/>
                <w:sz w:val="18"/>
                <w:szCs w:val="18"/>
                <w:highlight w:val="none"/>
                <w:lang w:val="en-US" w:eastAsia="zh-CN"/>
              </w:rPr>
              <w:fldChar w:fldCharType="end"/>
            </w:r>
            <w:r>
              <w:rPr>
                <w:rFonts w:hint="eastAsia" w:ascii="Times New Roman" w:hAnsi="Times New Roman" w:cs="Times New Roman" w:eastAsiaTheme="minorEastAsia"/>
                <w:b w:val="0"/>
                <w:bCs/>
                <w:color w:val="auto"/>
                <w:sz w:val="18"/>
                <w:szCs w:val="18"/>
                <w:highlight w:val="none"/>
                <w:lang w:val="en-US" w:eastAsia="zh-CN"/>
              </w:rPr>
              <w:t>物，分子式为MgSO</w:t>
            </w:r>
            <w:r>
              <w:rPr>
                <w:rFonts w:hint="eastAsia" w:ascii="Times New Roman" w:hAnsi="Times New Roman" w:cs="Times New Roman" w:eastAsiaTheme="minorEastAsia"/>
                <w:b w:val="0"/>
                <w:bCs/>
                <w:color w:val="auto"/>
                <w:sz w:val="18"/>
                <w:szCs w:val="18"/>
                <w:highlight w:val="none"/>
                <w:vertAlign w:val="subscript"/>
                <w:lang w:val="en-US" w:eastAsia="zh-CN"/>
              </w:rPr>
              <w:t>4</w:t>
            </w:r>
            <w:r>
              <w:rPr>
                <w:rFonts w:hint="default" w:ascii="Times New Roman" w:hAnsi="Times New Roman" w:cs="Times New Roman" w:eastAsiaTheme="minorEastAsia"/>
                <w:b w:val="0"/>
                <w:bCs/>
                <w:color w:val="auto"/>
                <w:sz w:val="18"/>
                <w:szCs w:val="18"/>
                <w:highlight w:val="none"/>
                <w:lang w:val="en-US" w:eastAsia="zh-CN"/>
              </w:rPr>
              <w:t>。以用作制革、炸药、造纸、</w:t>
            </w:r>
            <w:r>
              <w:rPr>
                <w:rFonts w:hint="default" w:ascii="Times New Roman" w:hAnsi="Times New Roman" w:cs="Times New Roman" w:eastAsiaTheme="minorEastAsia"/>
                <w:b w:val="0"/>
                <w:bCs/>
                <w:color w:val="auto"/>
                <w:sz w:val="18"/>
                <w:szCs w:val="18"/>
                <w:highlight w:val="none"/>
                <w:lang w:val="en-US" w:eastAsia="zh-CN"/>
              </w:rPr>
              <w:fldChar w:fldCharType="begin"/>
            </w:r>
            <w:r>
              <w:rPr>
                <w:rFonts w:hint="default" w:ascii="Times New Roman" w:hAnsi="Times New Roman" w:cs="Times New Roman" w:eastAsiaTheme="minorEastAsia"/>
                <w:b w:val="0"/>
                <w:bCs/>
                <w:color w:val="auto"/>
                <w:sz w:val="18"/>
                <w:szCs w:val="18"/>
                <w:highlight w:val="none"/>
                <w:lang w:val="en-US" w:eastAsia="zh-CN"/>
              </w:rPr>
              <w:instrText xml:space="preserve"> HYPERLINK "https://baike.so.com/doc/18342-19007.html" \t "https://baike.so.com/doc/_blank" </w:instrText>
            </w:r>
            <w:r>
              <w:rPr>
                <w:rFonts w:hint="default" w:ascii="Times New Roman" w:hAnsi="Times New Roman" w:cs="Times New Roman" w:eastAsiaTheme="minorEastAsia"/>
                <w:b w:val="0"/>
                <w:bCs/>
                <w:color w:val="auto"/>
                <w:sz w:val="18"/>
                <w:szCs w:val="18"/>
                <w:highlight w:val="none"/>
                <w:lang w:val="en-US" w:eastAsia="zh-CN"/>
              </w:rPr>
              <w:fldChar w:fldCharType="separate"/>
            </w:r>
            <w:r>
              <w:rPr>
                <w:rFonts w:hint="default" w:ascii="Times New Roman" w:hAnsi="Times New Roman" w:cs="Times New Roman" w:eastAsiaTheme="minorEastAsia"/>
                <w:b w:val="0"/>
                <w:bCs/>
                <w:color w:val="auto"/>
                <w:sz w:val="18"/>
                <w:szCs w:val="18"/>
                <w:highlight w:val="none"/>
                <w:lang w:val="en-US" w:eastAsia="zh-CN"/>
              </w:rPr>
              <w:t>瓷器</w:t>
            </w:r>
            <w:r>
              <w:rPr>
                <w:rFonts w:hint="default" w:ascii="Times New Roman" w:hAnsi="Times New Roman" w:cs="Times New Roman" w:eastAsiaTheme="minorEastAsia"/>
                <w:b w:val="0"/>
                <w:bCs/>
                <w:color w:val="auto"/>
                <w:sz w:val="18"/>
                <w:szCs w:val="18"/>
                <w:highlight w:val="none"/>
                <w:lang w:val="en-US" w:eastAsia="zh-CN"/>
              </w:rPr>
              <w:fldChar w:fldCharType="end"/>
            </w:r>
            <w:r>
              <w:rPr>
                <w:rFonts w:hint="default" w:ascii="Times New Roman" w:hAnsi="Times New Roman" w:cs="Times New Roman" w:eastAsiaTheme="minorEastAsia"/>
                <w:b w:val="0"/>
                <w:bCs/>
                <w:color w:val="auto"/>
                <w:sz w:val="18"/>
                <w:szCs w:val="18"/>
                <w:highlight w:val="none"/>
                <w:lang w:val="en-US" w:eastAsia="zh-CN"/>
              </w:rPr>
              <w:t>、肥料，以及医疗上口服泻药等。矿物质水添加剂.硫酸镁在农业中被用于一种肥料，因为镁是叶绿素的主要成分之一。通常被用于盆栽植物或缺镁的</w:t>
            </w:r>
            <w:r>
              <w:rPr>
                <w:rFonts w:hint="default" w:ascii="Times New Roman" w:hAnsi="Times New Roman" w:cs="Times New Roman" w:eastAsiaTheme="minorEastAsia"/>
                <w:b w:val="0"/>
                <w:bCs/>
                <w:color w:val="auto"/>
                <w:sz w:val="18"/>
                <w:szCs w:val="18"/>
                <w:highlight w:val="none"/>
                <w:lang w:val="en-US" w:eastAsia="zh-CN"/>
              </w:rPr>
              <w:fldChar w:fldCharType="begin"/>
            </w:r>
            <w:r>
              <w:rPr>
                <w:rFonts w:hint="default" w:ascii="Times New Roman" w:hAnsi="Times New Roman" w:cs="Times New Roman" w:eastAsiaTheme="minorEastAsia"/>
                <w:b w:val="0"/>
                <w:bCs/>
                <w:color w:val="auto"/>
                <w:sz w:val="18"/>
                <w:szCs w:val="18"/>
                <w:highlight w:val="none"/>
                <w:lang w:val="en-US" w:eastAsia="zh-CN"/>
              </w:rPr>
              <w:instrText xml:space="preserve"> HYPERLINK "https://baike.so.com/doc/1035341-1094998.html" \t "https://baike.so.com/doc/_blank" </w:instrText>
            </w:r>
            <w:r>
              <w:rPr>
                <w:rFonts w:hint="default" w:ascii="Times New Roman" w:hAnsi="Times New Roman" w:cs="Times New Roman" w:eastAsiaTheme="minorEastAsia"/>
                <w:b w:val="0"/>
                <w:bCs/>
                <w:color w:val="auto"/>
                <w:sz w:val="18"/>
                <w:szCs w:val="18"/>
                <w:highlight w:val="none"/>
                <w:lang w:val="en-US" w:eastAsia="zh-CN"/>
              </w:rPr>
              <w:fldChar w:fldCharType="separate"/>
            </w:r>
            <w:r>
              <w:rPr>
                <w:rFonts w:hint="default" w:ascii="Times New Roman" w:hAnsi="Times New Roman" w:cs="Times New Roman" w:eastAsiaTheme="minorEastAsia"/>
                <w:b w:val="0"/>
                <w:bCs/>
                <w:color w:val="auto"/>
                <w:sz w:val="18"/>
                <w:szCs w:val="18"/>
                <w:highlight w:val="none"/>
                <w:lang w:val="en-US" w:eastAsia="zh-CN"/>
              </w:rPr>
              <w:t>农作物</w:t>
            </w:r>
            <w:r>
              <w:rPr>
                <w:rFonts w:hint="default" w:ascii="Times New Roman" w:hAnsi="Times New Roman" w:cs="Times New Roman" w:eastAsiaTheme="minorEastAsia"/>
                <w:b w:val="0"/>
                <w:bCs/>
                <w:color w:val="auto"/>
                <w:sz w:val="18"/>
                <w:szCs w:val="18"/>
                <w:highlight w:val="none"/>
                <w:lang w:val="en-US" w:eastAsia="zh-CN"/>
              </w:rPr>
              <w:fldChar w:fldCharType="end"/>
            </w:r>
            <w:r>
              <w:rPr>
                <w:rFonts w:hint="default" w:ascii="Times New Roman" w:hAnsi="Times New Roman" w:cs="Times New Roman" w:eastAsiaTheme="minorEastAsia"/>
                <w:b w:val="0"/>
                <w:bCs/>
                <w:color w:val="auto"/>
                <w:sz w:val="18"/>
                <w:szCs w:val="18"/>
                <w:highlight w:val="none"/>
                <w:lang w:val="en-US" w:eastAsia="zh-CN"/>
              </w:rPr>
              <w:t>，例如西红柿，马铃薯，玫瑰等。硫酸镁比起其他肥料的优点是溶解度较高。硫酸镁也被用作浴盐</w:t>
            </w:r>
            <w:r>
              <w:rPr>
                <w:rFonts w:hint="eastAsia" w:ascii="Times New Roman" w:hAnsi="Times New Roman" w:cs="Times New Roman" w:eastAsiaTheme="minorEastAsia"/>
                <w:b w:val="0"/>
                <w:bCs/>
                <w:color w:val="auto"/>
                <w:sz w:val="18"/>
                <w:szCs w:val="18"/>
                <w:highlight w:val="none"/>
                <w:lang w:val="en-US" w:eastAsia="zh-CN"/>
              </w:rPr>
              <w:t>。</w:t>
            </w:r>
          </w:p>
          <w:p w14:paraId="3232929F">
            <w:pPr>
              <w:pStyle w:val="7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rFonts w:hint="eastAsia" w:ascii="Times New Roman" w:hAnsi="Times New Roman" w:cs="Times New Roman" w:eastAsiaTheme="minorEastAsia"/>
                <w:b w:val="0"/>
                <w:bCs/>
                <w:color w:val="auto"/>
                <w:sz w:val="18"/>
                <w:szCs w:val="18"/>
                <w:highlight w:val="none"/>
                <w:lang w:val="en-US" w:eastAsia="zh-CN"/>
              </w:rPr>
            </w:pPr>
            <w:r>
              <w:rPr>
                <w:rFonts w:hint="eastAsia" w:ascii="Times New Roman" w:hAnsi="Times New Roman" w:cs="Times New Roman" w:eastAsiaTheme="minorEastAsia"/>
                <w:b w:val="0"/>
                <w:bCs/>
                <w:color w:val="auto"/>
                <w:sz w:val="18"/>
                <w:szCs w:val="18"/>
                <w:highlight w:val="none"/>
                <w:lang w:val="en-US" w:eastAsia="zh-CN"/>
              </w:rPr>
              <w:t>硫酸锌：是最重要的锌盐，为无色斜方晶体或白色粉末，是制造锌钡白和锌盐的主要原料，也可用作印染</w:t>
            </w:r>
            <w:r>
              <w:rPr>
                <w:rFonts w:hint="eastAsia" w:ascii="Times New Roman" w:hAnsi="Times New Roman" w:cs="Times New Roman" w:eastAsiaTheme="minorEastAsia"/>
                <w:b w:val="0"/>
                <w:bCs/>
                <w:color w:val="auto"/>
                <w:sz w:val="18"/>
                <w:szCs w:val="18"/>
                <w:highlight w:val="none"/>
                <w:lang w:val="en-US" w:eastAsia="zh-CN"/>
              </w:rPr>
              <w:fldChar w:fldCharType="begin"/>
            </w:r>
            <w:r>
              <w:rPr>
                <w:rFonts w:hint="eastAsia" w:ascii="Times New Roman" w:hAnsi="Times New Roman" w:cs="Times New Roman" w:eastAsiaTheme="minorEastAsia"/>
                <w:b w:val="0"/>
                <w:bCs/>
                <w:color w:val="auto"/>
                <w:sz w:val="18"/>
                <w:szCs w:val="18"/>
                <w:highlight w:val="none"/>
                <w:lang w:val="en-US" w:eastAsia="zh-CN"/>
              </w:rPr>
              <w:instrText xml:space="preserve"> HYPERLINK "https://baike.so.com/doc/1786951-1889709.html" \t "https://baike.so.com/doc/_blank" </w:instrText>
            </w:r>
            <w:r>
              <w:rPr>
                <w:rFonts w:hint="eastAsia" w:ascii="Times New Roman" w:hAnsi="Times New Roman" w:cs="Times New Roman" w:eastAsiaTheme="minorEastAsia"/>
                <w:b w:val="0"/>
                <w:bCs/>
                <w:color w:val="auto"/>
                <w:sz w:val="18"/>
                <w:szCs w:val="18"/>
                <w:highlight w:val="none"/>
                <w:lang w:val="en-US" w:eastAsia="zh-CN"/>
              </w:rPr>
              <w:fldChar w:fldCharType="separate"/>
            </w:r>
            <w:r>
              <w:rPr>
                <w:rFonts w:hint="eastAsia" w:ascii="Times New Roman" w:hAnsi="Times New Roman" w:cs="Times New Roman" w:eastAsiaTheme="minorEastAsia"/>
                <w:b w:val="0"/>
                <w:bCs/>
                <w:color w:val="auto"/>
                <w:sz w:val="18"/>
                <w:szCs w:val="18"/>
                <w:highlight w:val="none"/>
                <w:lang w:val="en-US" w:eastAsia="zh-CN"/>
              </w:rPr>
              <w:t>媒染剂</w:t>
            </w:r>
            <w:r>
              <w:rPr>
                <w:rFonts w:hint="eastAsia" w:ascii="Times New Roman" w:hAnsi="Times New Roman" w:cs="Times New Roman" w:eastAsiaTheme="minorEastAsia"/>
                <w:b w:val="0"/>
                <w:bCs/>
                <w:color w:val="auto"/>
                <w:sz w:val="18"/>
                <w:szCs w:val="18"/>
                <w:highlight w:val="none"/>
                <w:lang w:val="en-US" w:eastAsia="zh-CN"/>
              </w:rPr>
              <w:fldChar w:fldCharType="end"/>
            </w:r>
            <w:r>
              <w:rPr>
                <w:rFonts w:hint="eastAsia" w:ascii="Times New Roman" w:hAnsi="Times New Roman" w:cs="Times New Roman" w:eastAsiaTheme="minorEastAsia"/>
                <w:b w:val="0"/>
                <w:bCs/>
                <w:color w:val="auto"/>
                <w:sz w:val="18"/>
                <w:szCs w:val="18"/>
                <w:highlight w:val="none"/>
                <w:lang w:val="en-US" w:eastAsia="zh-CN"/>
              </w:rPr>
              <w:t>，木材和皮革的</w:t>
            </w:r>
            <w:r>
              <w:rPr>
                <w:rFonts w:hint="eastAsia" w:ascii="Times New Roman" w:hAnsi="Times New Roman" w:cs="Times New Roman" w:eastAsiaTheme="minorEastAsia"/>
                <w:b w:val="0"/>
                <w:bCs/>
                <w:color w:val="auto"/>
                <w:sz w:val="18"/>
                <w:szCs w:val="18"/>
                <w:highlight w:val="none"/>
                <w:lang w:val="en-US" w:eastAsia="zh-CN"/>
              </w:rPr>
              <w:fldChar w:fldCharType="begin"/>
            </w:r>
            <w:r>
              <w:rPr>
                <w:rFonts w:hint="eastAsia" w:ascii="Times New Roman" w:hAnsi="Times New Roman" w:cs="Times New Roman" w:eastAsiaTheme="minorEastAsia"/>
                <w:b w:val="0"/>
                <w:bCs/>
                <w:color w:val="auto"/>
                <w:sz w:val="18"/>
                <w:szCs w:val="18"/>
                <w:highlight w:val="none"/>
                <w:lang w:val="en-US" w:eastAsia="zh-CN"/>
              </w:rPr>
              <w:instrText xml:space="preserve"> HYPERLINK "https://baike.so.com/doc/6557363-6771116.html" \t "https://baike.so.com/doc/_blank" </w:instrText>
            </w:r>
            <w:r>
              <w:rPr>
                <w:rFonts w:hint="eastAsia" w:ascii="Times New Roman" w:hAnsi="Times New Roman" w:cs="Times New Roman" w:eastAsiaTheme="minorEastAsia"/>
                <w:b w:val="0"/>
                <w:bCs/>
                <w:color w:val="auto"/>
                <w:sz w:val="18"/>
                <w:szCs w:val="18"/>
                <w:highlight w:val="none"/>
                <w:lang w:val="en-US" w:eastAsia="zh-CN"/>
              </w:rPr>
              <w:fldChar w:fldCharType="separate"/>
            </w:r>
            <w:r>
              <w:rPr>
                <w:rFonts w:hint="eastAsia" w:ascii="Times New Roman" w:hAnsi="Times New Roman" w:cs="Times New Roman" w:eastAsiaTheme="minorEastAsia"/>
                <w:b w:val="0"/>
                <w:bCs/>
                <w:color w:val="auto"/>
                <w:sz w:val="18"/>
                <w:szCs w:val="18"/>
                <w:highlight w:val="none"/>
                <w:lang w:val="en-US" w:eastAsia="zh-CN"/>
              </w:rPr>
              <w:t>保存剂</w:t>
            </w:r>
            <w:r>
              <w:rPr>
                <w:rFonts w:hint="eastAsia" w:ascii="Times New Roman" w:hAnsi="Times New Roman" w:cs="Times New Roman" w:eastAsiaTheme="minorEastAsia"/>
                <w:b w:val="0"/>
                <w:bCs/>
                <w:color w:val="auto"/>
                <w:sz w:val="18"/>
                <w:szCs w:val="18"/>
                <w:highlight w:val="none"/>
                <w:lang w:val="en-US" w:eastAsia="zh-CN"/>
              </w:rPr>
              <w:fldChar w:fldCharType="end"/>
            </w:r>
            <w:r>
              <w:rPr>
                <w:rFonts w:hint="eastAsia" w:ascii="Times New Roman" w:hAnsi="Times New Roman" w:cs="Times New Roman" w:eastAsiaTheme="minorEastAsia"/>
                <w:b w:val="0"/>
                <w:bCs/>
                <w:color w:val="auto"/>
                <w:sz w:val="18"/>
                <w:szCs w:val="18"/>
                <w:highlight w:val="none"/>
                <w:lang w:val="en-US" w:eastAsia="zh-CN"/>
              </w:rPr>
              <w:t>，也是生产粘胶纤维和</w:t>
            </w:r>
            <w:r>
              <w:rPr>
                <w:rFonts w:hint="eastAsia" w:ascii="Times New Roman" w:hAnsi="Times New Roman" w:cs="Times New Roman" w:eastAsiaTheme="minorEastAsia"/>
                <w:b w:val="0"/>
                <w:bCs/>
                <w:color w:val="auto"/>
                <w:sz w:val="18"/>
                <w:szCs w:val="18"/>
                <w:highlight w:val="none"/>
                <w:lang w:val="en-US" w:eastAsia="zh-CN"/>
              </w:rPr>
              <w:fldChar w:fldCharType="begin"/>
            </w:r>
            <w:r>
              <w:rPr>
                <w:rFonts w:hint="eastAsia" w:ascii="Times New Roman" w:hAnsi="Times New Roman" w:cs="Times New Roman" w:eastAsiaTheme="minorEastAsia"/>
                <w:b w:val="0"/>
                <w:bCs/>
                <w:color w:val="auto"/>
                <w:sz w:val="18"/>
                <w:szCs w:val="18"/>
                <w:highlight w:val="none"/>
                <w:lang w:val="en-US" w:eastAsia="zh-CN"/>
              </w:rPr>
              <w:instrText xml:space="preserve"> HYPERLINK "https://baike.so.com/doc/782800-828240.html" \t "https://baike.so.com/doc/_blank" </w:instrText>
            </w:r>
            <w:r>
              <w:rPr>
                <w:rFonts w:hint="eastAsia" w:ascii="Times New Roman" w:hAnsi="Times New Roman" w:cs="Times New Roman" w:eastAsiaTheme="minorEastAsia"/>
                <w:b w:val="0"/>
                <w:bCs/>
                <w:color w:val="auto"/>
                <w:sz w:val="18"/>
                <w:szCs w:val="18"/>
                <w:highlight w:val="none"/>
                <w:lang w:val="en-US" w:eastAsia="zh-CN"/>
              </w:rPr>
              <w:fldChar w:fldCharType="separate"/>
            </w:r>
            <w:r>
              <w:rPr>
                <w:rFonts w:hint="eastAsia" w:ascii="Times New Roman" w:hAnsi="Times New Roman" w:cs="Times New Roman" w:eastAsiaTheme="minorEastAsia"/>
                <w:b w:val="0"/>
                <w:bCs/>
                <w:color w:val="auto"/>
                <w:sz w:val="18"/>
                <w:szCs w:val="18"/>
                <w:highlight w:val="none"/>
                <w:lang w:val="en-US" w:eastAsia="zh-CN"/>
              </w:rPr>
              <w:t>维尼纶</w:t>
            </w:r>
            <w:r>
              <w:rPr>
                <w:rFonts w:hint="eastAsia" w:ascii="Times New Roman" w:hAnsi="Times New Roman" w:cs="Times New Roman" w:eastAsiaTheme="minorEastAsia"/>
                <w:b w:val="0"/>
                <w:bCs/>
                <w:color w:val="auto"/>
                <w:sz w:val="18"/>
                <w:szCs w:val="18"/>
                <w:highlight w:val="none"/>
                <w:lang w:val="en-US" w:eastAsia="zh-CN"/>
              </w:rPr>
              <w:fldChar w:fldCharType="end"/>
            </w:r>
            <w:r>
              <w:rPr>
                <w:rFonts w:hint="eastAsia" w:ascii="Times New Roman" w:hAnsi="Times New Roman" w:cs="Times New Roman" w:eastAsiaTheme="minorEastAsia"/>
                <w:b w:val="0"/>
                <w:bCs/>
                <w:color w:val="auto"/>
                <w:sz w:val="18"/>
                <w:szCs w:val="18"/>
                <w:highlight w:val="none"/>
                <w:lang w:val="en-US" w:eastAsia="zh-CN"/>
              </w:rPr>
              <w:t>纤维的重要辅助原料。另外，在</w:t>
            </w:r>
            <w:r>
              <w:rPr>
                <w:rFonts w:hint="eastAsia" w:ascii="Times New Roman" w:hAnsi="Times New Roman" w:cs="Times New Roman" w:eastAsiaTheme="minorEastAsia"/>
                <w:b w:val="0"/>
                <w:bCs/>
                <w:color w:val="auto"/>
                <w:sz w:val="18"/>
                <w:szCs w:val="18"/>
                <w:highlight w:val="none"/>
                <w:lang w:val="en-US" w:eastAsia="zh-CN"/>
              </w:rPr>
              <w:fldChar w:fldCharType="begin"/>
            </w:r>
            <w:r>
              <w:rPr>
                <w:rFonts w:hint="eastAsia" w:ascii="Times New Roman" w:hAnsi="Times New Roman" w:cs="Times New Roman" w:eastAsiaTheme="minorEastAsia"/>
                <w:b w:val="0"/>
                <w:bCs/>
                <w:color w:val="auto"/>
                <w:sz w:val="18"/>
                <w:szCs w:val="18"/>
                <w:highlight w:val="none"/>
                <w:lang w:val="en-US" w:eastAsia="zh-CN"/>
              </w:rPr>
              <w:instrText xml:space="preserve"> HYPERLINK "https://baike.so.com/doc/45538-47576.html" \t "https://baike.so.com/doc/_blank" </w:instrText>
            </w:r>
            <w:r>
              <w:rPr>
                <w:rFonts w:hint="eastAsia" w:ascii="Times New Roman" w:hAnsi="Times New Roman" w:cs="Times New Roman" w:eastAsiaTheme="minorEastAsia"/>
                <w:b w:val="0"/>
                <w:bCs/>
                <w:color w:val="auto"/>
                <w:sz w:val="18"/>
                <w:szCs w:val="18"/>
                <w:highlight w:val="none"/>
                <w:lang w:val="en-US" w:eastAsia="zh-CN"/>
              </w:rPr>
              <w:fldChar w:fldCharType="separate"/>
            </w:r>
            <w:r>
              <w:rPr>
                <w:rFonts w:hint="eastAsia" w:ascii="Times New Roman" w:hAnsi="Times New Roman" w:cs="Times New Roman" w:eastAsiaTheme="minorEastAsia"/>
                <w:b w:val="0"/>
                <w:bCs/>
                <w:color w:val="auto"/>
                <w:sz w:val="18"/>
                <w:szCs w:val="18"/>
                <w:highlight w:val="none"/>
                <w:lang w:val="en-US" w:eastAsia="zh-CN"/>
              </w:rPr>
              <w:t>电镀</w:t>
            </w:r>
            <w:r>
              <w:rPr>
                <w:rFonts w:hint="eastAsia" w:ascii="Times New Roman" w:hAnsi="Times New Roman" w:cs="Times New Roman" w:eastAsiaTheme="minorEastAsia"/>
                <w:b w:val="0"/>
                <w:bCs/>
                <w:color w:val="auto"/>
                <w:sz w:val="18"/>
                <w:szCs w:val="18"/>
                <w:highlight w:val="none"/>
                <w:lang w:val="en-US" w:eastAsia="zh-CN"/>
              </w:rPr>
              <w:fldChar w:fldCharType="end"/>
            </w:r>
            <w:r>
              <w:rPr>
                <w:rFonts w:hint="eastAsia" w:ascii="Times New Roman" w:hAnsi="Times New Roman" w:cs="Times New Roman" w:eastAsiaTheme="minorEastAsia"/>
                <w:b w:val="0"/>
                <w:bCs/>
                <w:color w:val="auto"/>
                <w:sz w:val="18"/>
                <w:szCs w:val="18"/>
                <w:highlight w:val="none"/>
                <w:lang w:val="en-US" w:eastAsia="zh-CN"/>
              </w:rPr>
              <w:t>和电解工业中也有应用，还可以用于制造电缆。</w:t>
            </w:r>
          </w:p>
          <w:p w14:paraId="5EB7A649">
            <w:pPr>
              <w:pStyle w:val="7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rFonts w:hint="eastAsia" w:ascii="Times New Roman" w:hAnsi="Times New Roman" w:cs="Times New Roman" w:eastAsiaTheme="minorEastAsia"/>
                <w:b w:val="0"/>
                <w:bCs/>
                <w:color w:val="auto"/>
                <w:sz w:val="18"/>
                <w:szCs w:val="18"/>
                <w:highlight w:val="none"/>
                <w:lang w:val="en-US" w:eastAsia="zh-CN"/>
              </w:rPr>
            </w:pPr>
            <w:r>
              <w:rPr>
                <w:rFonts w:hint="eastAsia" w:ascii="Times New Roman" w:hAnsi="Times New Roman" w:cs="Times New Roman" w:eastAsiaTheme="minorEastAsia"/>
                <w:b w:val="0"/>
                <w:bCs/>
                <w:color w:val="auto"/>
                <w:sz w:val="18"/>
                <w:szCs w:val="18"/>
                <w:highlight w:val="none"/>
                <w:lang w:val="en-US" w:eastAsia="zh-CN"/>
              </w:rPr>
              <w:t>氯化铵：无色晶体或白色颗粒性粉末无气味。味咸凉而微苦。吸湿性小。粉状氯化铵极易潮解，吸湿点一般在76%左右，当空气中相对湿度大于吸湿点时，氯化铵即产生吸潮现象，容易结块。能升华（实际上是氯化铵的分解和重新生成的过程）而无熔点。相对密度1.5274。折光率1.642。低毒，半数致死量（大鼠，经口）1650mg/kg。有刺激性。加热至350℃升华，沸点520℃。易溶于水，微溶于乙醇，溶于液氨，不溶于丙酮和乙醚。盐酸和氯化钠能降低其在水中的溶解度。氯化铵100℃时开始分解，337.8℃时可以完全分解为氨气和氯化氢气体，遇冷后又重新化合生成颗粒极小的氯化铵而呈现为白色浓烟，不易下沉，也不易再溶解于水。</w:t>
            </w:r>
          </w:p>
          <w:p w14:paraId="41CC9C37">
            <w:pPr>
              <w:pStyle w:val="7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20"/>
              <w:jc w:val="both"/>
              <w:textAlignment w:val="auto"/>
              <w:rPr>
                <w:rFonts w:hint="default" w:ascii="Times New Roman" w:hAnsi="Times New Roman" w:cs="Times New Roman" w:eastAsiaTheme="minorEastAsia"/>
                <w:b w:val="0"/>
                <w:bCs/>
                <w:color w:val="auto"/>
                <w:sz w:val="18"/>
                <w:szCs w:val="18"/>
                <w:highlight w:val="none"/>
                <w:lang w:eastAsia="zh-CN"/>
              </w:rPr>
            </w:pPr>
            <w:r>
              <w:rPr>
                <w:rFonts w:hint="default" w:ascii="Times New Roman" w:hAnsi="Times New Roman" w:cs="Times New Roman" w:eastAsiaTheme="minorEastAsia"/>
                <w:b w:val="0"/>
                <w:bCs/>
                <w:color w:val="auto"/>
                <w:sz w:val="18"/>
                <w:szCs w:val="18"/>
                <w:highlight w:val="none"/>
                <w:lang w:val="en-US" w:eastAsia="zh-CN"/>
              </w:rPr>
              <w:t>包膜剂</w:t>
            </w:r>
            <w:r>
              <w:rPr>
                <w:rFonts w:hint="eastAsia" w:ascii="Times New Roman" w:hAnsi="Times New Roman" w:cs="Times New Roman" w:eastAsiaTheme="minorEastAsia"/>
                <w:b w:val="0"/>
                <w:bCs/>
                <w:color w:val="auto"/>
                <w:sz w:val="18"/>
                <w:szCs w:val="18"/>
                <w:highlight w:val="none"/>
                <w:lang w:val="en-US" w:eastAsia="zh-CN"/>
              </w:rPr>
              <w:t>：</w:t>
            </w:r>
            <w:r>
              <w:rPr>
                <w:rFonts w:hint="default" w:ascii="Times New Roman" w:hAnsi="Times New Roman" w:cs="Times New Roman" w:eastAsiaTheme="minorEastAsia"/>
                <w:b w:val="0"/>
                <w:bCs/>
                <w:color w:val="auto"/>
                <w:sz w:val="18"/>
                <w:szCs w:val="18"/>
                <w:highlight w:val="none"/>
                <w:lang w:val="en-US" w:eastAsia="zh-CN"/>
              </w:rPr>
              <w:t>主要为脂肪胺和植物油，脂肪胺是指碳链长度在C</w:t>
            </w:r>
            <w:r>
              <w:rPr>
                <w:rFonts w:hint="default" w:ascii="Times New Roman" w:hAnsi="Times New Roman" w:cs="Times New Roman" w:eastAsiaTheme="minorEastAsia"/>
                <w:b w:val="0"/>
                <w:bCs/>
                <w:color w:val="auto"/>
                <w:sz w:val="18"/>
                <w:szCs w:val="18"/>
                <w:highlight w:val="none"/>
                <w:vertAlign w:val="subscript"/>
                <w:lang w:val="en-US" w:eastAsia="zh-CN"/>
              </w:rPr>
              <w:t>8</w:t>
            </w:r>
            <w:r>
              <w:rPr>
                <w:rFonts w:hint="default" w:ascii="Times New Roman" w:hAnsi="Times New Roman" w:cs="Times New Roman" w:eastAsiaTheme="minorEastAsia"/>
                <w:b w:val="0"/>
                <w:bCs/>
                <w:color w:val="auto"/>
                <w:sz w:val="18"/>
                <w:szCs w:val="18"/>
                <w:highlight w:val="none"/>
                <w:lang w:val="en-US" w:eastAsia="zh-CN"/>
              </w:rPr>
              <w:t>-C</w:t>
            </w:r>
            <w:r>
              <w:rPr>
                <w:rFonts w:hint="default" w:ascii="Times New Roman" w:hAnsi="Times New Roman" w:cs="Times New Roman" w:eastAsiaTheme="minorEastAsia"/>
                <w:b w:val="0"/>
                <w:bCs/>
                <w:color w:val="auto"/>
                <w:sz w:val="18"/>
                <w:szCs w:val="18"/>
                <w:highlight w:val="none"/>
                <w:vertAlign w:val="subscript"/>
                <w:lang w:val="en-US" w:eastAsia="zh-CN"/>
              </w:rPr>
              <w:t>22</w:t>
            </w:r>
            <w:r>
              <w:rPr>
                <w:rFonts w:hint="default" w:ascii="Times New Roman" w:hAnsi="Times New Roman" w:cs="Times New Roman" w:eastAsiaTheme="minorEastAsia"/>
                <w:b w:val="0"/>
                <w:bCs/>
                <w:color w:val="auto"/>
                <w:sz w:val="18"/>
                <w:szCs w:val="18"/>
                <w:highlight w:val="none"/>
                <w:lang w:val="en-US" w:eastAsia="zh-CN"/>
              </w:rPr>
              <w:t>范围内的一大类有机胺化合物，常温下呈液态或固态，具有碱性，可溶于水。植物油是由不饱和脂肪酸和甘油化合而成的化合物，广泛分布于自然界中，是从植物的果实、种子、胚芽中得到的油脂</w:t>
            </w:r>
            <w:r>
              <w:rPr>
                <w:rFonts w:hint="eastAsia" w:ascii="Times New Roman" w:hAnsi="Times New Roman" w:cs="Times New Roman" w:eastAsiaTheme="minorEastAsia"/>
                <w:b w:val="0"/>
                <w:bCs/>
                <w:color w:val="auto"/>
                <w:sz w:val="18"/>
                <w:szCs w:val="18"/>
                <w:highlight w:val="none"/>
                <w:lang w:val="en-US" w:eastAsia="zh-CN"/>
              </w:rPr>
              <w:t>（</w:t>
            </w:r>
            <w:r>
              <w:rPr>
                <w:rFonts w:hint="default" w:ascii="Times New Roman" w:hAnsi="Times New Roman" w:cs="Times New Roman" w:eastAsiaTheme="minorEastAsia"/>
                <w:b w:val="0"/>
                <w:bCs/>
                <w:color w:val="auto"/>
                <w:sz w:val="18"/>
                <w:szCs w:val="18"/>
                <w:highlight w:val="none"/>
                <w:lang w:val="en-US" w:eastAsia="zh-CN"/>
              </w:rPr>
              <w:t>如花生油、豆油、亚麻油、蓖麻油、</w:t>
            </w:r>
            <w:r>
              <w:rPr>
                <w:rFonts w:hint="eastAsia" w:ascii="Times New Roman" w:hAnsi="Times New Roman" w:cs="Times New Roman" w:eastAsiaTheme="minorEastAsia"/>
                <w:b w:val="0"/>
                <w:bCs/>
                <w:color w:val="auto"/>
                <w:sz w:val="18"/>
                <w:szCs w:val="18"/>
                <w:highlight w:val="none"/>
                <w:lang w:val="en-US" w:eastAsia="zh-CN"/>
              </w:rPr>
              <w:t>菜籽油</w:t>
            </w:r>
            <w:r>
              <w:rPr>
                <w:rFonts w:hint="default" w:ascii="Times New Roman" w:hAnsi="Times New Roman" w:cs="Times New Roman" w:eastAsiaTheme="minorEastAsia"/>
                <w:b w:val="0"/>
                <w:bCs/>
                <w:color w:val="auto"/>
                <w:sz w:val="18"/>
                <w:szCs w:val="18"/>
                <w:highlight w:val="none"/>
                <w:lang w:val="en-US" w:eastAsia="zh-CN"/>
              </w:rPr>
              <w:t>等</w:t>
            </w:r>
            <w:r>
              <w:rPr>
                <w:rFonts w:hint="eastAsia" w:ascii="Times New Roman" w:hAnsi="Times New Roman" w:cs="Times New Roman" w:eastAsiaTheme="minorEastAsia"/>
                <w:b w:val="0"/>
                <w:bCs/>
                <w:color w:val="auto"/>
                <w:sz w:val="18"/>
                <w:szCs w:val="18"/>
                <w:highlight w:val="none"/>
                <w:lang w:val="en-US" w:eastAsia="zh-CN"/>
              </w:rPr>
              <w:t>）</w:t>
            </w:r>
            <w:r>
              <w:rPr>
                <w:rFonts w:hint="default" w:ascii="Times New Roman" w:hAnsi="Times New Roman" w:cs="Times New Roman" w:eastAsiaTheme="minorEastAsia"/>
                <w:b w:val="0"/>
                <w:bCs/>
                <w:color w:val="auto"/>
                <w:sz w:val="18"/>
                <w:szCs w:val="18"/>
                <w:highlight w:val="none"/>
                <w:lang w:val="en-US" w:eastAsia="zh-CN"/>
              </w:rPr>
              <w:t>。</w:t>
            </w:r>
          </w:p>
          <w:p w14:paraId="58FF3881">
            <w:pPr>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9、主要生产设备</w:t>
            </w:r>
          </w:p>
          <w:p w14:paraId="5D02D885">
            <w:pPr>
              <w:spacing w:line="360" w:lineRule="auto"/>
              <w:ind w:firstLine="420" w:firstLineChars="200"/>
              <w:rPr>
                <w:rFonts w:hint="default" w:ascii="Times New Roman" w:hAnsi="Times New Roman" w:cs="Times New Roman"/>
                <w:color w:val="auto"/>
                <w:kern w:val="0"/>
                <w:highlight w:val="none"/>
              </w:rPr>
            </w:pPr>
            <w:r>
              <w:rPr>
                <w:rFonts w:hint="eastAsia" w:cs="Times New Roman"/>
                <w:color w:val="auto"/>
                <w:kern w:val="0"/>
                <w:highlight w:val="none"/>
                <w:lang w:eastAsia="zh-CN"/>
              </w:rPr>
              <w:t>一期项目</w:t>
            </w:r>
            <w:r>
              <w:rPr>
                <w:rFonts w:hint="default" w:ascii="Times New Roman" w:hAnsi="Times New Roman" w:cs="Times New Roman"/>
                <w:color w:val="auto"/>
                <w:kern w:val="0"/>
                <w:highlight w:val="none"/>
              </w:rPr>
              <w:t>主要设备见表2-</w:t>
            </w:r>
            <w:r>
              <w:rPr>
                <w:rFonts w:hint="eastAsia" w:cs="Times New Roman"/>
                <w:color w:val="auto"/>
                <w:kern w:val="0"/>
                <w:highlight w:val="none"/>
                <w:lang w:val="en-US" w:eastAsia="zh-CN"/>
              </w:rPr>
              <w:t>5</w:t>
            </w:r>
            <w:r>
              <w:rPr>
                <w:rFonts w:hint="default" w:ascii="Times New Roman" w:hAnsi="Times New Roman" w:cs="Times New Roman"/>
                <w:color w:val="auto"/>
                <w:kern w:val="0"/>
                <w:highlight w:val="none"/>
              </w:rPr>
              <w:t>。</w:t>
            </w:r>
          </w:p>
          <w:p w14:paraId="3ACF0F26">
            <w:pPr>
              <w:spacing w:line="420" w:lineRule="exact"/>
              <w:jc w:val="center"/>
              <w:rPr>
                <w:rFonts w:hint="default" w:ascii="Times New Roman" w:hAnsi="Times New Roman" w:eastAsia="宋体" w:cs="Times New Roman"/>
                <w:b/>
                <w:bCs/>
                <w:color w:val="auto"/>
                <w:highlight w:val="none"/>
                <w:lang w:eastAsia="zh-CN"/>
              </w:rPr>
            </w:pPr>
            <w:bookmarkStart w:id="18" w:name="_Hlk76365667"/>
            <w:r>
              <w:rPr>
                <w:rFonts w:hint="default" w:ascii="Times New Roman" w:hAnsi="Times New Roman" w:cs="Times New Roman"/>
                <w:b/>
                <w:bCs/>
                <w:color w:val="auto"/>
                <w:highlight w:val="none"/>
              </w:rPr>
              <w:t>表2-</w:t>
            </w:r>
            <w:r>
              <w:rPr>
                <w:rFonts w:hint="eastAsia" w:cs="Times New Roman"/>
                <w:b/>
                <w:bCs/>
                <w:color w:val="auto"/>
                <w:highlight w:val="none"/>
                <w:lang w:val="en-US" w:eastAsia="zh-CN"/>
              </w:rPr>
              <w:t>5一期</w:t>
            </w:r>
            <w:r>
              <w:rPr>
                <w:rFonts w:hint="default" w:ascii="Times New Roman" w:hAnsi="Times New Roman" w:cs="Times New Roman"/>
                <w:b/>
                <w:bCs/>
                <w:color w:val="auto"/>
                <w:highlight w:val="none"/>
              </w:rPr>
              <w:t>项目主要设备</w:t>
            </w:r>
            <w:r>
              <w:rPr>
                <w:rFonts w:hint="default" w:ascii="Times New Roman" w:hAnsi="Times New Roman" w:cs="Times New Roman"/>
                <w:b/>
                <w:bCs/>
                <w:color w:val="auto"/>
                <w:highlight w:val="none"/>
                <w:lang w:eastAsia="zh-CN"/>
              </w:rPr>
              <w:t>清单</w:t>
            </w:r>
          </w:p>
          <w:bookmarkEnd w:id="18"/>
          <w:tbl>
            <w:tblPr>
              <w:tblStyle w:val="81"/>
              <w:tblW w:w="495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5"/>
              <w:gridCol w:w="1078"/>
              <w:gridCol w:w="1209"/>
              <w:gridCol w:w="1907"/>
              <w:gridCol w:w="2044"/>
              <w:gridCol w:w="1523"/>
            </w:tblGrid>
            <w:tr w14:paraId="55E58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blHeader/>
                <w:jc w:val="center"/>
              </w:trPr>
              <w:tc>
                <w:tcPr>
                  <w:tcW w:w="339" w:type="pct"/>
                  <w:noWrap w:val="0"/>
                  <w:vAlign w:val="center"/>
                </w:tcPr>
                <w:p w14:paraId="17E62290">
                  <w:pPr>
                    <w:pStyle w:val="43"/>
                    <w:adjustRightInd w:val="0"/>
                    <w:snapToGrid w:val="0"/>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序号</w:t>
                  </w:r>
                </w:p>
              </w:tc>
              <w:tc>
                <w:tcPr>
                  <w:tcW w:w="647" w:type="pct"/>
                  <w:noWrap w:val="0"/>
                  <w:vAlign w:val="center"/>
                </w:tcPr>
                <w:p w14:paraId="36F1864C">
                  <w:pPr>
                    <w:pStyle w:val="43"/>
                    <w:adjustRightInd w:val="0"/>
                    <w:snapToGrid w:val="0"/>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主要生产单元</w:t>
                  </w:r>
                </w:p>
              </w:tc>
              <w:tc>
                <w:tcPr>
                  <w:tcW w:w="726" w:type="pct"/>
                  <w:noWrap w:val="0"/>
                  <w:vAlign w:val="center"/>
                </w:tcPr>
                <w:p w14:paraId="11E99A14">
                  <w:pPr>
                    <w:pStyle w:val="43"/>
                    <w:adjustRightInd w:val="0"/>
                    <w:snapToGrid w:val="0"/>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主要工艺</w:t>
                  </w:r>
                </w:p>
              </w:tc>
              <w:tc>
                <w:tcPr>
                  <w:tcW w:w="1145" w:type="pct"/>
                  <w:noWrap w:val="0"/>
                  <w:vAlign w:val="center"/>
                </w:tcPr>
                <w:p w14:paraId="6B6815A7">
                  <w:pPr>
                    <w:pStyle w:val="43"/>
                    <w:adjustRightInd w:val="0"/>
                    <w:snapToGrid w:val="0"/>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生产设施</w:t>
                  </w:r>
                </w:p>
              </w:tc>
              <w:tc>
                <w:tcPr>
                  <w:tcW w:w="1227" w:type="pct"/>
                  <w:noWrap w:val="0"/>
                  <w:vAlign w:val="center"/>
                </w:tcPr>
                <w:p w14:paraId="23AAA44D">
                  <w:pPr>
                    <w:pStyle w:val="43"/>
                    <w:adjustRightInd w:val="0"/>
                    <w:snapToGrid w:val="0"/>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项目数量（台/套）</w:t>
                  </w:r>
                </w:p>
              </w:tc>
              <w:tc>
                <w:tcPr>
                  <w:tcW w:w="914" w:type="pct"/>
                  <w:noWrap w:val="0"/>
                  <w:vAlign w:val="center"/>
                </w:tcPr>
                <w:p w14:paraId="3E09BFAA">
                  <w:pPr>
                    <w:pStyle w:val="43"/>
                    <w:adjustRightInd w:val="0"/>
                    <w:snapToGrid w:val="0"/>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型号</w:t>
                  </w:r>
                </w:p>
              </w:tc>
            </w:tr>
            <w:tr w14:paraId="4FB87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noWrap w:val="0"/>
                  <w:vAlign w:val="center"/>
                </w:tcPr>
                <w:p w14:paraId="08A48305">
                  <w:pPr>
                    <w:pStyle w:val="43"/>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1</w:t>
                  </w:r>
                </w:p>
              </w:tc>
              <w:tc>
                <w:tcPr>
                  <w:tcW w:w="647" w:type="pct"/>
                  <w:vMerge w:val="restart"/>
                  <w:noWrap w:val="0"/>
                  <w:vAlign w:val="center"/>
                </w:tcPr>
                <w:p w14:paraId="054B5F8B">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原料预处理</w:t>
                  </w:r>
                </w:p>
              </w:tc>
              <w:tc>
                <w:tcPr>
                  <w:tcW w:w="726" w:type="pct"/>
                  <w:noWrap w:val="0"/>
                  <w:vAlign w:val="center"/>
                </w:tcPr>
                <w:p w14:paraId="1ABCFA81">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破碎</w:t>
                  </w:r>
                </w:p>
              </w:tc>
              <w:tc>
                <w:tcPr>
                  <w:tcW w:w="1145" w:type="pct"/>
                  <w:noWrap w:val="0"/>
                  <w:vAlign w:val="center"/>
                </w:tcPr>
                <w:p w14:paraId="2ADA992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尿素破碎机</w:t>
                  </w:r>
                </w:p>
              </w:tc>
              <w:tc>
                <w:tcPr>
                  <w:tcW w:w="1227" w:type="pct"/>
                  <w:noWrap w:val="0"/>
                  <w:vAlign w:val="center"/>
                </w:tcPr>
                <w:p w14:paraId="1B3DA8C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1192821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WLF800</w:t>
                  </w:r>
                </w:p>
              </w:tc>
            </w:tr>
            <w:tr w14:paraId="15B38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blHeader/>
                <w:jc w:val="center"/>
              </w:trPr>
              <w:tc>
                <w:tcPr>
                  <w:tcW w:w="339" w:type="pct"/>
                  <w:noWrap w:val="0"/>
                  <w:vAlign w:val="center"/>
                </w:tcPr>
                <w:p w14:paraId="22482FBE">
                  <w:pPr>
                    <w:pStyle w:val="43"/>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2</w:t>
                  </w:r>
                </w:p>
              </w:tc>
              <w:tc>
                <w:tcPr>
                  <w:tcW w:w="647" w:type="pct"/>
                  <w:vMerge w:val="continue"/>
                  <w:noWrap w:val="0"/>
                  <w:vAlign w:val="center"/>
                </w:tcPr>
                <w:p w14:paraId="7EDAAD3A">
                  <w:pPr>
                    <w:pStyle w:val="43"/>
                    <w:adjustRightInd w:val="0"/>
                    <w:snapToGrid w:val="0"/>
                    <w:jc w:val="center"/>
                    <w:rPr>
                      <w:rFonts w:hint="default" w:ascii="Times New Roman" w:hAnsi="Times New Roman" w:cs="Times New Roman"/>
                      <w:bCs/>
                      <w:color w:val="auto"/>
                      <w:sz w:val="18"/>
                      <w:szCs w:val="18"/>
                      <w:highlight w:val="none"/>
                    </w:rPr>
                  </w:pPr>
                </w:p>
              </w:tc>
              <w:tc>
                <w:tcPr>
                  <w:tcW w:w="726" w:type="pct"/>
                  <w:noWrap w:val="0"/>
                  <w:vAlign w:val="center"/>
                </w:tcPr>
                <w:p w14:paraId="14E0904A">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破碎</w:t>
                  </w:r>
                </w:p>
              </w:tc>
              <w:tc>
                <w:tcPr>
                  <w:tcW w:w="1145" w:type="pct"/>
                  <w:noWrap w:val="0"/>
                  <w:vAlign w:val="center"/>
                </w:tcPr>
                <w:p w14:paraId="39EE8E1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大块破碎机</w:t>
                  </w:r>
                </w:p>
              </w:tc>
              <w:tc>
                <w:tcPr>
                  <w:tcW w:w="1227" w:type="pct"/>
                  <w:noWrap w:val="0"/>
                  <w:vAlign w:val="center"/>
                </w:tcPr>
                <w:p w14:paraId="62E2AAB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3E64D22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CF800</w:t>
                  </w:r>
                </w:p>
              </w:tc>
            </w:tr>
            <w:tr w14:paraId="30142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blHeader/>
                <w:jc w:val="center"/>
              </w:trPr>
              <w:tc>
                <w:tcPr>
                  <w:tcW w:w="339" w:type="pct"/>
                  <w:noWrap w:val="0"/>
                  <w:vAlign w:val="center"/>
                </w:tcPr>
                <w:p w14:paraId="2C4407B0">
                  <w:pPr>
                    <w:pStyle w:val="43"/>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3</w:t>
                  </w:r>
                </w:p>
              </w:tc>
              <w:tc>
                <w:tcPr>
                  <w:tcW w:w="647" w:type="pct"/>
                  <w:vMerge w:val="continue"/>
                  <w:noWrap w:val="0"/>
                  <w:vAlign w:val="center"/>
                </w:tcPr>
                <w:p w14:paraId="6637FA0C">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726" w:type="pct"/>
                  <w:vMerge w:val="restart"/>
                  <w:noWrap w:val="0"/>
                  <w:vAlign w:val="center"/>
                </w:tcPr>
                <w:p w14:paraId="11129BB3">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配料</w:t>
                  </w:r>
                </w:p>
              </w:tc>
              <w:tc>
                <w:tcPr>
                  <w:tcW w:w="1145" w:type="pct"/>
                  <w:noWrap w:val="0"/>
                  <w:vAlign w:val="center"/>
                </w:tcPr>
                <w:p w14:paraId="60E2E24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配料皮带秤</w:t>
                  </w:r>
                </w:p>
              </w:tc>
              <w:tc>
                <w:tcPr>
                  <w:tcW w:w="1227" w:type="pct"/>
                  <w:noWrap w:val="0"/>
                  <w:vAlign w:val="center"/>
                </w:tcPr>
                <w:p w14:paraId="146C6C3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7</w:t>
                  </w:r>
                </w:p>
              </w:tc>
              <w:tc>
                <w:tcPr>
                  <w:tcW w:w="914" w:type="pct"/>
                  <w:noWrap w:val="0"/>
                  <w:vAlign w:val="center"/>
                </w:tcPr>
                <w:p w14:paraId="3439143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B800</w:t>
                  </w:r>
                </w:p>
              </w:tc>
            </w:tr>
            <w:tr w14:paraId="7C9ED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noWrap w:val="0"/>
                  <w:vAlign w:val="center"/>
                </w:tcPr>
                <w:p w14:paraId="6EFDA74D">
                  <w:pPr>
                    <w:pStyle w:val="43"/>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4</w:t>
                  </w:r>
                </w:p>
              </w:tc>
              <w:tc>
                <w:tcPr>
                  <w:tcW w:w="647" w:type="pct"/>
                  <w:vMerge w:val="continue"/>
                  <w:noWrap w:val="0"/>
                  <w:vAlign w:val="center"/>
                </w:tcPr>
                <w:p w14:paraId="7F3840F0">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726" w:type="pct"/>
                  <w:vMerge w:val="continue"/>
                  <w:noWrap w:val="0"/>
                  <w:vAlign w:val="center"/>
                </w:tcPr>
                <w:p w14:paraId="26BF45F0">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1C1F70C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粘性物料配料皮带秤</w:t>
                  </w:r>
                </w:p>
              </w:tc>
              <w:tc>
                <w:tcPr>
                  <w:tcW w:w="1227" w:type="pct"/>
                  <w:noWrap w:val="0"/>
                  <w:vAlign w:val="center"/>
                </w:tcPr>
                <w:p w14:paraId="5FA5340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261B605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B500</w:t>
                  </w:r>
                </w:p>
              </w:tc>
            </w:tr>
            <w:tr w14:paraId="0847A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noWrap w:val="0"/>
                  <w:vAlign w:val="center"/>
                </w:tcPr>
                <w:p w14:paraId="51E3EA33">
                  <w:pPr>
                    <w:pStyle w:val="43"/>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5</w:t>
                  </w:r>
                </w:p>
              </w:tc>
              <w:tc>
                <w:tcPr>
                  <w:tcW w:w="647" w:type="pct"/>
                  <w:vMerge w:val="continue"/>
                  <w:noWrap w:val="0"/>
                  <w:vAlign w:val="center"/>
                </w:tcPr>
                <w:p w14:paraId="67FC2394">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726" w:type="pct"/>
                  <w:vMerge w:val="continue"/>
                  <w:noWrap w:val="0"/>
                  <w:vAlign w:val="center"/>
                </w:tcPr>
                <w:p w14:paraId="7E413029">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5E274B3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包膜皮带秤</w:t>
                  </w:r>
                </w:p>
              </w:tc>
              <w:tc>
                <w:tcPr>
                  <w:tcW w:w="1227" w:type="pct"/>
                  <w:noWrap w:val="0"/>
                  <w:vAlign w:val="center"/>
                </w:tcPr>
                <w:p w14:paraId="1FCCBCA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07825F8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B1000</w:t>
                  </w:r>
                </w:p>
              </w:tc>
            </w:tr>
            <w:tr w14:paraId="4D415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noWrap w:val="0"/>
                  <w:vAlign w:val="center"/>
                </w:tcPr>
                <w:p w14:paraId="4E358039">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6</w:t>
                  </w:r>
                </w:p>
              </w:tc>
              <w:tc>
                <w:tcPr>
                  <w:tcW w:w="647" w:type="pct"/>
                  <w:vMerge w:val="continue"/>
                  <w:noWrap w:val="0"/>
                  <w:vAlign w:val="center"/>
                </w:tcPr>
                <w:p w14:paraId="1934BED0">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726" w:type="pct"/>
                  <w:noWrap w:val="0"/>
                  <w:vAlign w:val="center"/>
                </w:tcPr>
                <w:p w14:paraId="2688EB82">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筛分</w:t>
                  </w:r>
                </w:p>
              </w:tc>
              <w:tc>
                <w:tcPr>
                  <w:tcW w:w="1145" w:type="pct"/>
                  <w:noWrap w:val="0"/>
                  <w:vAlign w:val="center"/>
                </w:tcPr>
                <w:p w14:paraId="27DA7B8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原料筛</w:t>
                  </w:r>
                </w:p>
              </w:tc>
              <w:tc>
                <w:tcPr>
                  <w:tcW w:w="1227" w:type="pct"/>
                  <w:noWrap w:val="0"/>
                  <w:vAlign w:val="center"/>
                </w:tcPr>
                <w:p w14:paraId="797C863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2</w:t>
                  </w:r>
                </w:p>
              </w:tc>
              <w:tc>
                <w:tcPr>
                  <w:tcW w:w="914" w:type="pct"/>
                  <w:noWrap w:val="0"/>
                  <w:vAlign w:val="center"/>
                </w:tcPr>
                <w:p w14:paraId="3354469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φ1.8×4m</w:t>
                  </w:r>
                </w:p>
              </w:tc>
            </w:tr>
            <w:tr w14:paraId="20DD3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noWrap w:val="0"/>
                  <w:vAlign w:val="center"/>
                </w:tcPr>
                <w:p w14:paraId="04540BFA">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7</w:t>
                  </w:r>
                </w:p>
              </w:tc>
              <w:tc>
                <w:tcPr>
                  <w:tcW w:w="647" w:type="pct"/>
                  <w:vMerge w:val="restart"/>
                  <w:noWrap w:val="0"/>
                  <w:vAlign w:val="center"/>
                </w:tcPr>
                <w:p w14:paraId="1F658B71">
                  <w:pPr>
                    <w:pStyle w:val="43"/>
                    <w:adjustRightInd w:val="0"/>
                    <w:snapToGrid w:val="0"/>
                    <w:jc w:val="center"/>
                    <w:rPr>
                      <w:rFonts w:hint="default" w:ascii="Times New Roman" w:hAnsi="Times New Roman"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复混肥料加工</w:t>
                  </w:r>
                </w:p>
              </w:tc>
              <w:tc>
                <w:tcPr>
                  <w:tcW w:w="726" w:type="pct"/>
                  <w:noWrap w:val="0"/>
                  <w:vAlign w:val="center"/>
                </w:tcPr>
                <w:p w14:paraId="0B062428">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混合</w:t>
                  </w:r>
                </w:p>
              </w:tc>
              <w:tc>
                <w:tcPr>
                  <w:tcW w:w="1145" w:type="pct"/>
                  <w:noWrap w:val="0"/>
                  <w:vAlign w:val="center"/>
                </w:tcPr>
                <w:p w14:paraId="5347BFC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混合机</w:t>
                  </w:r>
                </w:p>
              </w:tc>
              <w:tc>
                <w:tcPr>
                  <w:tcW w:w="1227" w:type="pct"/>
                  <w:noWrap w:val="0"/>
                  <w:vAlign w:val="center"/>
                </w:tcPr>
                <w:p w14:paraId="596B567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5E3B946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SWJ700</w:t>
                  </w:r>
                </w:p>
              </w:tc>
            </w:tr>
            <w:tr w14:paraId="00D7F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noWrap w:val="0"/>
                  <w:vAlign w:val="center"/>
                </w:tcPr>
                <w:p w14:paraId="60318628">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8</w:t>
                  </w:r>
                </w:p>
              </w:tc>
              <w:tc>
                <w:tcPr>
                  <w:tcW w:w="647" w:type="pct"/>
                  <w:vMerge w:val="continue"/>
                  <w:noWrap w:val="0"/>
                  <w:vAlign w:val="center"/>
                </w:tcPr>
                <w:p w14:paraId="381CD4AB">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noWrap w:val="0"/>
                  <w:vAlign w:val="center"/>
                </w:tcPr>
                <w:p w14:paraId="7AB6922C">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造粒</w:t>
                  </w:r>
                </w:p>
              </w:tc>
              <w:tc>
                <w:tcPr>
                  <w:tcW w:w="1145" w:type="pct"/>
                  <w:noWrap w:val="0"/>
                  <w:vAlign w:val="center"/>
                </w:tcPr>
                <w:p w14:paraId="2A5A6C0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造粒机</w:t>
                  </w:r>
                </w:p>
              </w:tc>
              <w:tc>
                <w:tcPr>
                  <w:tcW w:w="1227" w:type="pct"/>
                  <w:noWrap w:val="0"/>
                  <w:vAlign w:val="center"/>
                </w:tcPr>
                <w:p w14:paraId="78FE4F7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36</w:t>
                  </w:r>
                </w:p>
              </w:tc>
              <w:tc>
                <w:tcPr>
                  <w:tcW w:w="914" w:type="pct"/>
                  <w:noWrap w:val="0"/>
                  <w:vAlign w:val="center"/>
                </w:tcPr>
                <w:p w14:paraId="4A4FF26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DGZ-200E</w:t>
                  </w:r>
                </w:p>
              </w:tc>
            </w:tr>
            <w:tr w14:paraId="4B8C9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noWrap w:val="0"/>
                  <w:vAlign w:val="center"/>
                </w:tcPr>
                <w:p w14:paraId="0B7AE915">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9</w:t>
                  </w:r>
                </w:p>
              </w:tc>
              <w:tc>
                <w:tcPr>
                  <w:tcW w:w="647" w:type="pct"/>
                  <w:vMerge w:val="continue"/>
                  <w:noWrap w:val="0"/>
                  <w:vAlign w:val="center"/>
                </w:tcPr>
                <w:p w14:paraId="06818807">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noWrap w:val="0"/>
                  <w:vAlign w:val="center"/>
                </w:tcPr>
                <w:p w14:paraId="4AA61B3F">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筛分</w:t>
                  </w:r>
                </w:p>
              </w:tc>
              <w:tc>
                <w:tcPr>
                  <w:tcW w:w="1145" w:type="pct"/>
                  <w:noWrap w:val="0"/>
                  <w:vAlign w:val="center"/>
                </w:tcPr>
                <w:p w14:paraId="32E49BF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粗筛</w:t>
                  </w:r>
                </w:p>
              </w:tc>
              <w:tc>
                <w:tcPr>
                  <w:tcW w:w="1227" w:type="pct"/>
                  <w:noWrap w:val="0"/>
                  <w:vAlign w:val="center"/>
                </w:tcPr>
                <w:p w14:paraId="1808A6A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2B0BFAF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φ2.4×8m</w:t>
                  </w:r>
                </w:p>
              </w:tc>
            </w:tr>
            <w:tr w14:paraId="38C19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noWrap w:val="0"/>
                  <w:vAlign w:val="center"/>
                </w:tcPr>
                <w:p w14:paraId="0810D2C5">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10</w:t>
                  </w:r>
                </w:p>
              </w:tc>
              <w:tc>
                <w:tcPr>
                  <w:tcW w:w="647" w:type="pct"/>
                  <w:vMerge w:val="continue"/>
                  <w:noWrap w:val="0"/>
                  <w:vAlign w:val="center"/>
                </w:tcPr>
                <w:p w14:paraId="35C46D8A">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noWrap w:val="0"/>
                  <w:vAlign w:val="center"/>
                </w:tcPr>
                <w:p w14:paraId="404BD090">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整形</w:t>
                  </w:r>
                </w:p>
              </w:tc>
              <w:tc>
                <w:tcPr>
                  <w:tcW w:w="1145" w:type="pct"/>
                  <w:noWrap w:val="0"/>
                  <w:vAlign w:val="center"/>
                </w:tcPr>
                <w:p w14:paraId="026075F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整形机</w:t>
                  </w:r>
                </w:p>
              </w:tc>
              <w:tc>
                <w:tcPr>
                  <w:tcW w:w="1227" w:type="pct"/>
                  <w:noWrap w:val="0"/>
                  <w:vAlign w:val="center"/>
                </w:tcPr>
                <w:p w14:paraId="4FE00D4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1FE7C2B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ZXJ-500</w:t>
                  </w:r>
                </w:p>
              </w:tc>
            </w:tr>
            <w:tr w14:paraId="31A9C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noWrap w:val="0"/>
                  <w:vAlign w:val="center"/>
                </w:tcPr>
                <w:p w14:paraId="7E761CDD">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11</w:t>
                  </w:r>
                </w:p>
              </w:tc>
              <w:tc>
                <w:tcPr>
                  <w:tcW w:w="647" w:type="pct"/>
                  <w:vMerge w:val="continue"/>
                  <w:noWrap w:val="0"/>
                  <w:vAlign w:val="center"/>
                </w:tcPr>
                <w:p w14:paraId="3384396D">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restart"/>
                  <w:noWrap w:val="0"/>
                  <w:vAlign w:val="center"/>
                </w:tcPr>
                <w:p w14:paraId="4485B19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ascii="Times New Roman" w:hAnsi="Times New Roman" w:eastAsia="宋体" w:cs="Times New Roman"/>
                      <w:i w:val="0"/>
                      <w:iCs w:val="0"/>
                      <w:color w:val="000000"/>
                      <w:kern w:val="0"/>
                      <w:sz w:val="18"/>
                      <w:szCs w:val="18"/>
                      <w:highlight w:val="none"/>
                      <w:u w:val="none"/>
                      <w:lang w:val="en-US" w:eastAsia="zh-CN" w:bidi="ar"/>
                    </w:rPr>
                    <w:t>烘干</w:t>
                  </w:r>
                </w:p>
              </w:tc>
              <w:tc>
                <w:tcPr>
                  <w:tcW w:w="1145" w:type="pct"/>
                  <w:noWrap w:val="0"/>
                  <w:vAlign w:val="center"/>
                </w:tcPr>
                <w:p w14:paraId="129EEF9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热风机</w:t>
                  </w:r>
                </w:p>
              </w:tc>
              <w:tc>
                <w:tcPr>
                  <w:tcW w:w="1227" w:type="pct"/>
                  <w:noWrap w:val="0"/>
                  <w:vAlign w:val="center"/>
                </w:tcPr>
                <w:p w14:paraId="1F997D9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5E3907D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4-72-12C</w:t>
                  </w:r>
                </w:p>
              </w:tc>
            </w:tr>
            <w:tr w14:paraId="484A5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noWrap w:val="0"/>
                  <w:vAlign w:val="center"/>
                </w:tcPr>
                <w:p w14:paraId="158AC23F">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12</w:t>
                  </w:r>
                </w:p>
              </w:tc>
              <w:tc>
                <w:tcPr>
                  <w:tcW w:w="647" w:type="pct"/>
                  <w:vMerge w:val="continue"/>
                  <w:noWrap w:val="0"/>
                  <w:vAlign w:val="center"/>
                </w:tcPr>
                <w:p w14:paraId="2098026F">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09229B0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p>
              </w:tc>
              <w:tc>
                <w:tcPr>
                  <w:tcW w:w="1145" w:type="pct"/>
                  <w:noWrap w:val="0"/>
                  <w:vAlign w:val="center"/>
                </w:tcPr>
                <w:p w14:paraId="20245B0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天然气燃烧器</w:t>
                  </w:r>
                  <w:r>
                    <w:rPr>
                      <w:rFonts w:hint="eastAsia" w:ascii="Times New Roman" w:hAnsi="Times New Roman" w:eastAsia="宋体" w:cs="Times New Roman"/>
                      <w:i w:val="0"/>
                      <w:iCs w:val="0"/>
                      <w:color w:val="000000"/>
                      <w:kern w:val="0"/>
                      <w:sz w:val="18"/>
                      <w:szCs w:val="18"/>
                      <w:highlight w:val="none"/>
                      <w:u w:val="none"/>
                      <w:lang w:val="en-US" w:eastAsia="zh-CN" w:bidi="ar"/>
                    </w:rPr>
                    <w:t>（配备低氮燃烧机）</w:t>
                  </w:r>
                </w:p>
              </w:tc>
              <w:tc>
                <w:tcPr>
                  <w:tcW w:w="1227" w:type="pct"/>
                  <w:noWrap w:val="0"/>
                  <w:vAlign w:val="center"/>
                </w:tcPr>
                <w:p w14:paraId="597461A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6430E72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BQL250</w:t>
                  </w:r>
                </w:p>
              </w:tc>
            </w:tr>
            <w:tr w14:paraId="1B803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noWrap w:val="0"/>
                  <w:vAlign w:val="center"/>
                </w:tcPr>
                <w:p w14:paraId="4DAA857D">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13</w:t>
                  </w:r>
                </w:p>
              </w:tc>
              <w:tc>
                <w:tcPr>
                  <w:tcW w:w="647" w:type="pct"/>
                  <w:vMerge w:val="continue"/>
                  <w:noWrap w:val="0"/>
                  <w:vAlign w:val="center"/>
                </w:tcPr>
                <w:p w14:paraId="6D361F53">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7C062CBE">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4860693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烘干机</w:t>
                  </w:r>
                </w:p>
              </w:tc>
              <w:tc>
                <w:tcPr>
                  <w:tcW w:w="1227" w:type="pct"/>
                  <w:noWrap w:val="0"/>
                  <w:vAlign w:val="center"/>
                </w:tcPr>
                <w:p w14:paraId="11A9CA5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36EB69E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φ2.2×22m</w:t>
                  </w:r>
                </w:p>
              </w:tc>
            </w:tr>
            <w:tr w14:paraId="425D4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noWrap w:val="0"/>
                  <w:vAlign w:val="center"/>
                </w:tcPr>
                <w:p w14:paraId="2DB78F88">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14</w:t>
                  </w:r>
                </w:p>
              </w:tc>
              <w:tc>
                <w:tcPr>
                  <w:tcW w:w="647" w:type="pct"/>
                  <w:vMerge w:val="continue"/>
                  <w:noWrap w:val="0"/>
                  <w:vAlign w:val="center"/>
                </w:tcPr>
                <w:p w14:paraId="3C9A83CD">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noWrap w:val="0"/>
                  <w:vAlign w:val="center"/>
                </w:tcPr>
                <w:p w14:paraId="250109B9">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冷却</w:t>
                  </w:r>
                </w:p>
              </w:tc>
              <w:tc>
                <w:tcPr>
                  <w:tcW w:w="1145" w:type="pct"/>
                  <w:noWrap w:val="0"/>
                  <w:vAlign w:val="center"/>
                </w:tcPr>
                <w:p w14:paraId="6E5D2A8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冷却机</w:t>
                  </w:r>
                </w:p>
              </w:tc>
              <w:tc>
                <w:tcPr>
                  <w:tcW w:w="1227" w:type="pct"/>
                  <w:noWrap w:val="0"/>
                  <w:vAlign w:val="center"/>
                </w:tcPr>
                <w:p w14:paraId="2179021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304E80E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φ2.2×20m</w:t>
                  </w:r>
                </w:p>
              </w:tc>
            </w:tr>
            <w:tr w14:paraId="1C394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noWrap w:val="0"/>
                  <w:vAlign w:val="center"/>
                </w:tcPr>
                <w:p w14:paraId="6946C340">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15</w:t>
                  </w:r>
                </w:p>
              </w:tc>
              <w:tc>
                <w:tcPr>
                  <w:tcW w:w="647" w:type="pct"/>
                  <w:vMerge w:val="continue"/>
                  <w:noWrap w:val="0"/>
                  <w:vAlign w:val="center"/>
                </w:tcPr>
                <w:p w14:paraId="50538A43">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noWrap w:val="0"/>
                  <w:vAlign w:val="center"/>
                </w:tcPr>
                <w:p w14:paraId="079F0F95">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筛分</w:t>
                  </w:r>
                </w:p>
              </w:tc>
              <w:tc>
                <w:tcPr>
                  <w:tcW w:w="1145" w:type="pct"/>
                  <w:noWrap w:val="0"/>
                  <w:vAlign w:val="center"/>
                </w:tcPr>
                <w:p w14:paraId="73E2A5C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精筛</w:t>
                  </w:r>
                </w:p>
              </w:tc>
              <w:tc>
                <w:tcPr>
                  <w:tcW w:w="1227" w:type="pct"/>
                  <w:noWrap w:val="0"/>
                  <w:vAlign w:val="center"/>
                </w:tcPr>
                <w:p w14:paraId="497A1B5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273C175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φ2.4×8m</w:t>
                  </w:r>
                </w:p>
              </w:tc>
            </w:tr>
            <w:tr w14:paraId="2AC46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54C490F7">
                  <w:pPr>
                    <w:pStyle w:val="43"/>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16</w:t>
                  </w:r>
                </w:p>
              </w:tc>
              <w:tc>
                <w:tcPr>
                  <w:tcW w:w="647" w:type="pct"/>
                  <w:vMerge w:val="continue"/>
                  <w:noWrap w:val="0"/>
                  <w:vAlign w:val="center"/>
                </w:tcPr>
                <w:p w14:paraId="095781C0">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noWrap w:val="0"/>
                  <w:vAlign w:val="center"/>
                </w:tcPr>
                <w:p w14:paraId="255A64E5">
                  <w:pPr>
                    <w:pStyle w:val="43"/>
                    <w:adjustRightInd w:val="0"/>
                    <w:snapToGrid w:val="0"/>
                    <w:jc w:val="center"/>
                    <w:rPr>
                      <w:rFonts w:hint="default" w:ascii="Times New Roman" w:hAnsi="Times New Roman"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混合</w:t>
                  </w:r>
                </w:p>
              </w:tc>
              <w:tc>
                <w:tcPr>
                  <w:tcW w:w="1145" w:type="pct"/>
                  <w:noWrap w:val="0"/>
                  <w:vAlign w:val="center"/>
                </w:tcPr>
                <w:p w14:paraId="5CDD579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混合机</w:t>
                  </w:r>
                </w:p>
              </w:tc>
              <w:tc>
                <w:tcPr>
                  <w:tcW w:w="1227" w:type="pct"/>
                  <w:noWrap w:val="0"/>
                  <w:vAlign w:val="center"/>
                </w:tcPr>
                <w:p w14:paraId="38F37CD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1</w:t>
                  </w:r>
                </w:p>
              </w:tc>
              <w:tc>
                <w:tcPr>
                  <w:tcW w:w="914" w:type="pct"/>
                  <w:noWrap w:val="0"/>
                  <w:vAlign w:val="center"/>
                </w:tcPr>
                <w:p w14:paraId="72B621C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w:t>
                  </w:r>
                </w:p>
              </w:tc>
            </w:tr>
            <w:tr w14:paraId="2B4FC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4A8539CC">
                  <w:pPr>
                    <w:pStyle w:val="43"/>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17</w:t>
                  </w:r>
                </w:p>
              </w:tc>
              <w:tc>
                <w:tcPr>
                  <w:tcW w:w="647" w:type="pct"/>
                  <w:vMerge w:val="restart"/>
                  <w:noWrap w:val="0"/>
                  <w:vAlign w:val="center"/>
                </w:tcPr>
                <w:p w14:paraId="0A5C9380">
                  <w:pPr>
                    <w:pStyle w:val="43"/>
                    <w:adjustRightInd w:val="0"/>
                    <w:snapToGrid w:val="0"/>
                    <w:jc w:val="center"/>
                    <w:rPr>
                      <w:rFonts w:hint="default" w:ascii="Times New Roman" w:hAnsi="Times New Roman"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产品包装</w:t>
                  </w:r>
                </w:p>
              </w:tc>
              <w:tc>
                <w:tcPr>
                  <w:tcW w:w="726" w:type="pct"/>
                  <w:noWrap w:val="0"/>
                  <w:vAlign w:val="center"/>
                </w:tcPr>
                <w:p w14:paraId="12187B93">
                  <w:pPr>
                    <w:pStyle w:val="43"/>
                    <w:adjustRightInd w:val="0"/>
                    <w:snapToGrid w:val="0"/>
                    <w:jc w:val="center"/>
                    <w:rPr>
                      <w:rFonts w:hint="default" w:ascii="Times New Roman" w:hAnsi="Times New Roman"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入仓</w:t>
                  </w:r>
                </w:p>
              </w:tc>
              <w:tc>
                <w:tcPr>
                  <w:tcW w:w="1145" w:type="pct"/>
                  <w:noWrap w:val="0"/>
                  <w:vAlign w:val="center"/>
                </w:tcPr>
                <w:p w14:paraId="51B7417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ascii="Times New Roman" w:hAnsi="Times New Roman" w:cs="Times New Roman"/>
                      <w:bCs/>
                      <w:color w:val="auto"/>
                      <w:sz w:val="18"/>
                      <w:szCs w:val="18"/>
                      <w:highlight w:val="none"/>
                      <w:lang w:val="en-US" w:eastAsia="zh-CN"/>
                    </w:rPr>
                    <w:t>料仓</w:t>
                  </w:r>
                </w:p>
              </w:tc>
              <w:tc>
                <w:tcPr>
                  <w:tcW w:w="1227" w:type="pct"/>
                  <w:noWrap w:val="0"/>
                  <w:vAlign w:val="center"/>
                </w:tcPr>
                <w:p w14:paraId="2AA682F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2</w:t>
                  </w:r>
                </w:p>
              </w:tc>
              <w:tc>
                <w:tcPr>
                  <w:tcW w:w="914" w:type="pct"/>
                  <w:noWrap w:val="0"/>
                  <w:vAlign w:val="center"/>
                </w:tcPr>
                <w:p w14:paraId="50A7C25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15t</w:t>
                  </w:r>
                </w:p>
              </w:tc>
            </w:tr>
            <w:tr w14:paraId="3A440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31B33C91">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18</w:t>
                  </w:r>
                </w:p>
              </w:tc>
              <w:tc>
                <w:tcPr>
                  <w:tcW w:w="647" w:type="pct"/>
                  <w:vMerge w:val="continue"/>
                  <w:noWrap w:val="0"/>
                  <w:vAlign w:val="center"/>
                </w:tcPr>
                <w:p w14:paraId="0BD7CD79">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noWrap w:val="0"/>
                  <w:vAlign w:val="center"/>
                </w:tcPr>
                <w:p w14:paraId="0EEFA982">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包膜</w:t>
                  </w:r>
                </w:p>
              </w:tc>
              <w:tc>
                <w:tcPr>
                  <w:tcW w:w="1145" w:type="pct"/>
                  <w:noWrap w:val="0"/>
                  <w:vAlign w:val="center"/>
                </w:tcPr>
                <w:p w14:paraId="07DA71B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包膜机</w:t>
                  </w:r>
                </w:p>
              </w:tc>
              <w:tc>
                <w:tcPr>
                  <w:tcW w:w="1227" w:type="pct"/>
                  <w:noWrap w:val="0"/>
                  <w:vAlign w:val="center"/>
                </w:tcPr>
                <w:p w14:paraId="059FE72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5069E98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φ2.0×7+2m</w:t>
                  </w:r>
                </w:p>
              </w:tc>
            </w:tr>
            <w:tr w14:paraId="5681A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1D570E22">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19</w:t>
                  </w:r>
                </w:p>
              </w:tc>
              <w:tc>
                <w:tcPr>
                  <w:tcW w:w="647" w:type="pct"/>
                  <w:vMerge w:val="continue"/>
                  <w:noWrap w:val="0"/>
                  <w:vAlign w:val="center"/>
                </w:tcPr>
                <w:p w14:paraId="5B414FFF">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noWrap w:val="0"/>
                  <w:vAlign w:val="center"/>
                </w:tcPr>
                <w:p w14:paraId="609218D7">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包装</w:t>
                  </w:r>
                </w:p>
              </w:tc>
              <w:tc>
                <w:tcPr>
                  <w:tcW w:w="1145" w:type="pct"/>
                  <w:noWrap w:val="0"/>
                  <w:vAlign w:val="center"/>
                </w:tcPr>
                <w:p w14:paraId="2A82233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包装机</w:t>
                  </w:r>
                </w:p>
              </w:tc>
              <w:tc>
                <w:tcPr>
                  <w:tcW w:w="1227" w:type="pct"/>
                  <w:noWrap w:val="0"/>
                  <w:vAlign w:val="center"/>
                </w:tcPr>
                <w:p w14:paraId="5876B8D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72BC221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LCS-50D</w:t>
                  </w:r>
                </w:p>
              </w:tc>
            </w:tr>
            <w:tr w14:paraId="7ACFD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673208D0">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20</w:t>
                  </w:r>
                </w:p>
              </w:tc>
              <w:tc>
                <w:tcPr>
                  <w:tcW w:w="647" w:type="pct"/>
                  <w:vMerge w:val="continue"/>
                  <w:noWrap w:val="0"/>
                  <w:vAlign w:val="center"/>
                </w:tcPr>
                <w:p w14:paraId="7197DF8A">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noWrap w:val="0"/>
                  <w:vAlign w:val="center"/>
                </w:tcPr>
                <w:p w14:paraId="41261003">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包装</w:t>
                  </w:r>
                </w:p>
              </w:tc>
              <w:tc>
                <w:tcPr>
                  <w:tcW w:w="1145" w:type="pct"/>
                  <w:noWrap w:val="0"/>
                  <w:vAlign w:val="center"/>
                </w:tcPr>
                <w:p w14:paraId="53533B4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包装机</w:t>
                  </w:r>
                </w:p>
              </w:tc>
              <w:tc>
                <w:tcPr>
                  <w:tcW w:w="1227" w:type="pct"/>
                  <w:noWrap w:val="0"/>
                  <w:vAlign w:val="center"/>
                </w:tcPr>
                <w:p w14:paraId="1D816C9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4D480DC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LCS-1000</w:t>
                  </w:r>
                </w:p>
              </w:tc>
            </w:tr>
            <w:tr w14:paraId="6A2B1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6CF8EC72">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21</w:t>
                  </w:r>
                </w:p>
              </w:tc>
              <w:tc>
                <w:tcPr>
                  <w:tcW w:w="647" w:type="pct"/>
                  <w:vMerge w:val="continue"/>
                  <w:noWrap w:val="0"/>
                  <w:vAlign w:val="center"/>
                </w:tcPr>
                <w:p w14:paraId="68CF1696">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noWrap w:val="0"/>
                  <w:vAlign w:val="center"/>
                </w:tcPr>
                <w:p w14:paraId="72747034">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称重</w:t>
                  </w:r>
                </w:p>
              </w:tc>
              <w:tc>
                <w:tcPr>
                  <w:tcW w:w="1145" w:type="pct"/>
                  <w:noWrap w:val="0"/>
                  <w:vAlign w:val="center"/>
                </w:tcPr>
                <w:p w14:paraId="6BF6356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地秤</w:t>
                  </w:r>
                </w:p>
              </w:tc>
              <w:tc>
                <w:tcPr>
                  <w:tcW w:w="1227" w:type="pct"/>
                  <w:noWrap w:val="0"/>
                  <w:vAlign w:val="center"/>
                </w:tcPr>
                <w:p w14:paraId="0FEB730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484F21F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w:t>
                  </w:r>
                </w:p>
              </w:tc>
            </w:tr>
            <w:tr w14:paraId="69D89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6C31C3D9">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22</w:t>
                  </w:r>
                </w:p>
              </w:tc>
              <w:tc>
                <w:tcPr>
                  <w:tcW w:w="647" w:type="pct"/>
                  <w:vMerge w:val="restart"/>
                  <w:noWrap w:val="0"/>
                  <w:vAlign w:val="center"/>
                </w:tcPr>
                <w:p w14:paraId="5516EF7F">
                  <w:pPr>
                    <w:pStyle w:val="43"/>
                    <w:adjustRightInd w:val="0"/>
                    <w:snapToGrid w:val="0"/>
                    <w:jc w:val="center"/>
                    <w:rPr>
                      <w:rFonts w:hint="default" w:ascii="Times New Roman" w:hAnsi="Times New Roman"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复混肥料加工辅助设施</w:t>
                  </w:r>
                </w:p>
              </w:tc>
              <w:tc>
                <w:tcPr>
                  <w:tcW w:w="726" w:type="pct"/>
                  <w:vMerge w:val="restart"/>
                  <w:noWrap w:val="0"/>
                  <w:vAlign w:val="center"/>
                </w:tcPr>
                <w:p w14:paraId="04EA9CD0">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辅助设施</w:t>
                  </w:r>
                </w:p>
              </w:tc>
              <w:tc>
                <w:tcPr>
                  <w:tcW w:w="1145" w:type="pct"/>
                  <w:noWrap w:val="0"/>
                  <w:vAlign w:val="center"/>
                </w:tcPr>
                <w:p w14:paraId="639967C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空压机</w:t>
                  </w:r>
                </w:p>
              </w:tc>
              <w:tc>
                <w:tcPr>
                  <w:tcW w:w="1227" w:type="pct"/>
                  <w:noWrap w:val="0"/>
                  <w:vAlign w:val="center"/>
                </w:tcPr>
                <w:p w14:paraId="6169A2A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05EE390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w:t>
                  </w:r>
                </w:p>
              </w:tc>
            </w:tr>
            <w:tr w14:paraId="62EE0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0E8F76D2">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23</w:t>
                  </w:r>
                </w:p>
              </w:tc>
              <w:tc>
                <w:tcPr>
                  <w:tcW w:w="647" w:type="pct"/>
                  <w:vMerge w:val="continue"/>
                  <w:noWrap w:val="0"/>
                  <w:vAlign w:val="center"/>
                </w:tcPr>
                <w:p w14:paraId="25970065">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6FBE1EED">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1D4281B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除尘管道及烟囱</w:t>
                  </w:r>
                </w:p>
              </w:tc>
              <w:tc>
                <w:tcPr>
                  <w:tcW w:w="1227" w:type="pct"/>
                  <w:noWrap w:val="0"/>
                  <w:vAlign w:val="center"/>
                </w:tcPr>
                <w:p w14:paraId="0BCFAF4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0FBFCEB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w:t>
                  </w:r>
                </w:p>
              </w:tc>
            </w:tr>
            <w:tr w14:paraId="5781A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41488D95">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24</w:t>
                  </w:r>
                </w:p>
              </w:tc>
              <w:tc>
                <w:tcPr>
                  <w:tcW w:w="647" w:type="pct"/>
                  <w:vMerge w:val="continue"/>
                  <w:noWrap w:val="0"/>
                  <w:vAlign w:val="center"/>
                </w:tcPr>
                <w:p w14:paraId="7CFCA79E">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4AD78721">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444AF15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原料汇总皮带</w:t>
                  </w:r>
                </w:p>
              </w:tc>
              <w:tc>
                <w:tcPr>
                  <w:tcW w:w="1227" w:type="pct"/>
                  <w:noWrap w:val="0"/>
                  <w:vAlign w:val="center"/>
                </w:tcPr>
                <w:p w14:paraId="3D40A90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1B8D17C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B1000</w:t>
                  </w:r>
                </w:p>
              </w:tc>
            </w:tr>
            <w:tr w14:paraId="2E5ED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64FC4893">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25</w:t>
                  </w:r>
                </w:p>
              </w:tc>
              <w:tc>
                <w:tcPr>
                  <w:tcW w:w="647" w:type="pct"/>
                  <w:vMerge w:val="continue"/>
                  <w:noWrap w:val="0"/>
                  <w:vAlign w:val="center"/>
                </w:tcPr>
                <w:p w14:paraId="58B60750">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5EC230C5">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6E51E84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造粒汇总皮带</w:t>
                  </w:r>
                </w:p>
              </w:tc>
              <w:tc>
                <w:tcPr>
                  <w:tcW w:w="1227" w:type="pct"/>
                  <w:noWrap w:val="0"/>
                  <w:vAlign w:val="center"/>
                </w:tcPr>
                <w:p w14:paraId="201C14C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07625C7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B1000</w:t>
                  </w:r>
                </w:p>
              </w:tc>
            </w:tr>
            <w:tr w14:paraId="29576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300D4817">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26</w:t>
                  </w:r>
                </w:p>
              </w:tc>
              <w:tc>
                <w:tcPr>
                  <w:tcW w:w="647" w:type="pct"/>
                  <w:vMerge w:val="continue"/>
                  <w:noWrap w:val="0"/>
                  <w:vAlign w:val="center"/>
                </w:tcPr>
                <w:p w14:paraId="56FAA365">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2941C543">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6859204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粗筛出料皮带</w:t>
                  </w:r>
                </w:p>
              </w:tc>
              <w:tc>
                <w:tcPr>
                  <w:tcW w:w="1227" w:type="pct"/>
                  <w:noWrap w:val="0"/>
                  <w:vAlign w:val="center"/>
                </w:tcPr>
                <w:p w14:paraId="0985BDA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66A1480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B1000</w:t>
                  </w:r>
                </w:p>
              </w:tc>
            </w:tr>
            <w:tr w14:paraId="540E5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76322008">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27</w:t>
                  </w:r>
                </w:p>
              </w:tc>
              <w:tc>
                <w:tcPr>
                  <w:tcW w:w="647" w:type="pct"/>
                  <w:vMerge w:val="continue"/>
                  <w:noWrap w:val="0"/>
                  <w:vAlign w:val="center"/>
                </w:tcPr>
                <w:p w14:paraId="628EA770">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2412B1D8">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571F79E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进烘干机皮带</w:t>
                  </w:r>
                </w:p>
              </w:tc>
              <w:tc>
                <w:tcPr>
                  <w:tcW w:w="1227" w:type="pct"/>
                  <w:noWrap w:val="0"/>
                  <w:vAlign w:val="center"/>
                </w:tcPr>
                <w:p w14:paraId="4DAB10E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3AF0040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B1000</w:t>
                  </w:r>
                </w:p>
              </w:tc>
            </w:tr>
            <w:tr w14:paraId="0FDD3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2AE3ECFD">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28</w:t>
                  </w:r>
                </w:p>
              </w:tc>
              <w:tc>
                <w:tcPr>
                  <w:tcW w:w="647" w:type="pct"/>
                  <w:vMerge w:val="continue"/>
                  <w:noWrap w:val="0"/>
                  <w:vAlign w:val="center"/>
                </w:tcPr>
                <w:p w14:paraId="2CA9AE35">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32B4B272">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7B394E8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进包膜机皮带</w:t>
                  </w:r>
                </w:p>
              </w:tc>
              <w:tc>
                <w:tcPr>
                  <w:tcW w:w="1227" w:type="pct"/>
                  <w:noWrap w:val="0"/>
                  <w:vAlign w:val="center"/>
                </w:tcPr>
                <w:p w14:paraId="2A844A7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35615A2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B1000</w:t>
                  </w:r>
                </w:p>
              </w:tc>
            </w:tr>
            <w:tr w14:paraId="2409E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75C6AABC">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29</w:t>
                  </w:r>
                </w:p>
              </w:tc>
              <w:tc>
                <w:tcPr>
                  <w:tcW w:w="647" w:type="pct"/>
                  <w:vMerge w:val="continue"/>
                  <w:noWrap w:val="0"/>
                  <w:vAlign w:val="center"/>
                </w:tcPr>
                <w:p w14:paraId="49D03B78">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183F9EE0">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3AA4FAE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进包装机皮带</w:t>
                  </w:r>
                </w:p>
              </w:tc>
              <w:tc>
                <w:tcPr>
                  <w:tcW w:w="1227" w:type="pct"/>
                  <w:noWrap w:val="0"/>
                  <w:vAlign w:val="center"/>
                </w:tcPr>
                <w:p w14:paraId="7741773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48E8982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B1000</w:t>
                  </w:r>
                </w:p>
              </w:tc>
            </w:tr>
            <w:tr w14:paraId="69955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1F51E543">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30</w:t>
                  </w:r>
                </w:p>
              </w:tc>
              <w:tc>
                <w:tcPr>
                  <w:tcW w:w="647" w:type="pct"/>
                  <w:vMerge w:val="continue"/>
                  <w:noWrap w:val="0"/>
                  <w:vAlign w:val="center"/>
                </w:tcPr>
                <w:p w14:paraId="0BDB3DEE">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21F478B9">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74E818A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进混合机刮板机</w:t>
                  </w:r>
                </w:p>
              </w:tc>
              <w:tc>
                <w:tcPr>
                  <w:tcW w:w="1227" w:type="pct"/>
                  <w:noWrap w:val="0"/>
                  <w:vAlign w:val="center"/>
                </w:tcPr>
                <w:p w14:paraId="2CFCEC3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3AFE02C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MS630</w:t>
                  </w:r>
                </w:p>
              </w:tc>
            </w:tr>
            <w:tr w14:paraId="64536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337F9E33">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31</w:t>
                  </w:r>
                </w:p>
              </w:tc>
              <w:tc>
                <w:tcPr>
                  <w:tcW w:w="647" w:type="pct"/>
                  <w:vMerge w:val="continue"/>
                  <w:noWrap w:val="0"/>
                  <w:vAlign w:val="center"/>
                </w:tcPr>
                <w:p w14:paraId="157F9039">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3E04B1BE">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13D26F5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分料刮板机</w:t>
                  </w:r>
                </w:p>
              </w:tc>
              <w:tc>
                <w:tcPr>
                  <w:tcW w:w="1227" w:type="pct"/>
                  <w:noWrap w:val="0"/>
                  <w:vAlign w:val="center"/>
                </w:tcPr>
                <w:p w14:paraId="550B1B4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035D5D0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MS630</w:t>
                  </w:r>
                </w:p>
              </w:tc>
            </w:tr>
            <w:tr w14:paraId="15DB5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26EA6C63">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32</w:t>
                  </w:r>
                </w:p>
              </w:tc>
              <w:tc>
                <w:tcPr>
                  <w:tcW w:w="647" w:type="pct"/>
                  <w:vMerge w:val="continue"/>
                  <w:noWrap w:val="0"/>
                  <w:vAlign w:val="center"/>
                </w:tcPr>
                <w:p w14:paraId="0EC4B56A">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3F250ED1">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4FA8EAC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除尘返料输送机</w:t>
                  </w:r>
                </w:p>
              </w:tc>
              <w:tc>
                <w:tcPr>
                  <w:tcW w:w="1227" w:type="pct"/>
                  <w:noWrap w:val="0"/>
                  <w:vAlign w:val="center"/>
                </w:tcPr>
                <w:p w14:paraId="1DBD8CB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1A2AD8A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B650</w:t>
                  </w:r>
                </w:p>
              </w:tc>
            </w:tr>
            <w:tr w14:paraId="745D4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blHeader/>
                <w:jc w:val="center"/>
              </w:trPr>
              <w:tc>
                <w:tcPr>
                  <w:tcW w:w="339" w:type="pct"/>
                  <w:shd w:val="clear" w:color="auto" w:fill="auto"/>
                  <w:noWrap w:val="0"/>
                  <w:vAlign w:val="center"/>
                </w:tcPr>
                <w:p w14:paraId="5DE0E9E0">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33</w:t>
                  </w:r>
                </w:p>
              </w:tc>
              <w:tc>
                <w:tcPr>
                  <w:tcW w:w="647" w:type="pct"/>
                  <w:vMerge w:val="continue"/>
                  <w:noWrap w:val="0"/>
                  <w:vAlign w:val="center"/>
                </w:tcPr>
                <w:p w14:paraId="3637A3CE">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2484868D">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0D573E9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精筛返料输送机</w:t>
                  </w:r>
                </w:p>
              </w:tc>
              <w:tc>
                <w:tcPr>
                  <w:tcW w:w="1227" w:type="pct"/>
                  <w:noWrap w:val="0"/>
                  <w:vAlign w:val="center"/>
                </w:tcPr>
                <w:p w14:paraId="661F763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0A9FA4A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B650</w:t>
                  </w:r>
                </w:p>
              </w:tc>
            </w:tr>
            <w:tr w14:paraId="337DD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748DAEC7">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34</w:t>
                  </w:r>
                </w:p>
              </w:tc>
              <w:tc>
                <w:tcPr>
                  <w:tcW w:w="647" w:type="pct"/>
                  <w:vMerge w:val="continue"/>
                  <w:noWrap w:val="0"/>
                  <w:vAlign w:val="center"/>
                </w:tcPr>
                <w:p w14:paraId="73DC7AE9">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06DE5185">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2FE28FA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精、粗筛返料输送机</w:t>
                  </w:r>
                </w:p>
              </w:tc>
              <w:tc>
                <w:tcPr>
                  <w:tcW w:w="1227" w:type="pct"/>
                  <w:noWrap w:val="0"/>
                  <w:vAlign w:val="center"/>
                </w:tcPr>
                <w:p w14:paraId="477DD7E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081B271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B650</w:t>
                  </w:r>
                </w:p>
              </w:tc>
            </w:tr>
            <w:tr w14:paraId="3DDCC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788DBC54">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35</w:t>
                  </w:r>
                </w:p>
              </w:tc>
              <w:tc>
                <w:tcPr>
                  <w:tcW w:w="647" w:type="pct"/>
                  <w:vMerge w:val="continue"/>
                  <w:noWrap w:val="0"/>
                  <w:vAlign w:val="center"/>
                </w:tcPr>
                <w:p w14:paraId="15C1799E">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0649B1CC">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41DABBE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粗筛返料输送机</w:t>
                  </w:r>
                </w:p>
              </w:tc>
              <w:tc>
                <w:tcPr>
                  <w:tcW w:w="1227" w:type="pct"/>
                  <w:noWrap w:val="0"/>
                  <w:vAlign w:val="center"/>
                </w:tcPr>
                <w:p w14:paraId="0ACBA9F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31E8EA1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B800</w:t>
                  </w:r>
                </w:p>
              </w:tc>
            </w:tr>
            <w:tr w14:paraId="4716B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565BC950">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36</w:t>
                  </w:r>
                </w:p>
              </w:tc>
              <w:tc>
                <w:tcPr>
                  <w:tcW w:w="647" w:type="pct"/>
                  <w:vMerge w:val="continue"/>
                  <w:noWrap w:val="0"/>
                  <w:vAlign w:val="center"/>
                </w:tcPr>
                <w:p w14:paraId="561BA988">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29814A15">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0BB0659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汇总返料输送机</w:t>
                  </w:r>
                </w:p>
              </w:tc>
              <w:tc>
                <w:tcPr>
                  <w:tcW w:w="1227" w:type="pct"/>
                  <w:noWrap w:val="0"/>
                  <w:vAlign w:val="center"/>
                </w:tcPr>
                <w:p w14:paraId="6E34B24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46D7B47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B800</w:t>
                  </w:r>
                </w:p>
              </w:tc>
            </w:tr>
            <w:tr w14:paraId="60E74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20CAF5E1">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37</w:t>
                  </w:r>
                </w:p>
              </w:tc>
              <w:tc>
                <w:tcPr>
                  <w:tcW w:w="647" w:type="pct"/>
                  <w:vMerge w:val="continue"/>
                  <w:noWrap w:val="0"/>
                  <w:vAlign w:val="center"/>
                </w:tcPr>
                <w:p w14:paraId="067FBF81">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49373020">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191EE50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原料提升机</w:t>
                  </w:r>
                </w:p>
              </w:tc>
              <w:tc>
                <w:tcPr>
                  <w:tcW w:w="1227" w:type="pct"/>
                  <w:noWrap w:val="0"/>
                  <w:vAlign w:val="center"/>
                </w:tcPr>
                <w:p w14:paraId="11834E9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787C1A0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TH630</w:t>
                  </w:r>
                </w:p>
              </w:tc>
            </w:tr>
            <w:tr w14:paraId="1C3E5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67958BA4">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38</w:t>
                  </w:r>
                </w:p>
              </w:tc>
              <w:tc>
                <w:tcPr>
                  <w:tcW w:w="647" w:type="pct"/>
                  <w:vMerge w:val="continue"/>
                  <w:noWrap w:val="0"/>
                  <w:vAlign w:val="center"/>
                </w:tcPr>
                <w:p w14:paraId="1FA394BC">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3FE12E19">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4E9E193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造粒提升机</w:t>
                  </w:r>
                </w:p>
              </w:tc>
              <w:tc>
                <w:tcPr>
                  <w:tcW w:w="1227" w:type="pct"/>
                  <w:noWrap w:val="0"/>
                  <w:vAlign w:val="center"/>
                </w:tcPr>
                <w:p w14:paraId="047CD3C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5A09CB9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TH630</w:t>
                  </w:r>
                </w:p>
              </w:tc>
            </w:tr>
            <w:tr w14:paraId="200D3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20109C18">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39</w:t>
                  </w:r>
                </w:p>
              </w:tc>
              <w:tc>
                <w:tcPr>
                  <w:tcW w:w="647" w:type="pct"/>
                  <w:vMerge w:val="continue"/>
                  <w:noWrap w:val="0"/>
                  <w:vAlign w:val="center"/>
                </w:tcPr>
                <w:p w14:paraId="4F5BC4AB">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34E56723">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0294660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粗筛提升机</w:t>
                  </w:r>
                </w:p>
              </w:tc>
              <w:tc>
                <w:tcPr>
                  <w:tcW w:w="1227" w:type="pct"/>
                  <w:noWrap w:val="0"/>
                  <w:vAlign w:val="center"/>
                </w:tcPr>
                <w:p w14:paraId="2BFA3A9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729C039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TH630</w:t>
                  </w:r>
                </w:p>
              </w:tc>
            </w:tr>
            <w:tr w14:paraId="175F6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43FE88DD">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40</w:t>
                  </w:r>
                </w:p>
              </w:tc>
              <w:tc>
                <w:tcPr>
                  <w:tcW w:w="647" w:type="pct"/>
                  <w:vMerge w:val="continue"/>
                  <w:noWrap w:val="0"/>
                  <w:vAlign w:val="center"/>
                </w:tcPr>
                <w:p w14:paraId="1F084A18">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3087E1CD">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040F763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冷却提升机</w:t>
                  </w:r>
                </w:p>
              </w:tc>
              <w:tc>
                <w:tcPr>
                  <w:tcW w:w="1227" w:type="pct"/>
                  <w:noWrap w:val="0"/>
                  <w:vAlign w:val="center"/>
                </w:tcPr>
                <w:p w14:paraId="79F1543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45BDE69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TH500</w:t>
                  </w:r>
                </w:p>
              </w:tc>
            </w:tr>
            <w:tr w14:paraId="5A08A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1918A773">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41</w:t>
                  </w:r>
                </w:p>
              </w:tc>
              <w:tc>
                <w:tcPr>
                  <w:tcW w:w="647" w:type="pct"/>
                  <w:vMerge w:val="continue"/>
                  <w:noWrap w:val="0"/>
                  <w:vAlign w:val="center"/>
                </w:tcPr>
                <w:p w14:paraId="088A7F7E">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42202002">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7918C23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精筛提升机</w:t>
                  </w:r>
                </w:p>
              </w:tc>
              <w:tc>
                <w:tcPr>
                  <w:tcW w:w="1227" w:type="pct"/>
                  <w:noWrap w:val="0"/>
                  <w:vAlign w:val="center"/>
                </w:tcPr>
                <w:p w14:paraId="50C1E40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48E18FB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TH500</w:t>
                  </w:r>
                </w:p>
              </w:tc>
            </w:tr>
            <w:tr w14:paraId="2F815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23833D61">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42</w:t>
                  </w:r>
                </w:p>
              </w:tc>
              <w:tc>
                <w:tcPr>
                  <w:tcW w:w="647" w:type="pct"/>
                  <w:vMerge w:val="restart"/>
                  <w:noWrap w:val="0"/>
                  <w:vAlign w:val="center"/>
                </w:tcPr>
                <w:p w14:paraId="2A9EAA7B">
                  <w:pPr>
                    <w:pStyle w:val="43"/>
                    <w:adjustRightInd w:val="0"/>
                    <w:snapToGrid w:val="0"/>
                    <w:jc w:val="center"/>
                    <w:rPr>
                      <w:rFonts w:hint="default" w:ascii="Times New Roman" w:hAnsi="Times New Roman"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废气治理</w:t>
                  </w:r>
                </w:p>
              </w:tc>
              <w:tc>
                <w:tcPr>
                  <w:tcW w:w="726" w:type="pct"/>
                  <w:vMerge w:val="restart"/>
                  <w:noWrap w:val="0"/>
                  <w:vAlign w:val="center"/>
                </w:tcPr>
                <w:p w14:paraId="3351CEEB">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废气治理</w:t>
                  </w:r>
                </w:p>
              </w:tc>
              <w:tc>
                <w:tcPr>
                  <w:tcW w:w="1145" w:type="pct"/>
                  <w:noWrap w:val="0"/>
                  <w:vAlign w:val="center"/>
                </w:tcPr>
                <w:p w14:paraId="5C23449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布袋除尘器</w:t>
                  </w:r>
                </w:p>
              </w:tc>
              <w:tc>
                <w:tcPr>
                  <w:tcW w:w="1227" w:type="pct"/>
                  <w:noWrap w:val="0"/>
                  <w:vAlign w:val="center"/>
                </w:tcPr>
                <w:p w14:paraId="5541311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3ECC44D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LHDM96-6-3000</w:t>
                  </w:r>
                </w:p>
              </w:tc>
            </w:tr>
            <w:tr w14:paraId="3E3A1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0407A1C1">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43</w:t>
                  </w:r>
                </w:p>
              </w:tc>
              <w:tc>
                <w:tcPr>
                  <w:tcW w:w="647" w:type="pct"/>
                  <w:vMerge w:val="continue"/>
                  <w:noWrap w:val="0"/>
                  <w:vAlign w:val="center"/>
                </w:tcPr>
                <w:p w14:paraId="5FF56E2E">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6ED1B0CE">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4A60A71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布袋除尘器</w:t>
                  </w:r>
                </w:p>
              </w:tc>
              <w:tc>
                <w:tcPr>
                  <w:tcW w:w="1227" w:type="pct"/>
                  <w:noWrap w:val="0"/>
                  <w:vAlign w:val="center"/>
                </w:tcPr>
                <w:p w14:paraId="629D35B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27B5A0F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LHDM96-6-3000</w:t>
                  </w:r>
                </w:p>
              </w:tc>
            </w:tr>
            <w:tr w14:paraId="551EE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09D74375">
                  <w:pPr>
                    <w:pStyle w:val="43"/>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44</w:t>
                  </w:r>
                </w:p>
              </w:tc>
              <w:tc>
                <w:tcPr>
                  <w:tcW w:w="647" w:type="pct"/>
                  <w:vMerge w:val="continue"/>
                  <w:noWrap w:val="0"/>
                  <w:vAlign w:val="center"/>
                </w:tcPr>
                <w:p w14:paraId="7788022B">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107A4060">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3B60B60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eastAsia"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布袋除尘器</w:t>
                  </w:r>
                </w:p>
              </w:tc>
              <w:tc>
                <w:tcPr>
                  <w:tcW w:w="1227" w:type="pct"/>
                  <w:noWrap w:val="0"/>
                  <w:vAlign w:val="center"/>
                </w:tcPr>
                <w:p w14:paraId="68B0D03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395E9F8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LHDM96-7-3000</w:t>
                  </w:r>
                </w:p>
              </w:tc>
            </w:tr>
            <w:tr w14:paraId="39BB0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159096DD">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45</w:t>
                  </w:r>
                </w:p>
              </w:tc>
              <w:tc>
                <w:tcPr>
                  <w:tcW w:w="647" w:type="pct"/>
                  <w:vMerge w:val="continue"/>
                  <w:noWrap w:val="0"/>
                  <w:vAlign w:val="center"/>
                </w:tcPr>
                <w:p w14:paraId="5AEED4B3">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1C2E8FA0">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4F5E429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水喷淋塔</w:t>
                  </w:r>
                </w:p>
              </w:tc>
              <w:tc>
                <w:tcPr>
                  <w:tcW w:w="1227" w:type="pct"/>
                  <w:noWrap w:val="0"/>
                  <w:vAlign w:val="center"/>
                </w:tcPr>
                <w:p w14:paraId="040AF83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3C24983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DN</w:t>
                  </w:r>
                  <w:r>
                    <w:rPr>
                      <w:rFonts w:hint="default" w:ascii="Times New Roman" w:hAnsi="Times New Roman" w:eastAsia="宋体" w:cs="Times New Roman"/>
                      <w:i w:val="0"/>
                      <w:iCs w:val="0"/>
                      <w:color w:val="000000"/>
                      <w:kern w:val="0"/>
                      <w:sz w:val="18"/>
                      <w:szCs w:val="18"/>
                      <w:highlight w:val="none"/>
                      <w:u w:val="none"/>
                      <w:lang w:val="en-US" w:eastAsia="zh-CN" w:bidi="ar"/>
                    </w:rPr>
                    <w:t>3</w:t>
                  </w:r>
                  <w:r>
                    <w:rPr>
                      <w:rFonts w:hint="eastAsia" w:cs="Times New Roman"/>
                      <w:i w:val="0"/>
                      <w:iCs w:val="0"/>
                      <w:color w:val="000000"/>
                      <w:kern w:val="0"/>
                      <w:sz w:val="18"/>
                      <w:szCs w:val="18"/>
                      <w:highlight w:val="none"/>
                      <w:u w:val="none"/>
                      <w:lang w:val="en-US" w:eastAsia="zh-CN" w:bidi="ar"/>
                    </w:rPr>
                    <w:t>000*8000</w:t>
                  </w:r>
                </w:p>
              </w:tc>
            </w:tr>
            <w:tr w14:paraId="1CD4C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70D91F91">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46</w:t>
                  </w:r>
                </w:p>
              </w:tc>
              <w:tc>
                <w:tcPr>
                  <w:tcW w:w="647" w:type="pct"/>
                  <w:vMerge w:val="continue"/>
                  <w:noWrap w:val="0"/>
                  <w:vAlign w:val="center"/>
                </w:tcPr>
                <w:p w14:paraId="26060E45">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5FA7AAB4">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47DE110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引风机</w:t>
                  </w:r>
                </w:p>
              </w:tc>
              <w:tc>
                <w:tcPr>
                  <w:tcW w:w="1227" w:type="pct"/>
                  <w:noWrap w:val="0"/>
                  <w:vAlign w:val="center"/>
                </w:tcPr>
                <w:p w14:paraId="301224E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290A849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20000m</w:t>
                  </w:r>
                  <w:r>
                    <w:rPr>
                      <w:rFonts w:hint="eastAsia" w:cs="Times New Roman"/>
                      <w:i w:val="0"/>
                      <w:iCs w:val="0"/>
                      <w:color w:val="000000"/>
                      <w:kern w:val="0"/>
                      <w:sz w:val="18"/>
                      <w:szCs w:val="18"/>
                      <w:highlight w:val="none"/>
                      <w:u w:val="none"/>
                      <w:vertAlign w:val="superscript"/>
                      <w:lang w:val="en-US" w:eastAsia="zh-CN" w:bidi="ar"/>
                    </w:rPr>
                    <w:t>3</w:t>
                  </w:r>
                  <w:r>
                    <w:rPr>
                      <w:rFonts w:hint="eastAsia" w:cs="Times New Roman"/>
                      <w:i w:val="0"/>
                      <w:iCs w:val="0"/>
                      <w:color w:val="000000"/>
                      <w:kern w:val="0"/>
                      <w:sz w:val="18"/>
                      <w:szCs w:val="18"/>
                      <w:highlight w:val="none"/>
                      <w:u w:val="none"/>
                      <w:lang w:val="en-US" w:eastAsia="zh-CN" w:bidi="ar"/>
                    </w:rPr>
                    <w:t>/h</w:t>
                  </w:r>
                </w:p>
              </w:tc>
            </w:tr>
            <w:tr w14:paraId="4AFCE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shd w:val="clear" w:color="auto" w:fill="auto"/>
                  <w:noWrap w:val="0"/>
                  <w:vAlign w:val="center"/>
                </w:tcPr>
                <w:p w14:paraId="5102A3C1">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47</w:t>
                  </w:r>
                </w:p>
              </w:tc>
              <w:tc>
                <w:tcPr>
                  <w:tcW w:w="647" w:type="pct"/>
                  <w:vMerge w:val="continue"/>
                  <w:noWrap w:val="0"/>
                  <w:vAlign w:val="center"/>
                </w:tcPr>
                <w:p w14:paraId="5B5B267D">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3BA4ACC7">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563FDD0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烘干引风机</w:t>
                  </w:r>
                </w:p>
              </w:tc>
              <w:tc>
                <w:tcPr>
                  <w:tcW w:w="1227" w:type="pct"/>
                  <w:noWrap w:val="0"/>
                  <w:vAlign w:val="center"/>
                </w:tcPr>
                <w:p w14:paraId="64D7720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692A1F1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5-54-11D</w:t>
                  </w:r>
                  <w:r>
                    <w:rPr>
                      <w:rFonts w:hint="eastAsia" w:cs="Times New Roman"/>
                      <w:i w:val="0"/>
                      <w:iCs w:val="0"/>
                      <w:color w:val="000000"/>
                      <w:kern w:val="0"/>
                      <w:sz w:val="18"/>
                      <w:szCs w:val="18"/>
                      <w:highlight w:val="none"/>
                      <w:u w:val="none"/>
                      <w:lang w:val="en-US" w:eastAsia="zh-CN" w:bidi="ar"/>
                    </w:rPr>
                    <w:t>，10000m</w:t>
                  </w:r>
                  <w:r>
                    <w:rPr>
                      <w:rFonts w:hint="eastAsia" w:cs="Times New Roman"/>
                      <w:i w:val="0"/>
                      <w:iCs w:val="0"/>
                      <w:color w:val="000000"/>
                      <w:kern w:val="0"/>
                      <w:sz w:val="18"/>
                      <w:szCs w:val="18"/>
                      <w:highlight w:val="none"/>
                      <w:u w:val="none"/>
                      <w:vertAlign w:val="superscript"/>
                      <w:lang w:val="en-US" w:eastAsia="zh-CN" w:bidi="ar"/>
                    </w:rPr>
                    <w:t>3</w:t>
                  </w:r>
                  <w:r>
                    <w:rPr>
                      <w:rFonts w:hint="eastAsia" w:cs="Times New Roman"/>
                      <w:i w:val="0"/>
                      <w:iCs w:val="0"/>
                      <w:color w:val="000000"/>
                      <w:kern w:val="0"/>
                      <w:sz w:val="18"/>
                      <w:szCs w:val="18"/>
                      <w:highlight w:val="none"/>
                      <w:u w:val="none"/>
                      <w:lang w:val="en-US" w:eastAsia="zh-CN" w:bidi="ar"/>
                    </w:rPr>
                    <w:t>/h</w:t>
                  </w:r>
                </w:p>
              </w:tc>
            </w:tr>
            <w:tr w14:paraId="5131E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39" w:type="pct"/>
                  <w:noWrap w:val="0"/>
                  <w:vAlign w:val="center"/>
                </w:tcPr>
                <w:p w14:paraId="67BCE127">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48</w:t>
                  </w:r>
                </w:p>
              </w:tc>
              <w:tc>
                <w:tcPr>
                  <w:tcW w:w="647" w:type="pct"/>
                  <w:vMerge w:val="continue"/>
                  <w:noWrap w:val="0"/>
                  <w:vAlign w:val="center"/>
                </w:tcPr>
                <w:p w14:paraId="4746BAC1">
                  <w:pPr>
                    <w:pStyle w:val="43"/>
                    <w:adjustRightInd w:val="0"/>
                    <w:snapToGrid w:val="0"/>
                    <w:jc w:val="center"/>
                    <w:rPr>
                      <w:rFonts w:hint="default" w:ascii="Times New Roman" w:hAnsi="Times New Roman" w:cs="Times New Roman"/>
                      <w:bCs/>
                      <w:color w:val="auto"/>
                      <w:sz w:val="18"/>
                      <w:szCs w:val="18"/>
                      <w:highlight w:val="none"/>
                      <w:lang w:val="en-US" w:eastAsia="zh-CN"/>
                    </w:rPr>
                  </w:pPr>
                </w:p>
              </w:tc>
              <w:tc>
                <w:tcPr>
                  <w:tcW w:w="726" w:type="pct"/>
                  <w:vMerge w:val="continue"/>
                  <w:noWrap w:val="0"/>
                  <w:vAlign w:val="center"/>
                </w:tcPr>
                <w:p w14:paraId="1E179F7A">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p>
              </w:tc>
              <w:tc>
                <w:tcPr>
                  <w:tcW w:w="1145" w:type="pct"/>
                  <w:noWrap w:val="0"/>
                  <w:vAlign w:val="center"/>
                </w:tcPr>
                <w:p w14:paraId="19FE15E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冷却引风机</w:t>
                  </w:r>
                </w:p>
              </w:tc>
              <w:tc>
                <w:tcPr>
                  <w:tcW w:w="1227" w:type="pct"/>
                  <w:noWrap w:val="0"/>
                  <w:vAlign w:val="center"/>
                </w:tcPr>
                <w:p w14:paraId="78E5CDA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1</w:t>
                  </w:r>
                </w:p>
              </w:tc>
              <w:tc>
                <w:tcPr>
                  <w:tcW w:w="914" w:type="pct"/>
                  <w:noWrap w:val="0"/>
                  <w:vAlign w:val="center"/>
                </w:tcPr>
                <w:p w14:paraId="499E536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5-78-11.2D</w:t>
                  </w:r>
                  <w:r>
                    <w:rPr>
                      <w:rFonts w:hint="eastAsia" w:cs="Times New Roman"/>
                      <w:i w:val="0"/>
                      <w:iCs w:val="0"/>
                      <w:color w:val="000000"/>
                      <w:kern w:val="0"/>
                      <w:sz w:val="18"/>
                      <w:szCs w:val="18"/>
                      <w:highlight w:val="none"/>
                      <w:u w:val="none"/>
                      <w:lang w:val="en-US" w:eastAsia="zh-CN" w:bidi="ar"/>
                    </w:rPr>
                    <w:t>，20000m</w:t>
                  </w:r>
                  <w:r>
                    <w:rPr>
                      <w:rFonts w:hint="eastAsia" w:cs="Times New Roman"/>
                      <w:i w:val="0"/>
                      <w:iCs w:val="0"/>
                      <w:color w:val="000000"/>
                      <w:kern w:val="0"/>
                      <w:sz w:val="18"/>
                      <w:szCs w:val="18"/>
                      <w:highlight w:val="none"/>
                      <w:u w:val="none"/>
                      <w:vertAlign w:val="superscript"/>
                      <w:lang w:val="en-US" w:eastAsia="zh-CN" w:bidi="ar"/>
                    </w:rPr>
                    <w:t>3</w:t>
                  </w:r>
                  <w:r>
                    <w:rPr>
                      <w:rFonts w:hint="eastAsia" w:cs="Times New Roman"/>
                      <w:i w:val="0"/>
                      <w:iCs w:val="0"/>
                      <w:color w:val="000000"/>
                      <w:kern w:val="0"/>
                      <w:sz w:val="18"/>
                      <w:szCs w:val="18"/>
                      <w:highlight w:val="none"/>
                      <w:u w:val="none"/>
                      <w:lang w:val="en-US" w:eastAsia="zh-CN" w:bidi="ar"/>
                    </w:rPr>
                    <w:t>/h</w:t>
                  </w:r>
                </w:p>
              </w:tc>
            </w:tr>
          </w:tbl>
          <w:p w14:paraId="794EE8FF">
            <w:pPr>
              <w:adjustRightInd w:val="0"/>
              <w:snapToGrid w:val="0"/>
              <w:spacing w:line="360" w:lineRule="auto"/>
              <w:ind w:firstLine="361" w:firstLineChars="200"/>
              <w:rPr>
                <w:rFonts w:hint="default" w:ascii="Times New Roman" w:hAnsi="Times New Roman" w:cs="Times New Roman"/>
                <w:b/>
                <w:color w:val="auto"/>
                <w:kern w:val="0"/>
                <w:sz w:val="18"/>
                <w:szCs w:val="18"/>
                <w:highlight w:val="none"/>
              </w:rPr>
            </w:pPr>
            <w:r>
              <w:rPr>
                <w:rFonts w:hint="default" w:ascii="Times New Roman" w:hAnsi="Times New Roman" w:cs="Times New Roman"/>
                <w:b/>
                <w:color w:val="auto"/>
                <w:kern w:val="0"/>
                <w:sz w:val="18"/>
                <w:szCs w:val="18"/>
                <w:highlight w:val="none"/>
              </w:rPr>
              <w:t>注：</w:t>
            </w:r>
            <w:r>
              <w:rPr>
                <w:rFonts w:hint="default" w:ascii="Times New Roman" w:hAnsi="Times New Roman" w:cs="Times New Roman"/>
                <w:b/>
                <w:color w:val="auto"/>
                <w:sz w:val="18"/>
                <w:szCs w:val="18"/>
                <w:highlight w:val="none"/>
              </w:rPr>
              <w:t>以上设备均不属于</w:t>
            </w:r>
            <w:r>
              <w:rPr>
                <w:rFonts w:hint="default" w:ascii="Times New Roman" w:hAnsi="Times New Roman" w:cs="Times New Roman"/>
                <w:b/>
                <w:color w:val="auto"/>
                <w:kern w:val="0"/>
                <w:sz w:val="18"/>
                <w:szCs w:val="18"/>
                <w:highlight w:val="none"/>
              </w:rPr>
              <w:t>《</w:t>
            </w:r>
            <w:r>
              <w:rPr>
                <w:rFonts w:hint="eastAsia" w:cs="Times New Roman"/>
                <w:b/>
                <w:color w:val="auto"/>
                <w:kern w:val="0"/>
                <w:sz w:val="18"/>
                <w:szCs w:val="18"/>
                <w:highlight w:val="none"/>
                <w:lang w:eastAsia="zh-CN"/>
              </w:rPr>
              <w:t>产业结构调整指导目录（2024年本）</w:t>
            </w:r>
            <w:r>
              <w:rPr>
                <w:rFonts w:hint="default" w:ascii="Times New Roman" w:hAnsi="Times New Roman" w:cs="Times New Roman"/>
                <w:b/>
                <w:color w:val="auto"/>
                <w:kern w:val="0"/>
                <w:sz w:val="18"/>
                <w:szCs w:val="18"/>
                <w:highlight w:val="none"/>
              </w:rPr>
              <w:t>》中规定淘汰类、限制类设备。</w:t>
            </w:r>
          </w:p>
          <w:p w14:paraId="63BC35D9">
            <w:pPr>
              <w:tabs>
                <w:tab w:val="left" w:pos="1800"/>
              </w:tabs>
              <w:adjustRightInd w:val="0"/>
              <w:snapToGrid w:val="0"/>
              <w:spacing w:line="360" w:lineRule="auto"/>
              <w:ind w:firstLine="420" w:firstLineChars="200"/>
              <w:rPr>
                <w:rFonts w:hint="default" w:ascii="Times New Roman" w:hAnsi="Times New Roman" w:cs="Times New Roman"/>
                <w:color w:val="auto"/>
                <w:kern w:val="24"/>
                <w:highlight w:val="none"/>
              </w:rPr>
            </w:pPr>
            <w:r>
              <w:rPr>
                <w:rFonts w:hint="default" w:ascii="Times New Roman" w:hAnsi="Times New Roman" w:cs="Times New Roman"/>
                <w:color w:val="auto"/>
                <w:kern w:val="24"/>
                <w:highlight w:val="none"/>
              </w:rPr>
              <w:t>10、给排水</w:t>
            </w:r>
          </w:p>
          <w:p w14:paraId="554A4816">
            <w:pPr>
              <w:adjustRightInd w:val="0"/>
              <w:snapToGrid w:val="0"/>
              <w:spacing w:line="360" w:lineRule="auto"/>
              <w:ind w:firstLine="420" w:firstLineChars="20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给水</w:t>
            </w:r>
          </w:p>
          <w:p w14:paraId="48A5014B">
            <w:pPr>
              <w:adjustRightInd w:val="0"/>
              <w:snapToGrid w:val="0"/>
              <w:spacing w:line="360" w:lineRule="auto"/>
              <w:ind w:firstLine="412" w:firstLineChars="200"/>
              <w:rPr>
                <w:rFonts w:hint="default" w:ascii="Times New Roman" w:hAnsi="Times New Roman" w:cs="Times New Roman"/>
                <w:color w:val="auto"/>
                <w:spacing w:val="-2"/>
                <w:kern w:val="0"/>
                <w:highlight w:val="none"/>
              </w:rPr>
            </w:pPr>
            <w:r>
              <w:rPr>
                <w:rFonts w:hint="eastAsia" w:cs="Times New Roman"/>
                <w:color w:val="auto"/>
                <w:spacing w:val="-2"/>
                <w:kern w:val="0"/>
                <w:highlight w:val="none"/>
                <w:lang w:eastAsia="zh-CN"/>
              </w:rPr>
              <w:t>一期项目</w:t>
            </w:r>
            <w:r>
              <w:rPr>
                <w:rFonts w:hint="default" w:ascii="Times New Roman" w:hAnsi="Times New Roman" w:cs="Times New Roman"/>
                <w:color w:val="auto"/>
                <w:spacing w:val="-2"/>
                <w:kern w:val="0"/>
                <w:highlight w:val="none"/>
              </w:rPr>
              <w:t>用水为生活用水</w:t>
            </w:r>
            <w:r>
              <w:rPr>
                <w:rFonts w:hint="eastAsia" w:cs="Times New Roman"/>
                <w:color w:val="auto"/>
                <w:spacing w:val="-2"/>
                <w:kern w:val="0"/>
                <w:highlight w:val="none"/>
                <w:lang w:eastAsia="zh-CN"/>
              </w:rPr>
              <w:t>、</w:t>
            </w:r>
            <w:r>
              <w:rPr>
                <w:rFonts w:hint="eastAsia" w:cs="Times New Roman"/>
                <w:color w:val="auto"/>
                <w:spacing w:val="-2"/>
                <w:kern w:val="0"/>
                <w:highlight w:val="none"/>
                <w:lang w:val="en-US" w:eastAsia="zh-CN"/>
              </w:rPr>
              <w:t>水喷淋塔用水、车间</w:t>
            </w:r>
            <w:r>
              <w:rPr>
                <w:rFonts w:hint="default" w:ascii="Times New Roman" w:hAnsi="Times New Roman" w:cs="Times New Roman"/>
                <w:color w:val="auto"/>
                <w:spacing w:val="-2"/>
                <w:kern w:val="0"/>
                <w:highlight w:val="none"/>
                <w:lang w:val="en-US" w:eastAsia="zh-CN"/>
              </w:rPr>
              <w:t>地面</w:t>
            </w:r>
            <w:r>
              <w:rPr>
                <w:rFonts w:hint="eastAsia" w:cs="Times New Roman"/>
                <w:color w:val="auto"/>
                <w:spacing w:val="-2"/>
                <w:kern w:val="0"/>
                <w:highlight w:val="none"/>
                <w:lang w:val="en-US" w:eastAsia="zh-CN"/>
              </w:rPr>
              <w:t>洒水降尘用水、</w:t>
            </w:r>
            <w:r>
              <w:rPr>
                <w:rFonts w:hint="default" w:ascii="Times New Roman" w:hAnsi="Times New Roman" w:cs="Times New Roman"/>
                <w:color w:val="auto"/>
                <w:spacing w:val="-2"/>
                <w:kern w:val="0"/>
                <w:highlight w:val="none"/>
                <w:lang w:val="en-US" w:eastAsia="zh-CN"/>
              </w:rPr>
              <w:t>厂区道路洒水降尘用水</w:t>
            </w:r>
            <w:r>
              <w:rPr>
                <w:rFonts w:hint="eastAsia" w:cs="Times New Roman"/>
                <w:color w:val="auto"/>
                <w:spacing w:val="-2"/>
                <w:kern w:val="0"/>
                <w:highlight w:val="none"/>
                <w:lang w:val="en-US" w:eastAsia="zh-CN"/>
              </w:rPr>
              <w:t>、造粒用水</w:t>
            </w:r>
            <w:r>
              <w:rPr>
                <w:rFonts w:hint="default" w:ascii="Times New Roman" w:hAnsi="Times New Roman" w:cs="Times New Roman"/>
                <w:color w:val="auto"/>
                <w:highlight w:val="none"/>
              </w:rPr>
              <w:t>，</w:t>
            </w:r>
            <w:r>
              <w:rPr>
                <w:rFonts w:hint="default" w:ascii="Times New Roman" w:hAnsi="Times New Roman" w:cs="Times New Roman"/>
                <w:color w:val="auto"/>
                <w:spacing w:val="-2"/>
                <w:kern w:val="0"/>
                <w:highlight w:val="none"/>
              </w:rPr>
              <w:t>用水量为</w:t>
            </w:r>
            <w:r>
              <w:rPr>
                <w:rFonts w:hint="eastAsia" w:cs="Times New Roman"/>
                <w:color w:val="auto"/>
                <w:spacing w:val="-2"/>
                <w:kern w:val="0"/>
                <w:highlight w:val="none"/>
                <w:lang w:val="en-US" w:eastAsia="zh-CN"/>
              </w:rPr>
              <w:t>2832.223</w:t>
            </w:r>
            <w:r>
              <w:rPr>
                <w:rFonts w:hint="default" w:ascii="Times New Roman" w:hAnsi="Times New Roman" w:cs="Times New Roman"/>
                <w:color w:val="auto"/>
                <w:spacing w:val="-2"/>
                <w:kern w:val="0"/>
                <w:highlight w:val="none"/>
              </w:rPr>
              <w:t>m</w:t>
            </w:r>
            <w:r>
              <w:rPr>
                <w:rFonts w:hint="default" w:ascii="Times New Roman" w:hAnsi="Times New Roman" w:cs="Times New Roman"/>
                <w:color w:val="auto"/>
                <w:spacing w:val="-2"/>
                <w:kern w:val="0"/>
                <w:highlight w:val="none"/>
                <w:vertAlign w:val="superscript"/>
              </w:rPr>
              <w:t>3</w:t>
            </w:r>
            <w:r>
              <w:rPr>
                <w:rFonts w:hint="default" w:ascii="Times New Roman" w:hAnsi="Times New Roman" w:cs="Times New Roman"/>
                <w:color w:val="auto"/>
                <w:spacing w:val="-2"/>
                <w:kern w:val="0"/>
                <w:highlight w:val="none"/>
              </w:rPr>
              <w:t>/a，</w:t>
            </w:r>
            <w:r>
              <w:rPr>
                <w:rFonts w:hint="default" w:ascii="Times New Roman" w:hAnsi="Times New Roman" w:cs="Times New Roman"/>
                <w:color w:val="auto"/>
                <w:spacing w:val="-2"/>
                <w:kern w:val="0"/>
                <w:highlight w:val="none"/>
                <w:lang w:eastAsia="zh-CN"/>
              </w:rPr>
              <w:t>生活用水</w:t>
            </w:r>
            <w:r>
              <w:rPr>
                <w:rFonts w:hint="default" w:ascii="Times New Roman" w:hAnsi="Times New Roman" w:cs="Times New Roman"/>
                <w:color w:val="auto"/>
                <w:spacing w:val="-2"/>
                <w:kern w:val="0"/>
                <w:highlight w:val="none"/>
              </w:rPr>
              <w:t>由</w:t>
            </w:r>
            <w:r>
              <w:rPr>
                <w:rFonts w:hint="default" w:ascii="Times New Roman" w:hAnsi="Times New Roman" w:cs="Times New Roman"/>
                <w:color w:val="auto"/>
                <w:spacing w:val="-2"/>
                <w:kern w:val="0"/>
                <w:highlight w:val="none"/>
                <w:lang w:eastAsia="zh-CN"/>
              </w:rPr>
              <w:t>双杨</w:t>
            </w:r>
            <w:r>
              <w:rPr>
                <w:rFonts w:hint="default" w:ascii="Times New Roman" w:hAnsi="Times New Roman" w:cs="Times New Roman"/>
                <w:color w:val="auto"/>
                <w:spacing w:val="-2"/>
                <w:kern w:val="0"/>
                <w:highlight w:val="none"/>
              </w:rPr>
              <w:t>镇自来水管网供给。</w:t>
            </w:r>
          </w:p>
          <w:p w14:paraId="139F8E7C">
            <w:pPr>
              <w:adjustRightInd w:val="0"/>
              <w:snapToGrid w:val="0"/>
              <w:spacing w:line="360" w:lineRule="auto"/>
              <w:ind w:firstLine="42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①生活用水：</w:t>
            </w:r>
            <w:r>
              <w:rPr>
                <w:rFonts w:hint="eastAsia"/>
                <w:color w:val="auto"/>
                <w:highlight w:val="none"/>
              </w:rPr>
              <w:t>项目</w:t>
            </w:r>
            <w:r>
              <w:rPr>
                <w:bCs/>
                <w:color w:val="auto"/>
                <w:highlight w:val="none"/>
                <w:lang w:val="de-DE"/>
              </w:rPr>
              <w:t>职工定员</w:t>
            </w:r>
            <w:r>
              <w:rPr>
                <w:rFonts w:hint="eastAsia"/>
                <w:bCs/>
                <w:color w:val="auto"/>
                <w:highlight w:val="none"/>
                <w:lang w:val="en-US" w:eastAsia="zh-CN"/>
              </w:rPr>
              <w:t>4</w:t>
            </w:r>
            <w:r>
              <w:rPr>
                <w:rFonts w:hint="eastAsia"/>
                <w:bCs/>
                <w:color w:val="auto"/>
                <w:highlight w:val="none"/>
              </w:rPr>
              <w:t>0</w:t>
            </w:r>
            <w:r>
              <w:rPr>
                <w:bCs/>
                <w:color w:val="auto"/>
                <w:highlight w:val="none"/>
                <w:lang w:val="de-DE"/>
              </w:rPr>
              <w:t>人，</w:t>
            </w:r>
            <w:r>
              <w:rPr>
                <w:rFonts w:hint="eastAsia"/>
                <w:bCs/>
                <w:color w:val="auto"/>
                <w:highlight w:val="none"/>
                <w:lang w:val="en-US" w:eastAsia="zh-CN"/>
              </w:rPr>
              <w:t>其中8人住宿，</w:t>
            </w:r>
            <w:r>
              <w:rPr>
                <w:bCs/>
                <w:color w:val="auto"/>
                <w:highlight w:val="none"/>
                <w:lang w:val="de-DE"/>
              </w:rPr>
              <w:t>全年工作300天，根据《建筑给水排水设计标准》（GB50015-2019）中</w:t>
            </w:r>
            <w:r>
              <w:rPr>
                <w:rFonts w:hint="eastAsia"/>
                <w:bCs/>
                <w:color w:val="auto"/>
                <w:highlight w:val="none"/>
                <w:lang w:val="en-US" w:eastAsia="zh-CN"/>
              </w:rPr>
              <w:t>非住宿员工</w:t>
            </w:r>
            <w:r>
              <w:rPr>
                <w:bCs/>
                <w:color w:val="auto"/>
                <w:highlight w:val="none"/>
                <w:lang w:val="de-DE"/>
              </w:rPr>
              <w:t>生活用水量按照</w:t>
            </w:r>
            <w:r>
              <w:rPr>
                <w:bCs/>
                <w:color w:val="auto"/>
                <w:highlight w:val="none"/>
              </w:rPr>
              <w:t>4</w:t>
            </w:r>
            <w:r>
              <w:rPr>
                <w:bCs/>
                <w:color w:val="auto"/>
                <w:highlight w:val="none"/>
                <w:lang w:val="de-DE"/>
              </w:rPr>
              <w:t>0L/人·班计，</w:t>
            </w:r>
            <w:r>
              <w:rPr>
                <w:rFonts w:hint="eastAsia"/>
                <w:bCs/>
                <w:color w:val="auto"/>
                <w:highlight w:val="none"/>
                <w:lang w:val="en-US" w:eastAsia="zh-CN"/>
              </w:rPr>
              <w:t>住宿员工</w:t>
            </w:r>
            <w:r>
              <w:rPr>
                <w:bCs/>
                <w:color w:val="auto"/>
                <w:highlight w:val="none"/>
                <w:lang w:val="de-DE"/>
              </w:rPr>
              <w:t>生活用水量按照</w:t>
            </w:r>
            <w:r>
              <w:rPr>
                <w:rFonts w:hint="eastAsia"/>
                <w:bCs/>
                <w:color w:val="auto"/>
                <w:highlight w:val="none"/>
                <w:lang w:val="en-US" w:eastAsia="zh-CN"/>
              </w:rPr>
              <w:t>10</w:t>
            </w:r>
            <w:r>
              <w:rPr>
                <w:bCs/>
                <w:color w:val="auto"/>
                <w:highlight w:val="none"/>
                <w:lang w:val="de-DE"/>
              </w:rPr>
              <w:t>0L/人·班计</w:t>
            </w:r>
            <w:r>
              <w:rPr>
                <w:rFonts w:hint="eastAsia"/>
                <w:bCs/>
                <w:color w:val="auto"/>
                <w:highlight w:val="none"/>
                <w:lang w:val="de-DE" w:eastAsia="zh-CN"/>
              </w:rPr>
              <w:t>，</w:t>
            </w:r>
            <w:r>
              <w:rPr>
                <w:bCs/>
                <w:color w:val="auto"/>
                <w:highlight w:val="none"/>
                <w:lang w:val="de-DE"/>
              </w:rPr>
              <w:t>则生活用水量为</w:t>
            </w:r>
            <w:r>
              <w:rPr>
                <w:rFonts w:hint="eastAsia"/>
                <w:bCs/>
                <w:color w:val="auto"/>
                <w:highlight w:val="none"/>
                <w:lang w:val="en-US" w:eastAsia="zh-CN"/>
              </w:rPr>
              <w:t>624</w:t>
            </w:r>
            <w:r>
              <w:rPr>
                <w:bCs/>
                <w:color w:val="auto"/>
                <w:highlight w:val="none"/>
              </w:rPr>
              <w:t>m</w:t>
            </w:r>
            <w:r>
              <w:rPr>
                <w:bCs/>
                <w:color w:val="auto"/>
                <w:highlight w:val="none"/>
                <w:vertAlign w:val="superscript"/>
              </w:rPr>
              <w:t>3</w:t>
            </w:r>
            <w:r>
              <w:rPr>
                <w:bCs/>
                <w:color w:val="auto"/>
                <w:highlight w:val="none"/>
              </w:rPr>
              <w:t>/a</w:t>
            </w:r>
            <w:r>
              <w:rPr>
                <w:rFonts w:hint="eastAsia"/>
                <w:bCs/>
                <w:color w:val="auto"/>
                <w:highlight w:val="none"/>
                <w:lang w:eastAsia="zh-CN"/>
              </w:rPr>
              <w:t>，</w:t>
            </w:r>
            <w:r>
              <w:rPr>
                <w:rFonts w:hint="eastAsia"/>
                <w:bCs/>
                <w:color w:val="auto"/>
                <w:highlight w:val="none"/>
                <w:lang w:val="en-US" w:eastAsia="zh-CN"/>
              </w:rPr>
              <w:t>主要为新鲜水</w:t>
            </w:r>
            <w:r>
              <w:rPr>
                <w:rFonts w:hint="default" w:ascii="Times New Roman" w:hAnsi="Times New Roman" w:cs="Times New Roman"/>
                <w:color w:val="auto"/>
                <w:highlight w:val="none"/>
                <w:lang w:val="en-US" w:eastAsia="zh-CN"/>
              </w:rPr>
              <w:t>。</w:t>
            </w:r>
          </w:p>
          <w:p w14:paraId="61CEAF0B">
            <w:pPr>
              <w:adjustRightInd w:val="0"/>
              <w:snapToGrid w:val="0"/>
              <w:spacing w:line="360" w:lineRule="auto"/>
              <w:ind w:firstLine="420" w:firstLineChars="200"/>
              <w:rPr>
                <w:rFonts w:hint="default" w:eastAsia="宋体" w:cs="Times New Roman"/>
                <w:color w:val="auto"/>
                <w:spacing w:val="-2"/>
                <w:kern w:val="0"/>
                <w:highlight w:val="none"/>
                <w:vertAlign w:val="baseline"/>
                <w:lang w:val="en-US" w:eastAsia="zh-CN"/>
              </w:rPr>
            </w:pPr>
            <w:r>
              <w:rPr>
                <w:rFonts w:hint="default" w:ascii="Times New Roman" w:hAnsi="Times New Roman" w:eastAsia="宋体" w:cs="Times New Roman"/>
                <w:color w:val="auto"/>
                <w:highlight w:val="none"/>
              </w:rPr>
              <w:t>②</w:t>
            </w:r>
            <w:r>
              <w:rPr>
                <w:rFonts w:hint="eastAsia" w:cs="Times New Roman"/>
                <w:color w:val="auto"/>
                <w:spacing w:val="-2"/>
                <w:kern w:val="0"/>
                <w:highlight w:val="none"/>
                <w:lang w:val="en-US" w:eastAsia="zh-CN"/>
              </w:rPr>
              <w:t>水喷淋塔用水：</w:t>
            </w:r>
            <w:r>
              <w:rPr>
                <w:rFonts w:hint="eastAsia" w:cs="Times New Roman"/>
                <w:color w:val="auto"/>
                <w:highlight w:val="none"/>
                <w:lang w:val="en-US" w:eastAsia="zh-CN"/>
              </w:rPr>
              <w:t>一期项目</w:t>
            </w:r>
            <w:r>
              <w:rPr>
                <w:rFonts w:hint="eastAsia" w:ascii="Times New Roman" w:hAnsi="Times New Roman" w:cs="Times New Roman"/>
                <w:color w:val="auto"/>
                <w:highlight w:val="none"/>
                <w:lang w:val="en-US" w:eastAsia="zh-CN"/>
              </w:rPr>
              <w:t>烘干工序配套1座</w:t>
            </w:r>
            <w:r>
              <w:rPr>
                <w:rFonts w:hint="default" w:ascii="Times New Roman" w:hAnsi="Times New Roman" w:cs="Times New Roman"/>
                <w:color w:val="auto"/>
                <w:highlight w:val="none"/>
                <w:lang w:val="en-US" w:eastAsia="zh-CN"/>
              </w:rPr>
              <w:t>水喷淋</w:t>
            </w:r>
            <w:r>
              <w:rPr>
                <w:rFonts w:hint="eastAsia" w:cs="Times New Roman"/>
                <w:color w:val="auto"/>
                <w:spacing w:val="-2"/>
                <w:kern w:val="0"/>
                <w:highlight w:val="none"/>
                <w:lang w:val="en-US" w:eastAsia="zh-CN"/>
              </w:rPr>
              <w:t>塔</w:t>
            </w:r>
            <w:r>
              <w:rPr>
                <w:rFonts w:hint="default" w:ascii="Times New Roman" w:hAnsi="Times New Roman" w:cs="Times New Roman"/>
                <w:color w:val="auto"/>
                <w:highlight w:val="none"/>
              </w:rPr>
              <w:t>，</w:t>
            </w:r>
            <w:r>
              <w:rPr>
                <w:rFonts w:hint="eastAsia" w:cs="Times New Roman"/>
                <w:color w:val="auto"/>
                <w:spacing w:val="-2"/>
                <w:kern w:val="0"/>
                <w:highlight w:val="none"/>
                <w:lang w:val="en-US" w:eastAsia="zh-CN"/>
              </w:rPr>
              <w:t>水喷淋塔一次充装量</w:t>
            </w:r>
            <w:r>
              <w:rPr>
                <w:rFonts w:hint="default" w:ascii="Times New Roman" w:hAnsi="Times New Roman" w:cs="Times New Roman"/>
                <w:color w:val="auto"/>
                <w:highlight w:val="none"/>
              </w:rPr>
              <w:t>为</w:t>
            </w:r>
            <w:r>
              <w:rPr>
                <w:rFonts w:hint="eastAsia" w:cs="Times New Roman"/>
                <w:color w:val="auto"/>
                <w:spacing w:val="-2"/>
                <w:kern w:val="0"/>
                <w:highlight w:val="none"/>
                <w:lang w:val="en-US" w:eastAsia="zh-CN"/>
              </w:rPr>
              <w:t>15m</w:t>
            </w:r>
            <w:r>
              <w:rPr>
                <w:rFonts w:hint="eastAsia" w:cs="Times New Roman"/>
                <w:color w:val="auto"/>
                <w:spacing w:val="-2"/>
                <w:kern w:val="0"/>
                <w:highlight w:val="none"/>
                <w:vertAlign w:val="superscript"/>
                <w:lang w:val="en-US" w:eastAsia="zh-CN"/>
              </w:rPr>
              <w:t>3</w:t>
            </w:r>
            <w:r>
              <w:rPr>
                <w:rFonts w:hint="eastAsia" w:cs="Times New Roman"/>
                <w:color w:val="auto"/>
                <w:spacing w:val="-2"/>
                <w:kern w:val="0"/>
                <w:highlight w:val="none"/>
                <w:vertAlign w:val="baseline"/>
                <w:lang w:val="en-US" w:eastAsia="zh-CN"/>
              </w:rPr>
              <w:t>，循环使用，每周更换一</w:t>
            </w:r>
            <w:r>
              <w:rPr>
                <w:rFonts w:hint="eastAsia" w:cs="Times New Roman"/>
                <w:color w:val="auto"/>
                <w:spacing w:val="-2"/>
                <w:kern w:val="0"/>
                <w:highlight w:val="none"/>
                <w:lang w:val="en-US" w:eastAsia="zh-CN"/>
              </w:rPr>
              <w:t>次</w:t>
            </w:r>
            <w:r>
              <w:rPr>
                <w:rFonts w:hint="eastAsia" w:cs="Times New Roman"/>
                <w:color w:val="auto"/>
                <w:spacing w:val="-2"/>
                <w:kern w:val="0"/>
                <w:highlight w:val="none"/>
                <w:vertAlign w:val="baseline"/>
                <w:lang w:val="en-US" w:eastAsia="zh-CN"/>
              </w:rPr>
              <w:t>，则</w:t>
            </w:r>
            <w:r>
              <w:rPr>
                <w:rFonts w:hint="eastAsia" w:cs="Times New Roman"/>
                <w:color w:val="auto"/>
                <w:spacing w:val="-2"/>
                <w:kern w:val="0"/>
                <w:highlight w:val="none"/>
                <w:lang w:val="en-US" w:eastAsia="zh-CN"/>
              </w:rPr>
              <w:t>水喷淋塔用水</w:t>
            </w:r>
            <w:r>
              <w:rPr>
                <w:rFonts w:hint="eastAsia"/>
                <w:highlight w:val="none"/>
                <w:lang w:val="en-US" w:eastAsia="zh-CN"/>
              </w:rPr>
              <w:t>量为720</w:t>
            </w:r>
            <w:r>
              <w:rPr>
                <w:rFonts w:hint="eastAsia" w:cs="Times New Roman"/>
                <w:color w:val="auto"/>
                <w:spacing w:val="-2"/>
                <w:kern w:val="0"/>
                <w:highlight w:val="none"/>
                <w:lang w:val="en-US" w:eastAsia="zh-CN"/>
              </w:rPr>
              <w:t>m</w:t>
            </w:r>
            <w:r>
              <w:rPr>
                <w:rFonts w:hint="eastAsia" w:cs="Times New Roman"/>
                <w:color w:val="auto"/>
                <w:spacing w:val="-2"/>
                <w:kern w:val="0"/>
                <w:highlight w:val="none"/>
                <w:vertAlign w:val="superscript"/>
                <w:lang w:val="en-US" w:eastAsia="zh-CN"/>
              </w:rPr>
              <w:t>3</w:t>
            </w:r>
            <w:r>
              <w:rPr>
                <w:rFonts w:hint="eastAsia" w:cs="Times New Roman"/>
                <w:color w:val="auto"/>
                <w:spacing w:val="-2"/>
                <w:kern w:val="0"/>
                <w:highlight w:val="none"/>
                <w:vertAlign w:val="baseline"/>
                <w:lang w:val="en-US" w:eastAsia="zh-CN"/>
              </w:rPr>
              <w:t>/a，</w:t>
            </w:r>
            <w:r>
              <w:rPr>
                <w:rFonts w:hint="default" w:ascii="Times New Roman" w:hAnsi="Times New Roman" w:cs="Times New Roman"/>
                <w:bCs/>
                <w:color w:val="auto"/>
                <w:highlight w:val="none"/>
                <w:lang w:val="en-US" w:eastAsia="zh-CN"/>
              </w:rPr>
              <w:t>主要为新鲜水</w:t>
            </w:r>
            <w:r>
              <w:rPr>
                <w:rFonts w:hint="eastAsia" w:cs="Times New Roman"/>
                <w:bCs/>
                <w:color w:val="auto"/>
                <w:highlight w:val="none"/>
                <w:lang w:val="en-US" w:eastAsia="zh-CN"/>
              </w:rPr>
              <w:t>。</w:t>
            </w:r>
          </w:p>
          <w:p w14:paraId="161FBEB1">
            <w:pPr>
              <w:adjustRightInd w:val="0"/>
              <w:snapToGrid w:val="0"/>
              <w:spacing w:line="360" w:lineRule="auto"/>
              <w:ind w:firstLine="42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③</w:t>
            </w:r>
            <w:r>
              <w:rPr>
                <w:rFonts w:hint="default" w:ascii="Times New Roman" w:hAnsi="Times New Roman" w:cs="Times New Roman"/>
                <w:color w:val="auto"/>
                <w:spacing w:val="-2"/>
                <w:kern w:val="0"/>
                <w:highlight w:val="none"/>
                <w:lang w:val="en-US" w:eastAsia="zh-CN"/>
              </w:rPr>
              <w:t>车间地面洒水降尘用水：</w:t>
            </w:r>
            <w:r>
              <w:rPr>
                <w:rFonts w:hint="default" w:ascii="Times New Roman" w:hAnsi="Times New Roman" w:cs="Times New Roman"/>
                <w:color w:val="auto"/>
                <w:highlight w:val="none"/>
              </w:rPr>
              <w:t>车间地面需</w:t>
            </w:r>
            <w:r>
              <w:rPr>
                <w:rFonts w:hint="default" w:ascii="Times New Roman" w:hAnsi="Times New Roman" w:cs="Times New Roman"/>
                <w:color w:val="auto"/>
                <w:highlight w:val="none"/>
                <w:lang w:eastAsia="zh-CN"/>
              </w:rPr>
              <w:t>每天洒水降尘，</w:t>
            </w:r>
            <w:r>
              <w:rPr>
                <w:rFonts w:hint="default" w:ascii="Times New Roman" w:hAnsi="Times New Roman" w:cs="Times New Roman"/>
                <w:color w:val="auto"/>
                <w:highlight w:val="none"/>
              </w:rPr>
              <w:t>年洒水天数为300天，用水量取0.2L/m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·d计，车间面积约为</w:t>
            </w:r>
            <w:r>
              <w:rPr>
                <w:rFonts w:hint="default" w:ascii="Times New Roman" w:hAnsi="Times New Roman" w:cs="Times New Roman"/>
                <w:color w:val="auto"/>
                <w:highlight w:val="none"/>
                <w:lang w:val="en-US" w:eastAsia="zh-CN"/>
              </w:rPr>
              <w:t>2390.16</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，则</w:t>
            </w:r>
            <w:r>
              <w:rPr>
                <w:rFonts w:hint="default" w:ascii="Times New Roman" w:hAnsi="Times New Roman" w:cs="Times New Roman"/>
                <w:color w:val="auto"/>
                <w:spacing w:val="-2"/>
                <w:kern w:val="0"/>
                <w:highlight w:val="none"/>
                <w:lang w:val="en-US" w:eastAsia="zh-CN"/>
              </w:rPr>
              <w:t>车间洒水降尘用水</w:t>
            </w:r>
            <w:r>
              <w:rPr>
                <w:rFonts w:hint="default" w:ascii="Times New Roman" w:hAnsi="Times New Roman" w:cs="Times New Roman"/>
                <w:color w:val="auto"/>
                <w:highlight w:val="none"/>
              </w:rPr>
              <w:t>量为</w:t>
            </w:r>
            <w:r>
              <w:rPr>
                <w:rFonts w:hint="eastAsia" w:ascii="Times New Roman" w:hAnsi="Times New Roman" w:cs="Times New Roman"/>
                <w:color w:val="auto"/>
                <w:highlight w:val="none"/>
                <w:lang w:val="en-US" w:eastAsia="zh-CN"/>
              </w:rPr>
              <w:t>143.4</w:t>
            </w:r>
            <w:r>
              <w:rPr>
                <w:rFonts w:hint="default" w:ascii="Times New Roman" w:hAnsi="Times New Roman" w:cs="Times New Roman"/>
                <w:bCs/>
                <w:color w:val="auto"/>
                <w:highlight w:val="none"/>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/a</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主要为新鲜水</w:t>
            </w:r>
            <w:r>
              <w:rPr>
                <w:rFonts w:hint="default" w:ascii="Times New Roman" w:hAnsi="Times New Roman" w:cs="Times New Roman"/>
                <w:bCs/>
                <w:color w:val="auto"/>
                <w:highlight w:val="none"/>
                <w:lang w:eastAsia="zh-CN"/>
              </w:rPr>
              <w:t>。</w:t>
            </w:r>
          </w:p>
          <w:p w14:paraId="533E7357">
            <w:pPr>
              <w:adjustRightInd w:val="0"/>
              <w:snapToGrid w:val="0"/>
              <w:spacing w:line="360" w:lineRule="auto"/>
              <w:ind w:firstLine="420" w:firstLineChars="200"/>
              <w:rPr>
                <w:rFonts w:hint="eastAsia" w:cs="Times New Roman"/>
                <w:color w:val="auto"/>
                <w:kern w:val="2"/>
                <w:sz w:val="21"/>
                <w:szCs w:val="21"/>
                <w:highlight w:val="none"/>
                <w:lang w:eastAsia="zh-CN"/>
              </w:rPr>
            </w:pPr>
            <w:r>
              <w:rPr>
                <w:rFonts w:hint="default" w:ascii="Times New Roman" w:hAnsi="Times New Roman" w:eastAsia="宋体" w:cs="Times New Roman"/>
                <w:color w:val="auto"/>
                <w:highlight w:val="none"/>
                <w:lang w:val="en-US" w:eastAsia="zh-CN"/>
              </w:rPr>
              <w:t>④</w:t>
            </w:r>
            <w:r>
              <w:rPr>
                <w:rFonts w:hint="default" w:ascii="Times New Roman" w:hAnsi="Times New Roman" w:cs="Times New Roman"/>
                <w:color w:val="auto"/>
                <w:spacing w:val="-2"/>
                <w:kern w:val="0"/>
                <w:highlight w:val="none"/>
                <w:lang w:val="en-US" w:eastAsia="zh-CN"/>
              </w:rPr>
              <w:t>厂区道路洒水降尘用水：</w:t>
            </w:r>
            <w:r>
              <w:rPr>
                <w:rFonts w:hint="default" w:ascii="Times New Roman" w:hAnsi="Times New Roman" w:cs="Times New Roman"/>
                <w:color w:val="auto"/>
                <w:sz w:val="21"/>
                <w:szCs w:val="21"/>
                <w:highlight w:val="none"/>
              </w:rPr>
              <w:t>道路洒水降尘仅在晴天进行，</w:t>
            </w:r>
            <w:r>
              <w:rPr>
                <w:rFonts w:hint="eastAsia" w:cs="Times New Roman"/>
                <w:color w:val="auto"/>
                <w:sz w:val="21"/>
                <w:szCs w:val="21"/>
                <w:highlight w:val="none"/>
                <w:lang w:eastAsia="zh-CN"/>
              </w:rPr>
              <w:t>一期项目</w:t>
            </w:r>
            <w:r>
              <w:rPr>
                <w:rFonts w:hint="default" w:ascii="Times New Roman" w:hAnsi="Times New Roman" w:cs="Times New Roman"/>
                <w:color w:val="auto"/>
                <w:sz w:val="21"/>
                <w:szCs w:val="21"/>
                <w:highlight w:val="none"/>
              </w:rPr>
              <w:t>工作日为300天，非雨天按200天计算。</w:t>
            </w:r>
            <w:r>
              <w:rPr>
                <w:rFonts w:hint="eastAsia" w:cs="Times New Roman"/>
                <w:color w:val="auto"/>
                <w:sz w:val="21"/>
                <w:szCs w:val="21"/>
                <w:highlight w:val="none"/>
                <w:lang w:eastAsia="zh-CN"/>
              </w:rPr>
              <w:t>一期项目</w:t>
            </w:r>
            <w:r>
              <w:rPr>
                <w:rFonts w:hint="default" w:ascii="Times New Roman" w:hAnsi="Times New Roman" w:cs="Times New Roman"/>
                <w:color w:val="auto"/>
                <w:sz w:val="21"/>
                <w:szCs w:val="21"/>
                <w:highlight w:val="none"/>
              </w:rPr>
              <w:t>场地外运输道路</w:t>
            </w:r>
            <w:r>
              <w:rPr>
                <w:rFonts w:hint="default" w:ascii="Times New Roman" w:hAnsi="Times New Roman" w:cs="Times New Roman"/>
                <w:color w:val="auto"/>
                <w:kern w:val="2"/>
                <w:sz w:val="21"/>
                <w:szCs w:val="21"/>
                <w:highlight w:val="none"/>
              </w:rPr>
              <w:t>总面积约</w:t>
            </w:r>
            <w:r>
              <w:rPr>
                <w:rFonts w:hint="default" w:ascii="Times New Roman" w:hAnsi="Times New Roman" w:cs="Times New Roman"/>
                <w:color w:val="auto"/>
                <w:kern w:val="2"/>
                <w:sz w:val="21"/>
                <w:szCs w:val="21"/>
                <w:highlight w:val="none"/>
                <w:lang w:val="en-US" w:eastAsia="zh-CN"/>
              </w:rPr>
              <w:t>5</w:t>
            </w:r>
            <w:r>
              <w:rPr>
                <w:rFonts w:hint="default" w:ascii="Times New Roman" w:hAnsi="Times New Roman" w:cs="Times New Roman"/>
                <w:color w:val="auto"/>
                <w:kern w:val="2"/>
                <w:sz w:val="21"/>
                <w:szCs w:val="21"/>
                <w:highlight w:val="none"/>
              </w:rPr>
              <w:t>00m</w:t>
            </w:r>
            <w:r>
              <w:rPr>
                <w:rFonts w:hint="default" w:ascii="Times New Roman" w:hAnsi="Times New Roman" w:cs="Times New Roman"/>
                <w:color w:val="auto"/>
                <w:kern w:val="2"/>
                <w:sz w:val="21"/>
                <w:szCs w:val="21"/>
                <w:highlight w:val="none"/>
                <w:vertAlign w:val="superscript"/>
              </w:rPr>
              <w:t>2</w:t>
            </w:r>
            <w:r>
              <w:rPr>
                <w:rFonts w:hint="default" w:ascii="Times New Roman" w:hAnsi="Times New Roman" w:cs="Times New Roman"/>
                <w:color w:val="auto"/>
                <w:kern w:val="2"/>
                <w:sz w:val="21"/>
                <w:szCs w:val="21"/>
                <w:highlight w:val="none"/>
              </w:rPr>
              <w:t>，降尘用水量按1L/m</w:t>
            </w:r>
            <w:r>
              <w:rPr>
                <w:rFonts w:hint="default" w:ascii="Times New Roman" w:hAnsi="Times New Roman" w:cs="Times New Roman"/>
                <w:color w:val="auto"/>
                <w:kern w:val="2"/>
                <w:sz w:val="21"/>
                <w:szCs w:val="21"/>
                <w:highlight w:val="none"/>
                <w:vertAlign w:val="superscript"/>
              </w:rPr>
              <w:t>2</w:t>
            </w:r>
            <w:r>
              <w:rPr>
                <w:rFonts w:hint="default" w:ascii="Times New Roman" w:hAnsi="Times New Roman" w:cs="Times New Roman"/>
                <w:color w:val="auto"/>
                <w:kern w:val="2"/>
                <w:sz w:val="21"/>
                <w:szCs w:val="21"/>
                <w:highlight w:val="none"/>
              </w:rPr>
              <w:t>·次计算，每天洒水</w:t>
            </w:r>
            <w:r>
              <w:rPr>
                <w:rFonts w:hint="default" w:ascii="Times New Roman" w:hAnsi="Times New Roman" w:cs="Times New Roman"/>
                <w:color w:val="auto"/>
                <w:kern w:val="2"/>
                <w:sz w:val="21"/>
                <w:szCs w:val="21"/>
                <w:highlight w:val="none"/>
                <w:lang w:val="en-US" w:eastAsia="zh-CN"/>
              </w:rPr>
              <w:t>车洒水2</w:t>
            </w:r>
            <w:r>
              <w:rPr>
                <w:rFonts w:hint="default" w:ascii="Times New Roman" w:hAnsi="Times New Roman" w:cs="Times New Roman"/>
                <w:color w:val="auto"/>
                <w:kern w:val="2"/>
                <w:sz w:val="21"/>
                <w:szCs w:val="21"/>
                <w:highlight w:val="none"/>
              </w:rPr>
              <w:t>次，则道路降尘用水量为</w:t>
            </w:r>
            <w:r>
              <w:rPr>
                <w:rFonts w:hint="default" w:ascii="Times New Roman" w:hAnsi="Times New Roman" w:cs="Times New Roman"/>
                <w:color w:val="auto"/>
                <w:kern w:val="2"/>
                <w:sz w:val="21"/>
                <w:szCs w:val="21"/>
                <w:highlight w:val="none"/>
                <w:lang w:val="en-US" w:eastAsia="zh-CN"/>
              </w:rPr>
              <w:t>2</w:t>
            </w:r>
            <w:r>
              <w:rPr>
                <w:rFonts w:hint="default" w:ascii="Times New Roman" w:hAnsi="Times New Roman" w:cs="Times New Roman"/>
                <w:color w:val="auto"/>
                <w:kern w:val="2"/>
                <w:sz w:val="21"/>
                <w:szCs w:val="21"/>
                <w:highlight w:val="none"/>
              </w:rPr>
              <w:t>00m</w:t>
            </w:r>
            <w:r>
              <w:rPr>
                <w:rFonts w:hint="default" w:ascii="Times New Roman" w:hAnsi="Times New Roman" w:cs="Times New Roman"/>
                <w:color w:val="auto"/>
                <w:kern w:val="2"/>
                <w:sz w:val="21"/>
                <w:szCs w:val="21"/>
                <w:highlight w:val="none"/>
                <w:vertAlign w:val="superscript"/>
              </w:rPr>
              <w:t>3</w:t>
            </w:r>
            <w:r>
              <w:rPr>
                <w:rFonts w:hint="default" w:ascii="Times New Roman" w:hAnsi="Times New Roman" w:cs="Times New Roman"/>
                <w:color w:val="auto"/>
                <w:kern w:val="2"/>
                <w:sz w:val="21"/>
                <w:szCs w:val="21"/>
                <w:highlight w:val="none"/>
              </w:rPr>
              <w:t>/a</w:t>
            </w:r>
            <w:r>
              <w:rPr>
                <w:rFonts w:hint="eastAsia" w:cs="Times New Roman"/>
                <w:color w:val="auto"/>
                <w:kern w:val="2"/>
                <w:sz w:val="21"/>
                <w:szCs w:val="21"/>
                <w:highlight w:val="none"/>
                <w:lang w:eastAsia="zh-CN"/>
              </w:rPr>
              <w:t>。</w:t>
            </w:r>
          </w:p>
          <w:p w14:paraId="64757DAB">
            <w:pPr>
              <w:adjustRightInd w:val="0"/>
              <w:snapToGrid w:val="0"/>
              <w:spacing w:line="360" w:lineRule="auto"/>
              <w:ind w:firstLine="42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⑤</w:t>
            </w:r>
            <w:r>
              <w:rPr>
                <w:rFonts w:hint="eastAsia" w:cs="Times New Roman"/>
                <w:color w:val="auto"/>
                <w:spacing w:val="-2"/>
                <w:kern w:val="0"/>
                <w:highlight w:val="none"/>
                <w:lang w:val="en-US" w:eastAsia="zh-CN"/>
              </w:rPr>
              <w:t>造粒用水：一期项目原料配料混合后需加水进行造粒，根据企业提供资料，1t产品需添加0.6%的水，则造粒用水量为1800</w:t>
            </w:r>
            <w:r>
              <w:rPr>
                <w:rFonts w:hint="default" w:ascii="Times New Roman" w:hAnsi="Times New Roman" w:cs="Times New Roman"/>
                <w:bCs/>
                <w:color w:val="auto"/>
                <w:highlight w:val="none"/>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/a</w:t>
            </w:r>
            <w:r>
              <w:rPr>
                <w:rFonts w:hint="eastAsia" w:cs="Times New Roman"/>
                <w:color w:val="auto"/>
                <w:spacing w:val="-2"/>
                <w:kern w:val="0"/>
                <w:highlight w:val="none"/>
                <w:lang w:val="en-US" w:eastAsia="zh-CN"/>
              </w:rPr>
              <w:t>，其中655.177</w:t>
            </w:r>
            <w:r>
              <w:rPr>
                <w:rFonts w:hint="default" w:ascii="Times New Roman" w:hAnsi="Times New Roman" w:cs="Times New Roman"/>
                <w:bCs/>
                <w:color w:val="auto"/>
                <w:highlight w:val="none"/>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/a</w:t>
            </w:r>
            <w:r>
              <w:rPr>
                <w:rFonts w:hint="eastAsia" w:cs="Times New Roman"/>
                <w:color w:val="auto"/>
                <w:spacing w:val="-2"/>
                <w:kern w:val="0"/>
                <w:highlight w:val="none"/>
                <w:lang w:val="en-US" w:eastAsia="zh-CN"/>
              </w:rPr>
              <w:t>来源于</w:t>
            </w:r>
            <w:r>
              <w:rPr>
                <w:rFonts w:hint="eastAsia"/>
                <w:color w:val="auto"/>
                <w:szCs w:val="21"/>
                <w:lang w:val="en-US" w:eastAsia="zh-CN"/>
              </w:rPr>
              <w:t>水喷淋废水，其余</w:t>
            </w:r>
            <w:r>
              <w:rPr>
                <w:rFonts w:hint="eastAsia" w:cs="Times New Roman"/>
                <w:bCs/>
                <w:color w:val="auto"/>
                <w:highlight w:val="none"/>
                <w:lang w:val="en-US" w:eastAsia="zh-CN"/>
              </w:rPr>
              <w:t>1144.823</w:t>
            </w:r>
            <w:r>
              <w:rPr>
                <w:rFonts w:hint="default" w:ascii="Times New Roman" w:hAnsi="Times New Roman" w:cs="Times New Roman"/>
                <w:bCs/>
                <w:color w:val="auto"/>
                <w:highlight w:val="none"/>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/a</w:t>
            </w:r>
            <w:r>
              <w:rPr>
                <w:rFonts w:hint="default" w:ascii="Times New Roman" w:hAnsi="Times New Roman" w:cs="Times New Roman"/>
                <w:bCs/>
                <w:color w:val="auto"/>
                <w:highlight w:val="none"/>
                <w:lang w:val="en-US" w:eastAsia="zh-CN"/>
              </w:rPr>
              <w:t>为新鲜水</w:t>
            </w:r>
            <w:r>
              <w:rPr>
                <w:rFonts w:hint="default" w:ascii="Times New Roman" w:hAnsi="Times New Roman" w:cs="Times New Roman"/>
                <w:bCs/>
                <w:color w:val="auto"/>
                <w:highlight w:val="none"/>
                <w:lang w:eastAsia="zh-CN"/>
              </w:rPr>
              <w:t>。</w:t>
            </w:r>
          </w:p>
          <w:p w14:paraId="5BF26876">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eastAsia="zh-CN"/>
              </w:rPr>
              <w:t>（</w:t>
            </w:r>
            <w:r>
              <w:rPr>
                <w:rFonts w:hint="eastAsia" w:cs="Times New Roman"/>
                <w:color w:val="auto"/>
                <w:highlight w:val="none"/>
                <w:lang w:val="en-US" w:eastAsia="zh-CN"/>
              </w:rPr>
              <w:t>2</w:t>
            </w:r>
            <w:r>
              <w:rPr>
                <w:rFonts w:hint="eastAsia" w:cs="Times New Roman"/>
                <w:color w:val="auto"/>
                <w:highlight w:val="none"/>
                <w:lang w:eastAsia="zh-CN"/>
              </w:rPr>
              <w:t>）</w:t>
            </w:r>
            <w:r>
              <w:rPr>
                <w:rFonts w:hint="eastAsia" w:cs="Times New Roman"/>
                <w:color w:val="auto"/>
                <w:highlight w:val="none"/>
                <w:lang w:val="en-US" w:eastAsia="zh-CN"/>
              </w:rPr>
              <w:t>排水</w:t>
            </w:r>
          </w:p>
          <w:p w14:paraId="60EC5C5A">
            <w:pPr>
              <w:adjustRightInd w:val="0"/>
              <w:snapToGrid w:val="0"/>
              <w:spacing w:line="360" w:lineRule="auto"/>
              <w:ind w:firstLine="420" w:firstLineChars="200"/>
              <w:rPr>
                <w:color w:val="auto"/>
              </w:rPr>
            </w:pPr>
            <w:r>
              <w:rPr>
                <w:rFonts w:hint="eastAsia"/>
                <w:color w:val="auto"/>
              </w:rPr>
              <w:t>项目</w:t>
            </w:r>
            <w:r>
              <w:rPr>
                <w:color w:val="auto"/>
              </w:rPr>
              <w:t>排水采用雨、污分流制，雨水经水沟渠就近排入雨水管网</w:t>
            </w:r>
            <w:r>
              <w:rPr>
                <w:rFonts w:hint="eastAsia"/>
                <w:color w:val="auto"/>
                <w:lang w:eastAsia="zh-CN"/>
              </w:rPr>
              <w:t>，</w:t>
            </w:r>
            <w:r>
              <w:rPr>
                <w:rFonts w:hint="eastAsia" w:cs="Times New Roman"/>
                <w:color w:val="auto"/>
                <w:spacing w:val="-2"/>
                <w:kern w:val="0"/>
                <w:highlight w:val="none"/>
                <w:lang w:val="en-US" w:eastAsia="zh-CN"/>
              </w:rPr>
              <w:t>车间洒水降尘用水、</w:t>
            </w:r>
            <w:r>
              <w:rPr>
                <w:rFonts w:hint="default" w:ascii="Times New Roman" w:hAnsi="Times New Roman" w:cs="Times New Roman"/>
                <w:color w:val="auto"/>
                <w:spacing w:val="-2"/>
                <w:kern w:val="0"/>
                <w:highlight w:val="none"/>
                <w:lang w:val="en-US" w:eastAsia="zh-CN"/>
              </w:rPr>
              <w:t>厂区道路洒水降尘用水</w:t>
            </w:r>
            <w:r>
              <w:rPr>
                <w:rFonts w:hint="eastAsia" w:cs="Times New Roman"/>
                <w:color w:val="auto"/>
                <w:spacing w:val="-2"/>
                <w:kern w:val="0"/>
                <w:highlight w:val="none"/>
                <w:lang w:val="en-US" w:eastAsia="zh-CN"/>
              </w:rPr>
              <w:t>、造粒用水</w:t>
            </w:r>
            <w:r>
              <w:rPr>
                <w:rFonts w:hint="eastAsia"/>
                <w:color w:val="auto"/>
                <w:spacing w:val="-2"/>
                <w:kern w:val="0"/>
                <w:lang w:val="en-US" w:eastAsia="zh-CN"/>
              </w:rPr>
              <w:t>全部蒸发损耗，不外排</w:t>
            </w:r>
            <w:r>
              <w:rPr>
                <w:color w:val="auto"/>
              </w:rPr>
              <w:t>。</w:t>
            </w:r>
          </w:p>
          <w:p w14:paraId="4EBCF29B">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eastAsia"/>
                <w:color w:val="auto"/>
                <w:szCs w:val="21"/>
                <w:lang w:eastAsia="zh-CN"/>
              </w:rPr>
            </w:pPr>
            <w:r>
              <w:rPr>
                <w:rFonts w:hint="eastAsia"/>
                <w:color w:val="auto"/>
              </w:rPr>
              <w:t>项目</w:t>
            </w:r>
            <w:r>
              <w:rPr>
                <w:color w:val="auto"/>
                <w:szCs w:val="21"/>
              </w:rPr>
              <w:t>产生的废水主要为职工生活污水</w:t>
            </w:r>
            <w:r>
              <w:rPr>
                <w:rFonts w:hint="eastAsia"/>
                <w:color w:val="auto"/>
                <w:szCs w:val="21"/>
                <w:lang w:val="en-US" w:eastAsia="zh-CN"/>
              </w:rPr>
              <w:t>和水喷淋废水</w:t>
            </w:r>
            <w:r>
              <w:rPr>
                <w:rFonts w:hint="eastAsia"/>
                <w:color w:val="auto"/>
                <w:szCs w:val="21"/>
                <w:lang w:eastAsia="zh-CN"/>
              </w:rPr>
              <w:t>。</w:t>
            </w:r>
          </w:p>
          <w:p w14:paraId="2B18DE01">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eastAsia" w:ascii="Times New Roman" w:hAnsi="Times New Roman" w:eastAsia="宋体" w:cs="Times New Roman"/>
                <w:color w:val="auto"/>
                <w:highlight w:val="none"/>
                <w:lang w:val="en-US" w:eastAsia="zh-CN"/>
              </w:rPr>
            </w:pPr>
            <w:r>
              <w:rPr>
                <w:rFonts w:hint="eastAsia"/>
                <w:color w:val="auto"/>
                <w:szCs w:val="21"/>
                <w:lang w:val="en-US" w:eastAsia="zh-CN"/>
              </w:rPr>
              <w:t>生活污水</w:t>
            </w:r>
            <w:r>
              <w:rPr>
                <w:color w:val="auto"/>
                <w:szCs w:val="21"/>
              </w:rPr>
              <w:t>产生量按用水量的80%计，为</w:t>
            </w:r>
            <w:r>
              <w:rPr>
                <w:rFonts w:hint="eastAsia"/>
                <w:color w:val="auto"/>
                <w:szCs w:val="21"/>
                <w:lang w:val="en-US" w:eastAsia="zh-CN"/>
              </w:rPr>
              <w:t>499.2</w:t>
            </w:r>
            <w:r>
              <w:rPr>
                <w:color w:val="auto"/>
                <w:szCs w:val="21"/>
              </w:rPr>
              <w:t>m</w:t>
            </w:r>
            <w:r>
              <w:rPr>
                <w:color w:val="auto"/>
                <w:szCs w:val="21"/>
                <w:vertAlign w:val="superscript"/>
              </w:rPr>
              <w:t>3</w:t>
            </w:r>
            <w:r>
              <w:rPr>
                <w:color w:val="auto"/>
                <w:szCs w:val="21"/>
              </w:rPr>
              <w:t>/a。生活污水经化粪池预处理后</w:t>
            </w:r>
            <w:r>
              <w:rPr>
                <w:rFonts w:hint="eastAsia"/>
                <w:color w:val="auto"/>
                <w:szCs w:val="21"/>
              </w:rPr>
              <w:t>由环卫部门定期清运</w:t>
            </w:r>
            <w:r>
              <w:rPr>
                <w:rFonts w:hint="eastAsia"/>
                <w:color w:val="auto"/>
                <w:szCs w:val="21"/>
                <w:lang w:eastAsia="zh-CN"/>
              </w:rPr>
              <w:t>。</w:t>
            </w:r>
          </w:p>
          <w:p w14:paraId="253A4669">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eastAsia="宋体"/>
                <w:color w:val="auto"/>
                <w:szCs w:val="21"/>
                <w:lang w:val="en-US" w:eastAsia="zh-CN"/>
              </w:rPr>
            </w:pPr>
            <w:r>
              <w:rPr>
                <w:rFonts w:hint="eastAsia"/>
                <w:color w:val="auto"/>
                <w:szCs w:val="21"/>
                <w:lang w:val="en-US" w:eastAsia="zh-CN"/>
              </w:rPr>
              <w:t>水喷淋废水：一期项目水喷淋塔用水量为</w:t>
            </w:r>
            <w:r>
              <w:rPr>
                <w:rFonts w:hint="eastAsia"/>
                <w:highlight w:val="none"/>
                <w:lang w:val="en-US" w:eastAsia="zh-CN"/>
              </w:rPr>
              <w:t>720</w:t>
            </w:r>
            <w:r>
              <w:rPr>
                <w:rFonts w:hint="eastAsia" w:cs="Times New Roman"/>
                <w:color w:val="auto"/>
                <w:spacing w:val="-2"/>
                <w:kern w:val="0"/>
                <w:highlight w:val="none"/>
                <w:lang w:val="en-US" w:eastAsia="zh-CN"/>
              </w:rPr>
              <w:t>m</w:t>
            </w:r>
            <w:r>
              <w:rPr>
                <w:rFonts w:hint="eastAsia" w:cs="Times New Roman"/>
                <w:color w:val="auto"/>
                <w:spacing w:val="-2"/>
                <w:kern w:val="0"/>
                <w:highlight w:val="none"/>
                <w:vertAlign w:val="superscript"/>
                <w:lang w:val="en-US" w:eastAsia="zh-CN"/>
              </w:rPr>
              <w:t>3</w:t>
            </w:r>
            <w:r>
              <w:rPr>
                <w:rFonts w:hint="eastAsia" w:cs="Times New Roman"/>
                <w:color w:val="auto"/>
                <w:spacing w:val="-2"/>
                <w:kern w:val="0"/>
                <w:highlight w:val="none"/>
                <w:vertAlign w:val="baseline"/>
                <w:lang w:val="en-US" w:eastAsia="zh-CN"/>
              </w:rPr>
              <w:t>/a，废水产生量按</w:t>
            </w:r>
            <w:r>
              <w:rPr>
                <w:color w:val="auto"/>
                <w:szCs w:val="21"/>
              </w:rPr>
              <w:t>用水量的</w:t>
            </w:r>
            <w:r>
              <w:rPr>
                <w:rFonts w:hint="eastAsia"/>
                <w:color w:val="auto"/>
                <w:szCs w:val="21"/>
                <w:lang w:val="en-US" w:eastAsia="zh-CN"/>
              </w:rPr>
              <w:t>9</w:t>
            </w:r>
            <w:r>
              <w:rPr>
                <w:color w:val="auto"/>
                <w:szCs w:val="21"/>
              </w:rPr>
              <w:t>0%计，</w:t>
            </w:r>
            <w:r>
              <w:rPr>
                <w:rFonts w:hint="eastAsia"/>
                <w:color w:val="auto"/>
                <w:szCs w:val="21"/>
                <w:lang w:val="en-US" w:eastAsia="zh-CN"/>
              </w:rPr>
              <w:t>为648</w:t>
            </w:r>
            <w:r>
              <w:rPr>
                <w:rFonts w:hint="eastAsia" w:cs="Times New Roman"/>
                <w:color w:val="auto"/>
                <w:spacing w:val="-2"/>
                <w:kern w:val="0"/>
                <w:highlight w:val="none"/>
                <w:lang w:val="en-US" w:eastAsia="zh-CN"/>
              </w:rPr>
              <w:t>m</w:t>
            </w:r>
            <w:r>
              <w:rPr>
                <w:rFonts w:hint="eastAsia" w:cs="Times New Roman"/>
                <w:color w:val="auto"/>
                <w:spacing w:val="-2"/>
                <w:kern w:val="0"/>
                <w:highlight w:val="none"/>
                <w:vertAlign w:val="superscript"/>
                <w:lang w:val="en-US" w:eastAsia="zh-CN"/>
              </w:rPr>
              <w:t>3</w:t>
            </w:r>
            <w:r>
              <w:rPr>
                <w:rFonts w:hint="eastAsia" w:cs="Times New Roman"/>
                <w:color w:val="auto"/>
                <w:spacing w:val="-2"/>
                <w:kern w:val="0"/>
                <w:highlight w:val="none"/>
                <w:vertAlign w:val="baseline"/>
                <w:lang w:val="en-US" w:eastAsia="zh-CN"/>
              </w:rPr>
              <w:t>/a，吸收的氨气量为7.177/a，则</w:t>
            </w:r>
            <w:r>
              <w:rPr>
                <w:rFonts w:hint="eastAsia"/>
                <w:color w:val="auto"/>
                <w:szCs w:val="21"/>
                <w:lang w:val="en-US" w:eastAsia="zh-CN"/>
              </w:rPr>
              <w:t>水喷淋废水产生量为</w:t>
            </w:r>
            <w:r>
              <w:rPr>
                <w:rFonts w:hint="eastAsia" w:cs="Times New Roman"/>
                <w:color w:val="auto"/>
                <w:spacing w:val="-2"/>
                <w:kern w:val="0"/>
                <w:highlight w:val="none"/>
                <w:lang w:val="en-US" w:eastAsia="zh-CN"/>
              </w:rPr>
              <w:t>655.177t/a，用于造粒用水，不外排。</w:t>
            </w:r>
          </w:p>
          <w:p w14:paraId="770851F9">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cs="Times New Roman"/>
                <w:color w:val="auto"/>
                <w:highlight w:val="none"/>
              </w:rPr>
            </w:pPr>
            <w:r>
              <w:rPr>
                <w:rFonts w:hint="eastAsia" w:cs="Times New Roman"/>
                <w:color w:val="auto"/>
                <w:highlight w:val="none"/>
                <w:lang w:eastAsia="zh-CN"/>
              </w:rPr>
              <w:t>一期项目</w:t>
            </w:r>
            <w:r>
              <w:rPr>
                <w:rFonts w:hint="default" w:ascii="Times New Roman" w:hAnsi="Times New Roman" w:cs="Times New Roman"/>
                <w:color w:val="auto"/>
                <w:highlight w:val="none"/>
              </w:rPr>
              <w:t>水平衡图见下图：</w:t>
            </w:r>
          </w:p>
          <w:p w14:paraId="5307E32B">
            <w:pPr>
              <w:spacing w:line="360" w:lineRule="auto"/>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object>
                <v:shape id="_x0000_i1025" o:spt="75" type="#_x0000_t75" style="height:186.7pt;width:244.05pt;" o:ole="t" filled="f" o:preferrelative="t" stroked="f" coordsize="21600,21600">
                  <v:path/>
                  <v:fill on="f" focussize="0,0"/>
                  <v:stroke on="f"/>
                  <v:imagedata r:id="rId14" o:title=""/>
                  <o:lock v:ext="edit" aspectratio="f"/>
                  <w10:wrap type="none"/>
                  <w10:anchorlock/>
                </v:shape>
                <o:OLEObject Type="Embed" ProgID="Visio.Drawing.15" ShapeID="_x0000_i1025" DrawAspect="Content" ObjectID="_1468075725" r:id="rId13">
                  <o:LockedField>false</o:LockedField>
                </o:OLEObject>
              </w:object>
            </w:r>
          </w:p>
          <w:p w14:paraId="1A114F94">
            <w:pPr>
              <w:spacing w:line="360" w:lineRule="auto"/>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图2-</w:t>
            </w:r>
            <w:r>
              <w:rPr>
                <w:rFonts w:hint="eastAsia" w:cs="Times New Roman"/>
                <w:b/>
                <w:bCs/>
                <w:color w:val="auto"/>
                <w:highlight w:val="none"/>
                <w:lang w:val="en-US" w:eastAsia="zh-CN"/>
              </w:rPr>
              <w:t>1一期项目</w:t>
            </w:r>
            <w:r>
              <w:rPr>
                <w:rFonts w:hint="default" w:ascii="Times New Roman" w:hAnsi="Times New Roman" w:cs="Times New Roman"/>
                <w:b/>
                <w:bCs/>
                <w:color w:val="auto"/>
                <w:highlight w:val="none"/>
              </w:rPr>
              <w:t>水平衡图 单位：m</w:t>
            </w:r>
            <w:r>
              <w:rPr>
                <w:rFonts w:hint="default" w:ascii="Times New Roman" w:hAnsi="Times New Roman" w:cs="Times New Roman"/>
                <w:b/>
                <w:bCs/>
                <w:color w:val="auto"/>
                <w:highlight w:val="none"/>
                <w:vertAlign w:val="superscript"/>
              </w:rPr>
              <w:t>3</w:t>
            </w:r>
            <w:r>
              <w:rPr>
                <w:rFonts w:hint="default" w:ascii="Times New Roman" w:hAnsi="Times New Roman" w:cs="Times New Roman"/>
                <w:b/>
                <w:bCs/>
                <w:color w:val="auto"/>
                <w:highlight w:val="none"/>
              </w:rPr>
              <w:t>/a</w:t>
            </w:r>
          </w:p>
          <w:p w14:paraId="179C087E">
            <w:pPr>
              <w:tabs>
                <w:tab w:val="left" w:pos="1800"/>
              </w:tabs>
              <w:adjustRightInd w:val="0"/>
              <w:snapToGrid w:val="0"/>
              <w:spacing w:line="360" w:lineRule="auto"/>
              <w:ind w:firstLine="460" w:firstLineChars="200"/>
              <w:rPr>
                <w:rFonts w:hint="default" w:ascii="Times New Roman" w:hAnsi="Times New Roman" w:cs="Times New Roman"/>
                <w:color w:val="auto"/>
                <w:spacing w:val="10"/>
              </w:rPr>
            </w:pPr>
            <w:r>
              <w:rPr>
                <w:rFonts w:hint="default" w:ascii="Times New Roman" w:hAnsi="Times New Roman" w:cs="Times New Roman"/>
                <w:color w:val="auto"/>
                <w:spacing w:val="10"/>
                <w:highlight w:val="none"/>
              </w:rPr>
              <w:t>11、供电：</w:t>
            </w:r>
            <w:r>
              <w:rPr>
                <w:rFonts w:hint="eastAsia" w:cs="Times New Roman"/>
                <w:color w:val="auto"/>
                <w:spacing w:val="10"/>
                <w:highlight w:val="none"/>
                <w:lang w:eastAsia="zh-CN"/>
              </w:rPr>
              <w:t>一期项目</w:t>
            </w:r>
            <w:r>
              <w:rPr>
                <w:rFonts w:hint="default" w:ascii="Times New Roman" w:hAnsi="Times New Roman" w:cs="Times New Roman"/>
                <w:color w:val="auto"/>
                <w:spacing w:val="10"/>
                <w:highlight w:val="none"/>
              </w:rPr>
              <w:t>用电量约为</w:t>
            </w:r>
            <w:r>
              <w:rPr>
                <w:rFonts w:hint="eastAsia" w:cs="Times New Roman"/>
                <w:color w:val="auto"/>
                <w:spacing w:val="10"/>
                <w:highlight w:val="none"/>
                <w:lang w:val="en-US" w:eastAsia="zh-CN"/>
              </w:rPr>
              <w:t>40</w:t>
            </w:r>
            <w:r>
              <w:rPr>
                <w:rFonts w:hint="default" w:ascii="Times New Roman" w:hAnsi="Times New Roman" w:cs="Times New Roman"/>
                <w:color w:val="auto"/>
                <w:spacing w:val="10"/>
                <w:highlight w:val="none"/>
                <w:lang w:val="en-US" w:eastAsia="zh-CN"/>
              </w:rPr>
              <w:t>0</w:t>
            </w:r>
            <w:r>
              <w:rPr>
                <w:rFonts w:hint="default" w:ascii="Times New Roman" w:hAnsi="Times New Roman" w:cs="Times New Roman"/>
                <w:color w:val="auto"/>
                <w:spacing w:val="10"/>
                <w:highlight w:val="none"/>
              </w:rPr>
              <w:t>万k</w:t>
            </w:r>
            <w:r>
              <w:rPr>
                <w:rFonts w:hint="default" w:ascii="Times New Roman" w:hAnsi="Times New Roman" w:cs="Times New Roman"/>
                <w:color w:val="auto"/>
                <w:spacing w:val="10"/>
              </w:rPr>
              <w:t>Wh/a，由</w:t>
            </w:r>
            <w:r>
              <w:rPr>
                <w:rFonts w:hint="eastAsia" w:cs="Times New Roman"/>
                <w:color w:val="auto"/>
                <w:kern w:val="24"/>
                <w:lang w:eastAsia="zh-CN"/>
              </w:rPr>
              <w:t>双杨镇供电所</w:t>
            </w:r>
            <w:r>
              <w:rPr>
                <w:rFonts w:hint="default" w:ascii="Times New Roman" w:hAnsi="Times New Roman" w:cs="Times New Roman"/>
                <w:color w:val="auto"/>
                <w:spacing w:val="10"/>
              </w:rPr>
              <w:t>供给。</w:t>
            </w:r>
          </w:p>
          <w:p w14:paraId="5B1CD73F">
            <w:pPr>
              <w:tabs>
                <w:tab w:val="left" w:pos="1800"/>
              </w:tabs>
              <w:adjustRightInd w:val="0"/>
              <w:snapToGrid w:val="0"/>
              <w:spacing w:line="360" w:lineRule="auto"/>
              <w:ind w:firstLine="460" w:firstLineChars="200"/>
              <w:rPr>
                <w:rFonts w:hint="eastAsia" w:ascii="Times New Roman" w:hAnsi="Times New Roman" w:eastAsia="宋体" w:cs="Times New Roman"/>
                <w:color w:val="FF0000"/>
                <w:lang w:eastAsia="zh-CN"/>
              </w:rPr>
            </w:pPr>
            <w:r>
              <w:rPr>
                <w:rFonts w:hint="default" w:ascii="Times New Roman" w:hAnsi="Times New Roman" w:cs="Times New Roman"/>
                <w:color w:val="auto"/>
                <w:spacing w:val="10"/>
              </w:rPr>
              <w:t>12、供热：</w:t>
            </w:r>
            <w:r>
              <w:rPr>
                <w:rFonts w:hint="eastAsia" w:cs="Times New Roman"/>
                <w:color w:val="auto"/>
                <w:lang w:val="de-DE" w:eastAsia="zh-CN"/>
              </w:rPr>
              <w:t>一期项目</w:t>
            </w:r>
            <w:r>
              <w:rPr>
                <w:rFonts w:hint="default" w:ascii="Times New Roman" w:hAnsi="Times New Roman" w:cs="Times New Roman"/>
                <w:color w:val="auto"/>
                <w:spacing w:val="10"/>
              </w:rPr>
              <w:t>厂区内不设燃煤锅炉，办公室冬季取暖使用空调。</w:t>
            </w:r>
          </w:p>
        </w:tc>
      </w:tr>
      <w:tr w14:paraId="4829BE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716" w:type="dxa"/>
            <w:vAlign w:val="center"/>
          </w:tcPr>
          <w:p w14:paraId="784F4E67">
            <w:pPr>
              <w:pStyle w:val="75"/>
              <w:adjustRightInd w:val="0"/>
              <w:snapToGrid w:val="0"/>
              <w:spacing w:before="0" w:beforeAutospacing="0" w:after="0" w:afterAutospacing="0" w:line="420" w:lineRule="exact"/>
              <w:jc w:val="center"/>
              <w:rPr>
                <w:rFonts w:hint="default" w:ascii="Times New Roman" w:hAnsi="Times New Roman" w:cs="Times New Roman"/>
                <w:color w:val="FF0000"/>
                <w:sz w:val="21"/>
                <w:szCs w:val="21"/>
              </w:rPr>
            </w:pPr>
            <w:r>
              <w:rPr>
                <w:rFonts w:hint="default" w:ascii="Times New Roman" w:hAnsi="Times New Roman" w:cs="Times New Roman"/>
                <w:color w:val="auto"/>
                <w:sz w:val="21"/>
                <w:szCs w:val="21"/>
              </w:rPr>
              <w:t>工艺流程和产排污环节</w:t>
            </w:r>
          </w:p>
        </w:tc>
        <w:tc>
          <w:tcPr>
            <w:tcW w:w="8426" w:type="dxa"/>
          </w:tcPr>
          <w:p w14:paraId="705AFEC2">
            <w:pPr>
              <w:pStyle w:val="1042"/>
              <w:spacing w:line="420" w:lineRule="exact"/>
              <w:ind w:firstLine="0" w:firstLineChars="0"/>
              <w:rPr>
                <w:rFonts w:hint="default" w:ascii="Times New Roman" w:hAnsi="Times New Roman" w:cs="Times New Roman"/>
                <w:b/>
                <w:color w:val="auto"/>
                <w:szCs w:val="21"/>
                <w:lang w:val="de-DE"/>
              </w:rPr>
            </w:pPr>
            <w:r>
              <w:rPr>
                <w:rFonts w:hint="default" w:ascii="Times New Roman" w:hAnsi="Times New Roman" w:cs="Times New Roman"/>
                <w:b/>
                <w:color w:val="auto"/>
                <w:szCs w:val="21"/>
                <w:lang w:val="de-DE" w:eastAsia="zh-CN"/>
              </w:rPr>
              <w:t>一、</w:t>
            </w:r>
            <w:r>
              <w:rPr>
                <w:rFonts w:hint="default" w:ascii="Times New Roman" w:hAnsi="Times New Roman" w:cs="Times New Roman"/>
                <w:b/>
                <w:color w:val="auto"/>
                <w:szCs w:val="21"/>
                <w:lang w:val="de-DE"/>
              </w:rPr>
              <w:t>工艺流程</w:t>
            </w:r>
          </w:p>
          <w:p w14:paraId="621E717D">
            <w:pPr>
              <w:pStyle w:val="1042"/>
              <w:spacing w:line="420" w:lineRule="exact"/>
              <w:ind w:firstLine="422"/>
              <w:rPr>
                <w:rFonts w:hint="default" w:ascii="Times New Roman" w:hAnsi="Times New Roman" w:cs="Times New Roman"/>
                <w:b/>
                <w:color w:val="auto"/>
                <w:szCs w:val="21"/>
              </w:rPr>
            </w:pPr>
            <w:r>
              <w:rPr>
                <w:rFonts w:hint="default" w:ascii="Times New Roman" w:hAnsi="Times New Roman" w:cs="Times New Roman"/>
                <w:b/>
                <w:color w:val="auto"/>
                <w:szCs w:val="21"/>
              </w:rPr>
              <w:t>1、施工期</w:t>
            </w:r>
          </w:p>
          <w:p w14:paraId="547539DC">
            <w:pPr>
              <w:adjustRightInd w:val="0"/>
              <w:spacing w:line="400" w:lineRule="exact"/>
              <w:ind w:firstLine="420" w:firstLineChars="200"/>
              <w:rPr>
                <w:rFonts w:hint="default" w:ascii="Times New Roman" w:hAnsi="Times New Roman" w:cs="Times New Roman"/>
                <w:color w:val="auto"/>
              </w:rPr>
            </w:pPr>
            <w:r>
              <w:rPr>
                <w:rFonts w:hint="eastAsia" w:cs="Times New Roman"/>
                <w:color w:val="auto"/>
                <w:szCs w:val="24"/>
                <w:lang w:eastAsia="zh-CN"/>
              </w:rPr>
              <w:t>一期项目</w:t>
            </w:r>
            <w:r>
              <w:rPr>
                <w:rFonts w:hint="eastAsia" w:cs="Times New Roman"/>
                <w:color w:val="auto"/>
                <w:szCs w:val="24"/>
                <w:lang w:val="en-US" w:eastAsia="zh-CN"/>
              </w:rPr>
              <w:t>生产车间已基本建成，办公室依托现有，仓库新建，施工期主要是平整土地、厂房建设、设备布置</w:t>
            </w:r>
            <w:r>
              <w:rPr>
                <w:rFonts w:hint="default" w:ascii="Times New Roman" w:hAnsi="Times New Roman" w:cs="Times New Roman"/>
                <w:color w:val="auto"/>
              </w:rPr>
              <w:t>。</w:t>
            </w:r>
          </w:p>
          <w:p w14:paraId="50B372DF">
            <w:pPr>
              <w:tabs>
                <w:tab w:val="left" w:pos="1405"/>
              </w:tabs>
              <w:ind w:firstLine="667" w:firstLineChars="318"/>
              <w:rPr>
                <w:bCs/>
                <w:spacing w:val="6"/>
              </w:rPr>
            </w:pPr>
            <w:r>
              <mc:AlternateContent>
                <mc:Choice Requires="wpg">
                  <w:drawing>
                    <wp:anchor distT="0" distB="0" distL="114300" distR="114300" simplePos="0" relativeHeight="251663360" behindDoc="0" locked="0" layoutInCell="1" allowOverlap="1">
                      <wp:simplePos x="0" y="0"/>
                      <wp:positionH relativeFrom="column">
                        <wp:posOffset>368935</wp:posOffset>
                      </wp:positionH>
                      <wp:positionV relativeFrom="paragraph">
                        <wp:posOffset>127635</wp:posOffset>
                      </wp:positionV>
                      <wp:extent cx="4534535" cy="1708150"/>
                      <wp:effectExtent l="4445" t="5080" r="13970" b="20320"/>
                      <wp:wrapNone/>
                      <wp:docPr id="41" name="组合 41"/>
                      <wp:cNvGraphicFramePr/>
                      <a:graphic xmlns:a="http://schemas.openxmlformats.org/drawingml/2006/main">
                        <a:graphicData uri="http://schemas.microsoft.com/office/word/2010/wordprocessingGroup">
                          <wpg:wgp>
                            <wpg:cNvGrpSpPr/>
                            <wpg:grpSpPr>
                              <a:xfrm>
                                <a:off x="0" y="0"/>
                                <a:ext cx="4534535" cy="1708150"/>
                                <a:chOff x="0" y="0"/>
                                <a:chExt cx="7740" cy="3040"/>
                              </a:xfrm>
                              <a:effectLst/>
                            </wpg:grpSpPr>
                            <wps:wsp>
                              <wps:cNvPr id="16" name="文本框 4"/>
                              <wps:cNvSpPr txBox="1"/>
                              <wps:spPr>
                                <a:xfrm>
                                  <a:off x="4500" y="0"/>
                                  <a:ext cx="1080" cy="336"/>
                                </a:xfrm>
                                <a:prstGeom prst="rect">
                                  <a:avLst/>
                                </a:prstGeom>
                                <a:solidFill>
                                  <a:srgbClr val="FFFFFF"/>
                                </a:solidFill>
                                <a:ln w="9525" cap="flat" cmpd="sng">
                                  <a:solidFill>
                                    <a:srgbClr val="000000"/>
                                  </a:solidFill>
                                  <a:prstDash val="dash"/>
                                  <a:miter/>
                                  <a:headEnd type="none" w="med" len="med"/>
                                  <a:tailEnd type="none" w="med" len="med"/>
                                </a:ln>
                                <a:effectLst/>
                              </wps:spPr>
                              <wps:txbx>
                                <w:txbxContent>
                                  <w:p w14:paraId="6CD777C1">
                                    <w:pPr>
                                      <w:jc w:val="center"/>
                                    </w:pPr>
                                    <w:r>
                                      <w:rPr>
                                        <w:rFonts w:hint="eastAsia"/>
                                      </w:rPr>
                                      <w:t>噪声</w:t>
                                    </w:r>
                                  </w:p>
                                </w:txbxContent>
                              </wps:txbx>
                              <wps:bodyPr lIns="0" tIns="0" rIns="0" bIns="0" upright="1"/>
                            </wps:wsp>
                            <wps:wsp>
                              <wps:cNvPr id="17" name="文本框 5"/>
                              <wps:cNvSpPr txBox="1"/>
                              <wps:spPr>
                                <a:xfrm>
                                  <a:off x="4500" y="796"/>
                                  <a:ext cx="1080" cy="336"/>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17B77EC4">
                                    <w:pPr>
                                      <w:jc w:val="center"/>
                                    </w:pPr>
                                    <w:r>
                                      <w:rPr>
                                        <w:rFonts w:hint="eastAsia"/>
                                      </w:rPr>
                                      <w:t>施工期间</w:t>
                                    </w:r>
                                  </w:p>
                                </w:txbxContent>
                              </wps:txbx>
                              <wps:bodyPr lIns="0" tIns="0" rIns="0" bIns="0" upright="1"/>
                            </wps:wsp>
                            <wps:wsp>
                              <wps:cNvPr id="18" name="文本框 13"/>
                              <wps:cNvSpPr txBox="1"/>
                              <wps:spPr>
                                <a:xfrm>
                                  <a:off x="0" y="1888"/>
                                  <a:ext cx="1080" cy="336"/>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77548251">
                                    <w:pPr>
                                      <w:jc w:val="center"/>
                                    </w:pPr>
                                    <w:r>
                                      <w:rPr>
                                        <w:rFonts w:hint="eastAsia"/>
                                      </w:rPr>
                                      <w:t>清理场地</w:t>
                                    </w:r>
                                  </w:p>
                                </w:txbxContent>
                              </wps:txbx>
                              <wps:bodyPr lIns="0" tIns="0" rIns="0" bIns="0" upright="1"/>
                            </wps:wsp>
                            <wps:wsp>
                              <wps:cNvPr id="19" name="文本框 14"/>
                              <wps:cNvSpPr txBox="1"/>
                              <wps:spPr>
                                <a:xfrm>
                                  <a:off x="1440" y="1888"/>
                                  <a:ext cx="1080" cy="336"/>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41944764">
                                    <w:pPr>
                                      <w:jc w:val="center"/>
                                    </w:pPr>
                                    <w:r>
                                      <w:rPr>
                                        <w:rFonts w:hint="eastAsia"/>
                                      </w:rPr>
                                      <w:t>土石方</w:t>
                                    </w:r>
                                  </w:p>
                                </w:txbxContent>
                              </wps:txbx>
                              <wps:bodyPr lIns="0" tIns="0" rIns="0" bIns="0" upright="1"/>
                            </wps:wsp>
                            <wps:wsp>
                              <wps:cNvPr id="20" name="文本框 15"/>
                              <wps:cNvSpPr txBox="1"/>
                              <wps:spPr>
                                <a:xfrm>
                                  <a:off x="2880" y="1888"/>
                                  <a:ext cx="1080" cy="336"/>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4FD56F26">
                                    <w:pPr>
                                      <w:jc w:val="center"/>
                                    </w:pPr>
                                    <w:r>
                                      <w:rPr>
                                        <w:rFonts w:hint="eastAsia"/>
                                      </w:rPr>
                                      <w:t>基建工程</w:t>
                                    </w:r>
                                  </w:p>
                                </w:txbxContent>
                              </wps:txbx>
                              <wps:bodyPr lIns="0" tIns="0" rIns="0" bIns="0" upright="1"/>
                            </wps:wsp>
                            <wps:wsp>
                              <wps:cNvPr id="21" name="文本框 16"/>
                              <wps:cNvSpPr txBox="1"/>
                              <wps:spPr>
                                <a:xfrm>
                                  <a:off x="4320" y="1888"/>
                                  <a:ext cx="1080" cy="336"/>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224061FD">
                                    <w:pPr>
                                      <w:jc w:val="center"/>
                                    </w:pPr>
                                    <w:r>
                                      <w:rPr>
                                        <w:rFonts w:hint="eastAsia"/>
                                      </w:rPr>
                                      <w:t>安装设备</w:t>
                                    </w:r>
                                  </w:p>
                                </w:txbxContent>
                              </wps:txbx>
                              <wps:bodyPr lIns="0" tIns="0" rIns="0" bIns="0" upright="1"/>
                            </wps:wsp>
                            <wps:wsp>
                              <wps:cNvPr id="22" name="文本框 17"/>
                              <wps:cNvSpPr txBox="1"/>
                              <wps:spPr>
                                <a:xfrm>
                                  <a:off x="5760" y="1888"/>
                                  <a:ext cx="1080" cy="336"/>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794E5ADE">
                                    <w:pPr>
                                      <w:jc w:val="center"/>
                                    </w:pPr>
                                    <w:r>
                                      <w:rPr>
                                        <w:rFonts w:hint="eastAsia"/>
                                      </w:rPr>
                                      <w:t>扫尾</w:t>
                                    </w:r>
                                  </w:p>
                                </w:txbxContent>
                              </wps:txbx>
                              <wps:bodyPr lIns="0" tIns="0" rIns="0" bIns="0" upright="1"/>
                            </wps:wsp>
                            <wps:wsp>
                              <wps:cNvPr id="23" name="文本框 18"/>
                              <wps:cNvSpPr txBox="1"/>
                              <wps:spPr>
                                <a:xfrm>
                                  <a:off x="7200" y="1888"/>
                                  <a:ext cx="540" cy="336"/>
                                </a:xfrm>
                                <a:prstGeom prst="rect">
                                  <a:avLst/>
                                </a:prstGeom>
                                <a:solidFill>
                                  <a:srgbClr val="FFFFFF"/>
                                </a:solidFill>
                                <a:ln w="9525" cap="flat" cmpd="sng">
                                  <a:solidFill>
                                    <a:srgbClr val="000000"/>
                                  </a:solidFill>
                                  <a:prstDash val="dash"/>
                                  <a:miter/>
                                  <a:headEnd type="none" w="med" len="med"/>
                                  <a:tailEnd type="none" w="med" len="med"/>
                                </a:ln>
                                <a:effectLst/>
                              </wps:spPr>
                              <wps:txbx>
                                <w:txbxContent>
                                  <w:p w14:paraId="48F2E301">
                                    <w:r>
                                      <w:rPr>
                                        <w:rFonts w:hint="eastAsia"/>
                                      </w:rPr>
                                      <w:t>固废</w:t>
                                    </w:r>
                                  </w:p>
                                </w:txbxContent>
                              </wps:txbx>
                              <wps:bodyPr lIns="0" tIns="0" rIns="0" bIns="0" upright="1"/>
                            </wps:wsp>
                            <wps:wsp>
                              <wps:cNvPr id="24" name="直接连接符 19"/>
                              <wps:cNvCnPr/>
                              <wps:spPr>
                                <a:xfrm flipH="1">
                                  <a:off x="540" y="942"/>
                                  <a:ext cx="3960" cy="0"/>
                                </a:xfrm>
                                <a:prstGeom prst="line">
                                  <a:avLst/>
                                </a:prstGeom>
                                <a:ln w="9525" cap="flat" cmpd="sng">
                                  <a:solidFill>
                                    <a:srgbClr val="000000"/>
                                  </a:solidFill>
                                  <a:prstDash val="solid"/>
                                  <a:headEnd type="none" w="med" len="med"/>
                                  <a:tailEnd type="none" w="med" len="med"/>
                                </a:ln>
                                <a:effectLst/>
                              </wps:spPr>
                              <wps:bodyPr/>
                            </wps:wsp>
                            <wps:wsp>
                              <wps:cNvPr id="25" name="直接连接符 20"/>
                              <wps:cNvCnPr/>
                              <wps:spPr>
                                <a:xfrm>
                                  <a:off x="5580" y="942"/>
                                  <a:ext cx="720" cy="0"/>
                                </a:xfrm>
                                <a:prstGeom prst="line">
                                  <a:avLst/>
                                </a:prstGeom>
                                <a:ln w="9525" cap="flat" cmpd="sng">
                                  <a:solidFill>
                                    <a:srgbClr val="000000"/>
                                  </a:solidFill>
                                  <a:prstDash val="solid"/>
                                  <a:headEnd type="none" w="med" len="med"/>
                                  <a:tailEnd type="none" w="med" len="med"/>
                                </a:ln>
                                <a:effectLst/>
                              </wps:spPr>
                              <wps:bodyPr/>
                            </wps:wsp>
                            <wps:wsp>
                              <wps:cNvPr id="26" name="直接连接符 21"/>
                              <wps:cNvCnPr/>
                              <wps:spPr>
                                <a:xfrm>
                                  <a:off x="540" y="942"/>
                                  <a:ext cx="0" cy="936"/>
                                </a:xfrm>
                                <a:prstGeom prst="line">
                                  <a:avLst/>
                                </a:prstGeom>
                                <a:ln w="9525" cap="flat" cmpd="sng">
                                  <a:solidFill>
                                    <a:srgbClr val="000000"/>
                                  </a:solidFill>
                                  <a:prstDash val="solid"/>
                                  <a:headEnd type="none" w="med" len="med"/>
                                  <a:tailEnd type="triangle" w="med" len="med"/>
                                </a:ln>
                                <a:effectLst/>
                              </wps:spPr>
                              <wps:bodyPr/>
                            </wps:wsp>
                            <wps:wsp>
                              <wps:cNvPr id="27" name="直接连接符 22"/>
                              <wps:cNvCnPr/>
                              <wps:spPr>
                                <a:xfrm>
                                  <a:off x="1980" y="942"/>
                                  <a:ext cx="0" cy="936"/>
                                </a:xfrm>
                                <a:prstGeom prst="line">
                                  <a:avLst/>
                                </a:prstGeom>
                                <a:ln w="9525" cap="flat" cmpd="sng">
                                  <a:solidFill>
                                    <a:srgbClr val="000000"/>
                                  </a:solidFill>
                                  <a:prstDash val="solid"/>
                                  <a:headEnd type="none" w="med" len="med"/>
                                  <a:tailEnd type="triangle" w="med" len="med"/>
                                </a:ln>
                                <a:effectLst/>
                              </wps:spPr>
                              <wps:bodyPr/>
                            </wps:wsp>
                            <wps:wsp>
                              <wps:cNvPr id="28" name="直接连接符 23"/>
                              <wps:cNvCnPr/>
                              <wps:spPr>
                                <a:xfrm>
                                  <a:off x="3420" y="942"/>
                                  <a:ext cx="0" cy="936"/>
                                </a:xfrm>
                                <a:prstGeom prst="line">
                                  <a:avLst/>
                                </a:prstGeom>
                                <a:ln w="9525" cap="flat" cmpd="sng">
                                  <a:solidFill>
                                    <a:srgbClr val="000000"/>
                                  </a:solidFill>
                                  <a:prstDash val="solid"/>
                                  <a:headEnd type="none" w="med" len="med"/>
                                  <a:tailEnd type="triangle" w="med" len="med"/>
                                </a:ln>
                                <a:effectLst/>
                              </wps:spPr>
                              <wps:bodyPr/>
                            </wps:wsp>
                            <wps:wsp>
                              <wps:cNvPr id="29" name="直接连接符 24"/>
                              <wps:cNvCnPr/>
                              <wps:spPr>
                                <a:xfrm>
                                  <a:off x="6300" y="942"/>
                                  <a:ext cx="0" cy="936"/>
                                </a:xfrm>
                                <a:prstGeom prst="line">
                                  <a:avLst/>
                                </a:prstGeom>
                                <a:ln w="9525" cap="flat" cmpd="sng">
                                  <a:solidFill>
                                    <a:srgbClr val="000000"/>
                                  </a:solidFill>
                                  <a:prstDash val="solid"/>
                                  <a:headEnd type="none" w="med" len="med"/>
                                  <a:tailEnd type="triangle" w="med" len="med"/>
                                </a:ln>
                                <a:effectLst/>
                              </wps:spPr>
                              <wps:bodyPr/>
                            </wps:wsp>
                            <wps:wsp>
                              <wps:cNvPr id="30" name="直接连接符 25"/>
                              <wps:cNvCnPr/>
                              <wps:spPr>
                                <a:xfrm>
                                  <a:off x="1080" y="2044"/>
                                  <a:ext cx="360" cy="0"/>
                                </a:xfrm>
                                <a:prstGeom prst="line">
                                  <a:avLst/>
                                </a:prstGeom>
                                <a:ln w="9525" cap="flat" cmpd="sng">
                                  <a:solidFill>
                                    <a:srgbClr val="000000"/>
                                  </a:solidFill>
                                  <a:prstDash val="solid"/>
                                  <a:headEnd type="none" w="med" len="med"/>
                                  <a:tailEnd type="triangle" w="med" len="med"/>
                                </a:ln>
                                <a:effectLst/>
                              </wps:spPr>
                              <wps:bodyPr/>
                            </wps:wsp>
                            <wps:wsp>
                              <wps:cNvPr id="31" name="直接连接符 26"/>
                              <wps:cNvCnPr/>
                              <wps:spPr>
                                <a:xfrm>
                                  <a:off x="2520" y="2044"/>
                                  <a:ext cx="360" cy="0"/>
                                </a:xfrm>
                                <a:prstGeom prst="line">
                                  <a:avLst/>
                                </a:prstGeom>
                                <a:ln w="9525" cap="flat" cmpd="sng">
                                  <a:solidFill>
                                    <a:srgbClr val="000000"/>
                                  </a:solidFill>
                                  <a:prstDash val="solid"/>
                                  <a:headEnd type="none" w="med" len="med"/>
                                  <a:tailEnd type="triangle" w="med" len="med"/>
                                </a:ln>
                                <a:effectLst/>
                              </wps:spPr>
                              <wps:bodyPr/>
                            </wps:wsp>
                            <wps:wsp>
                              <wps:cNvPr id="32" name="直接连接符 27"/>
                              <wps:cNvCnPr/>
                              <wps:spPr>
                                <a:xfrm>
                                  <a:off x="3960" y="2044"/>
                                  <a:ext cx="360" cy="0"/>
                                </a:xfrm>
                                <a:prstGeom prst="line">
                                  <a:avLst/>
                                </a:prstGeom>
                                <a:ln w="9525" cap="flat" cmpd="sng">
                                  <a:solidFill>
                                    <a:srgbClr val="000000"/>
                                  </a:solidFill>
                                  <a:prstDash val="solid"/>
                                  <a:headEnd type="none" w="med" len="med"/>
                                  <a:tailEnd type="triangle" w="med" len="med"/>
                                </a:ln>
                                <a:effectLst/>
                              </wps:spPr>
                              <wps:bodyPr/>
                            </wps:wsp>
                            <wps:wsp>
                              <wps:cNvPr id="33" name="直接连接符 28"/>
                              <wps:cNvCnPr/>
                              <wps:spPr>
                                <a:xfrm>
                                  <a:off x="5400" y="2044"/>
                                  <a:ext cx="360" cy="0"/>
                                </a:xfrm>
                                <a:prstGeom prst="line">
                                  <a:avLst/>
                                </a:prstGeom>
                                <a:ln w="9525" cap="flat" cmpd="sng">
                                  <a:solidFill>
                                    <a:srgbClr val="000000"/>
                                  </a:solidFill>
                                  <a:prstDash val="solid"/>
                                  <a:headEnd type="none" w="med" len="med"/>
                                  <a:tailEnd type="triangle" w="med" len="med"/>
                                </a:ln>
                                <a:effectLst/>
                              </wps:spPr>
                              <wps:bodyPr/>
                            </wps:wsp>
                            <wps:wsp>
                              <wps:cNvPr id="34" name="直接连接符 29"/>
                              <wps:cNvCnPr/>
                              <wps:spPr>
                                <a:xfrm>
                                  <a:off x="6840" y="2044"/>
                                  <a:ext cx="360" cy="0"/>
                                </a:xfrm>
                                <a:prstGeom prst="line">
                                  <a:avLst/>
                                </a:prstGeom>
                                <a:ln w="9525" cap="flat" cmpd="sng">
                                  <a:solidFill>
                                    <a:srgbClr val="000000"/>
                                  </a:solidFill>
                                  <a:prstDash val="dash"/>
                                  <a:headEnd type="none" w="med" len="med"/>
                                  <a:tailEnd type="triangle" w="med" len="med"/>
                                </a:ln>
                                <a:effectLst/>
                              </wps:spPr>
                              <wps:bodyPr/>
                            </wps:wsp>
                            <wps:wsp>
                              <wps:cNvPr id="35" name="直接连接符 30"/>
                              <wps:cNvCnPr/>
                              <wps:spPr>
                                <a:xfrm flipV="1">
                                  <a:off x="5040" y="328"/>
                                  <a:ext cx="0" cy="468"/>
                                </a:xfrm>
                                <a:prstGeom prst="line">
                                  <a:avLst/>
                                </a:prstGeom>
                                <a:ln w="9525" cap="flat" cmpd="sng">
                                  <a:solidFill>
                                    <a:srgbClr val="000000"/>
                                  </a:solidFill>
                                  <a:prstDash val="dash"/>
                                  <a:headEnd type="none" w="med" len="med"/>
                                  <a:tailEnd type="triangle" w="med" len="med"/>
                                </a:ln>
                                <a:effectLst/>
                              </wps:spPr>
                              <wps:bodyPr/>
                            </wps:wsp>
                            <wps:wsp>
                              <wps:cNvPr id="36" name="直接连接符 31"/>
                              <wps:cNvCnPr/>
                              <wps:spPr>
                                <a:xfrm>
                                  <a:off x="540" y="2226"/>
                                  <a:ext cx="0" cy="468"/>
                                </a:xfrm>
                                <a:prstGeom prst="line">
                                  <a:avLst/>
                                </a:prstGeom>
                                <a:ln w="9525" cap="flat" cmpd="sng">
                                  <a:solidFill>
                                    <a:srgbClr val="000000"/>
                                  </a:solidFill>
                                  <a:prstDash val="dash"/>
                                  <a:headEnd type="none" w="med" len="med"/>
                                  <a:tailEnd type="triangle" w="med" len="med"/>
                                </a:ln>
                                <a:effectLst/>
                              </wps:spPr>
                              <wps:bodyPr/>
                            </wps:wsp>
                            <wps:wsp>
                              <wps:cNvPr id="37" name="直接连接符 32"/>
                              <wps:cNvCnPr/>
                              <wps:spPr>
                                <a:xfrm>
                                  <a:off x="1980" y="2226"/>
                                  <a:ext cx="0" cy="468"/>
                                </a:xfrm>
                                <a:prstGeom prst="line">
                                  <a:avLst/>
                                </a:prstGeom>
                                <a:ln w="9525" cap="flat" cmpd="sng">
                                  <a:solidFill>
                                    <a:srgbClr val="000000"/>
                                  </a:solidFill>
                                  <a:prstDash val="dash"/>
                                  <a:headEnd type="none" w="med" len="med"/>
                                  <a:tailEnd type="triangle" w="med" len="med"/>
                                </a:ln>
                                <a:effectLst/>
                              </wps:spPr>
                              <wps:bodyPr/>
                            </wps:wsp>
                            <wps:wsp>
                              <wps:cNvPr id="38" name="直接连接符 33"/>
                              <wps:cNvCnPr/>
                              <wps:spPr>
                                <a:xfrm>
                                  <a:off x="3420" y="2226"/>
                                  <a:ext cx="0" cy="468"/>
                                </a:xfrm>
                                <a:prstGeom prst="line">
                                  <a:avLst/>
                                </a:prstGeom>
                                <a:ln w="9525" cap="flat" cmpd="sng">
                                  <a:solidFill>
                                    <a:srgbClr val="000000"/>
                                  </a:solidFill>
                                  <a:prstDash val="dash"/>
                                  <a:headEnd type="none" w="med" len="med"/>
                                  <a:tailEnd type="triangle" w="med" len="med"/>
                                </a:ln>
                                <a:effectLst/>
                              </wps:spPr>
                              <wps:bodyPr/>
                            </wps:wsp>
                            <wps:wsp>
                              <wps:cNvPr id="39" name="直接连接符 34"/>
                              <wps:cNvCnPr/>
                              <wps:spPr>
                                <a:xfrm>
                                  <a:off x="4860" y="2226"/>
                                  <a:ext cx="0" cy="468"/>
                                </a:xfrm>
                                <a:prstGeom prst="line">
                                  <a:avLst/>
                                </a:prstGeom>
                                <a:ln w="9525" cap="flat" cmpd="sng">
                                  <a:solidFill>
                                    <a:srgbClr val="000000"/>
                                  </a:solidFill>
                                  <a:prstDash val="dash"/>
                                  <a:headEnd type="none" w="med" len="med"/>
                                  <a:tailEnd type="triangle" w="med" len="med"/>
                                </a:ln>
                                <a:effectLst/>
                              </wps:spPr>
                              <wps:bodyPr/>
                            </wps:wsp>
                            <wps:wsp>
                              <wps:cNvPr id="40" name="直接连接符 35"/>
                              <wps:cNvCnPr/>
                              <wps:spPr>
                                <a:xfrm>
                                  <a:off x="6300" y="2226"/>
                                  <a:ext cx="0" cy="468"/>
                                </a:xfrm>
                                <a:prstGeom prst="line">
                                  <a:avLst/>
                                </a:prstGeom>
                                <a:ln w="9525" cap="flat" cmpd="sng">
                                  <a:solidFill>
                                    <a:srgbClr val="000000"/>
                                  </a:solidFill>
                                  <a:prstDash val="dash"/>
                                  <a:headEnd type="none" w="med" len="med"/>
                                  <a:tailEnd type="triangle" w="med" len="med"/>
                                </a:ln>
                                <a:effectLst/>
                              </wps:spPr>
                              <wps:bodyPr/>
                            </wps:wsp>
                            <wps:wsp>
                              <wps:cNvPr id="42" name="文本框 36"/>
                              <wps:cNvSpPr txBox="1"/>
                              <wps:spPr>
                                <a:xfrm>
                                  <a:off x="270" y="2704"/>
                                  <a:ext cx="540" cy="336"/>
                                </a:xfrm>
                                <a:prstGeom prst="rect">
                                  <a:avLst/>
                                </a:prstGeom>
                                <a:solidFill>
                                  <a:srgbClr val="FFFFFF"/>
                                </a:solidFill>
                                <a:ln w="9525" cap="flat" cmpd="sng">
                                  <a:solidFill>
                                    <a:srgbClr val="000000"/>
                                  </a:solidFill>
                                  <a:prstDash val="dash"/>
                                  <a:miter/>
                                  <a:headEnd type="none" w="med" len="med"/>
                                  <a:tailEnd type="none" w="med" len="med"/>
                                </a:ln>
                                <a:effectLst/>
                              </wps:spPr>
                              <wps:txbx>
                                <w:txbxContent>
                                  <w:p w14:paraId="231532CA">
                                    <w:pPr>
                                      <w:jc w:val="center"/>
                                    </w:pPr>
                                    <w:r>
                                      <w:rPr>
                                        <w:rFonts w:hint="eastAsia"/>
                                      </w:rPr>
                                      <w:t>扬尘</w:t>
                                    </w:r>
                                  </w:p>
                                </w:txbxContent>
                              </wps:txbx>
                              <wps:bodyPr lIns="0" tIns="0" rIns="0" bIns="0" upright="1"/>
                            </wps:wsp>
                            <wps:wsp>
                              <wps:cNvPr id="43" name="文本框 37"/>
                              <wps:cNvSpPr txBox="1"/>
                              <wps:spPr>
                                <a:xfrm>
                                  <a:off x="1710" y="2704"/>
                                  <a:ext cx="540" cy="336"/>
                                </a:xfrm>
                                <a:prstGeom prst="rect">
                                  <a:avLst/>
                                </a:prstGeom>
                                <a:solidFill>
                                  <a:srgbClr val="FFFFFF"/>
                                </a:solidFill>
                                <a:ln w="9525" cap="flat" cmpd="sng">
                                  <a:solidFill>
                                    <a:srgbClr val="000000"/>
                                  </a:solidFill>
                                  <a:prstDash val="dash"/>
                                  <a:miter/>
                                  <a:headEnd type="none" w="med" len="med"/>
                                  <a:tailEnd type="none" w="med" len="med"/>
                                </a:ln>
                                <a:effectLst/>
                              </wps:spPr>
                              <wps:txbx>
                                <w:txbxContent>
                                  <w:p w14:paraId="56B70BC1">
                                    <w:pPr>
                                      <w:jc w:val="center"/>
                                    </w:pPr>
                                    <w:r>
                                      <w:rPr>
                                        <w:rFonts w:hint="eastAsia"/>
                                      </w:rPr>
                                      <w:t>扬尘</w:t>
                                    </w:r>
                                  </w:p>
                                </w:txbxContent>
                              </wps:txbx>
                              <wps:bodyPr lIns="0" tIns="0" rIns="0" bIns="0" upright="1"/>
                            </wps:wsp>
                            <wps:wsp>
                              <wps:cNvPr id="44" name="文本框 38"/>
                              <wps:cNvSpPr txBox="1"/>
                              <wps:spPr>
                                <a:xfrm>
                                  <a:off x="3150" y="2704"/>
                                  <a:ext cx="540" cy="336"/>
                                </a:xfrm>
                                <a:prstGeom prst="rect">
                                  <a:avLst/>
                                </a:prstGeom>
                                <a:solidFill>
                                  <a:srgbClr val="FFFFFF"/>
                                </a:solidFill>
                                <a:ln w="9525" cap="flat" cmpd="sng">
                                  <a:solidFill>
                                    <a:srgbClr val="000000"/>
                                  </a:solidFill>
                                  <a:prstDash val="dash"/>
                                  <a:miter/>
                                  <a:headEnd type="none" w="med" len="med"/>
                                  <a:tailEnd type="none" w="med" len="med"/>
                                </a:ln>
                                <a:effectLst/>
                              </wps:spPr>
                              <wps:txbx>
                                <w:txbxContent>
                                  <w:p w14:paraId="4E70C4B4">
                                    <w:pPr>
                                      <w:jc w:val="center"/>
                                    </w:pPr>
                                    <w:r>
                                      <w:rPr>
                                        <w:rFonts w:hint="eastAsia"/>
                                      </w:rPr>
                                      <w:t>扬尘</w:t>
                                    </w:r>
                                  </w:p>
                                </w:txbxContent>
                              </wps:txbx>
                              <wps:bodyPr lIns="0" tIns="0" rIns="0" bIns="0" upright="1"/>
                            </wps:wsp>
                            <wps:wsp>
                              <wps:cNvPr id="45" name="文本框 39"/>
                              <wps:cNvSpPr txBox="1"/>
                              <wps:spPr>
                                <a:xfrm>
                                  <a:off x="4590" y="2704"/>
                                  <a:ext cx="540" cy="336"/>
                                </a:xfrm>
                                <a:prstGeom prst="rect">
                                  <a:avLst/>
                                </a:prstGeom>
                                <a:solidFill>
                                  <a:srgbClr val="FFFFFF"/>
                                </a:solidFill>
                                <a:ln w="9525" cap="flat" cmpd="sng">
                                  <a:solidFill>
                                    <a:srgbClr val="000000"/>
                                  </a:solidFill>
                                  <a:prstDash val="dash"/>
                                  <a:miter/>
                                  <a:headEnd type="none" w="med" len="med"/>
                                  <a:tailEnd type="none" w="med" len="med"/>
                                </a:ln>
                                <a:effectLst/>
                              </wps:spPr>
                              <wps:txbx>
                                <w:txbxContent>
                                  <w:p w14:paraId="30AA449E">
                                    <w:pPr>
                                      <w:jc w:val="center"/>
                                    </w:pPr>
                                    <w:r>
                                      <w:rPr>
                                        <w:rFonts w:hint="eastAsia"/>
                                      </w:rPr>
                                      <w:t>固废</w:t>
                                    </w:r>
                                  </w:p>
                                  <w:p w14:paraId="3DFD6DD0"/>
                                </w:txbxContent>
                              </wps:txbx>
                              <wps:bodyPr lIns="0" tIns="0" rIns="0" bIns="0" upright="1"/>
                            </wps:wsp>
                            <wps:wsp>
                              <wps:cNvPr id="46" name="文本框 40"/>
                              <wps:cNvSpPr txBox="1"/>
                              <wps:spPr>
                                <a:xfrm>
                                  <a:off x="6030" y="2704"/>
                                  <a:ext cx="540" cy="336"/>
                                </a:xfrm>
                                <a:prstGeom prst="rect">
                                  <a:avLst/>
                                </a:prstGeom>
                                <a:solidFill>
                                  <a:srgbClr val="FFFFFF"/>
                                </a:solidFill>
                                <a:ln w="9525" cap="flat" cmpd="sng">
                                  <a:solidFill>
                                    <a:srgbClr val="000000"/>
                                  </a:solidFill>
                                  <a:prstDash val="dash"/>
                                  <a:miter/>
                                  <a:headEnd type="none" w="med" len="med"/>
                                  <a:tailEnd type="none" w="med" len="med"/>
                                </a:ln>
                                <a:effectLst/>
                              </wps:spPr>
                              <wps:txbx>
                                <w:txbxContent>
                                  <w:p w14:paraId="4A98676B">
                                    <w:pPr>
                                      <w:jc w:val="center"/>
                                    </w:pPr>
                                    <w:r>
                                      <w:rPr>
                                        <w:rFonts w:hint="eastAsia"/>
                                      </w:rPr>
                                      <w:t>扬尘</w:t>
                                    </w:r>
                                  </w:p>
                                </w:txbxContent>
                              </wps:txbx>
                              <wps:bodyPr lIns="0" tIns="0" rIns="0" bIns="0" upright="1"/>
                            </wps:wsp>
                          </wpg:wgp>
                        </a:graphicData>
                      </a:graphic>
                    </wp:anchor>
                  </w:drawing>
                </mc:Choice>
                <mc:Fallback>
                  <w:pict>
                    <v:group id="_x0000_s1026" o:spid="_x0000_s1026" o:spt="203" style="position:absolute;left:0pt;margin-left:29.05pt;margin-top:10.05pt;height:134.5pt;width:357.05pt;z-index:251663360;mso-width-relative:page;mso-height-relative:page;" coordsize="7740,3040" o:gfxdata="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">
                      <o:lock v:ext="edit" aspectratio="f"/>
                      <v:shape id="文本框 4" o:spid="_x0000_s1026" o:spt="202" type="#_x0000_t202" style="position:absolute;left:4500;top:0;height:336;width:1080;" fillcolor="#FFFFFF" filled="t" stroked="t" coordsize="21600,21600" o:gfxdata="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xzlYrsAAADb&#10;AAAADwAAAAAAAAABACAAAAAiAAAAZHJzL2Rvd25yZXYueG1sUEsBAhQAFAAAAAgAh07iQDMvBZ47&#10;AAAAOQAAABAAAAAAAAAAAQAgAAAACgEAAGRycy9zaGFwZXhtbC54bWxQSwUGAAAAAAYABgBbAQAA&#10;tAMAAAAA&#10;">
                        <v:fill on="t" focussize="0,0"/>
                        <v:stroke color="#000000" joinstyle="miter" dashstyle="dash"/>
                        <v:imagedata o:title=""/>
                        <o:lock v:ext="edit" aspectratio="f"/>
                        <v:textbox inset="0mm,0mm,0mm,0mm">
                          <w:txbxContent>
                            <w:p w14:paraId="6CD777C1">
                              <w:pPr>
                                <w:jc w:val="center"/>
                              </w:pPr>
                              <w:r>
                                <w:rPr>
                                  <w:rFonts w:hint="eastAsia"/>
                                </w:rPr>
                                <w:t>噪声</w:t>
                              </w:r>
                            </w:p>
                          </w:txbxContent>
                        </v:textbox>
                      </v:shape>
                      <v:shape id="文本框 5" o:spid="_x0000_s1026" o:spt="202" type="#_x0000_t202" style="position:absolute;left:4500;top:796;height:336;width:1080;" fillcolor="#FFFFFF" filled="t" stroked="t" coordsize="21600,21600" o:gfxdata="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Korjr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mm,0mm,0mm,0mm">
                          <w:txbxContent>
                            <w:p w14:paraId="17B77EC4">
                              <w:pPr>
                                <w:jc w:val="center"/>
                              </w:pPr>
                              <w:r>
                                <w:rPr>
                                  <w:rFonts w:hint="eastAsia"/>
                                </w:rPr>
                                <w:t>施工期间</w:t>
                              </w:r>
                            </w:p>
                          </w:txbxContent>
                        </v:textbox>
                      </v:shape>
                      <v:shape id="文本框 13" o:spid="_x0000_s1026" o:spt="202" type="#_x0000_t202" style="position:absolute;left:0;top:1888;height:336;width:1080;" fillcolor="#FFFFFF" filled="t" stroked="t" coordsize="21600,21600" o:gfxdata="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9Nb/8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14:paraId="77548251">
                              <w:pPr>
                                <w:jc w:val="center"/>
                              </w:pPr>
                              <w:r>
                                <w:rPr>
                                  <w:rFonts w:hint="eastAsia"/>
                                </w:rPr>
                                <w:t>清理场地</w:t>
                              </w:r>
                            </w:p>
                          </w:txbxContent>
                        </v:textbox>
                      </v:shape>
                      <v:shape id="文本框 14" o:spid="_x0000_s1026" o:spt="202" type="#_x0000_t202" style="position:absolute;left:1440;top:1888;height:336;width:1080;" fillcolor="#FFFFFF" filled="t" stroked="t" coordsize="21600,21600" o:gfxdata="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J5Gme5AAAA2w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inset="0mm,0mm,0mm,0mm">
                          <w:txbxContent>
                            <w:p w14:paraId="41944764">
                              <w:pPr>
                                <w:jc w:val="center"/>
                              </w:pPr>
                              <w:r>
                                <w:rPr>
                                  <w:rFonts w:hint="eastAsia"/>
                                </w:rPr>
                                <w:t>土石方</w:t>
                              </w:r>
                            </w:p>
                          </w:txbxContent>
                        </v:textbox>
                      </v:shape>
                      <v:shape id="文本框 15" o:spid="_x0000_s1026" o:spt="202" type="#_x0000_t202" style="position:absolute;left:2880;top:1888;height:336;width:1080;" fillcolor="#FFFFFF" filled="t" stroked="t" coordsize="21600,21600" o:gfxdata="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0veUe5AAAA2w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inset="0mm,0mm,0mm,0mm">
                          <w:txbxContent>
                            <w:p w14:paraId="4FD56F26">
                              <w:pPr>
                                <w:jc w:val="center"/>
                              </w:pPr>
                              <w:r>
                                <w:rPr>
                                  <w:rFonts w:hint="eastAsia"/>
                                </w:rPr>
                                <w:t>基建工程</w:t>
                              </w:r>
                            </w:p>
                          </w:txbxContent>
                        </v:textbox>
                      </v:shape>
                      <v:shape id="文本框 16" o:spid="_x0000_s1026" o:spt="202" type="#_x0000_t202" style="position:absolute;left:4320;top:1888;height:336;width:1080;" fillcolor="#FFFFFF" filled="t" stroked="t" coordsize="21600,21600" o:gfxdata="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Jj3Ny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0mm,0mm,0mm">
                          <w:txbxContent>
                            <w:p w14:paraId="224061FD">
                              <w:pPr>
                                <w:jc w:val="center"/>
                              </w:pPr>
                              <w:r>
                                <w:rPr>
                                  <w:rFonts w:hint="eastAsia"/>
                                </w:rPr>
                                <w:t>安装设备</w:t>
                              </w:r>
                            </w:p>
                          </w:txbxContent>
                        </v:textbox>
                      </v:shape>
                      <v:shape id="文本框 17" o:spid="_x0000_s1026" o:spt="202" type="#_x0000_t202" style="position:absolute;left:5760;top:1888;height:336;width:1080;" fillcolor="#FFFFFF" filled="t" stroked="t" coordsize="21600,21600" o:gfxdata="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rFCq7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mm,0mm,0mm,0mm">
                          <w:txbxContent>
                            <w:p w14:paraId="794E5ADE">
                              <w:pPr>
                                <w:jc w:val="center"/>
                              </w:pPr>
                              <w:r>
                                <w:rPr>
                                  <w:rFonts w:hint="eastAsia"/>
                                </w:rPr>
                                <w:t>扫尾</w:t>
                              </w:r>
                            </w:p>
                          </w:txbxContent>
                        </v:textbox>
                      </v:shape>
                      <v:shape id="文本框 18" o:spid="_x0000_s1026" o:spt="202" type="#_x0000_t202" style="position:absolute;left:7200;top:1888;height:336;width:540;" fillcolor="#FFFFFF" filled="t" stroked="t" coordsize="21600,21600" o:gfxdata="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EHjEe/&#10;AAAA2wAAAA8AAAAAAAAAAQAgAAAAIgAAAGRycy9kb3ducmV2LnhtbFBLAQIUABQAAAAIAIdO4kAz&#10;LwWeOwAAADkAAAAQAAAAAAAAAAEAIAAAAA4BAABkcnMvc2hhcGV4bWwueG1sUEsFBgAAAAAGAAYA&#10;WwEAALgDAAAAAA==&#10;">
                        <v:fill on="t" focussize="0,0"/>
                        <v:stroke color="#000000" joinstyle="miter" dashstyle="dash"/>
                        <v:imagedata o:title=""/>
                        <o:lock v:ext="edit" aspectratio="f"/>
                        <v:textbox inset="0mm,0mm,0mm,0mm">
                          <w:txbxContent>
                            <w:p w14:paraId="48F2E301">
                              <w:r>
                                <w:rPr>
                                  <w:rFonts w:hint="eastAsia"/>
                                </w:rPr>
                                <w:t>固废</w:t>
                              </w:r>
                            </w:p>
                          </w:txbxContent>
                        </v:textbox>
                      </v:shape>
                      <v:line id="直接连接符 19" o:spid="_x0000_s1026" o:spt="20" style="position:absolute;left:540;top:942;flip:x;height:0;width:3960;" filled="f" stroked="t" coordsize="21600,21600" o:gfxdata="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dlIjy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接连接符 20" o:spid="_x0000_s1026" o:spt="20" style="position:absolute;left:5580;top:942;height:0;width:720;" filled="f" stroked="t" coordsize="21600,21600" o:gfxdata="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J7mN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接连接符 21" o:spid="_x0000_s1026" o:spt="20" style="position:absolute;left:540;top:942;height:936;width:0;" filled="f" stroked="t" coordsize="21600,21600" o:gfxdata="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2AL+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接连接符 22" o:spid="_x0000_s1026" o:spt="20" style="position:absolute;left:1980;top:942;height:936;width:0;" filled="f" stroked="t" coordsize="21600,21600" o:gfxdata="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gsrmK/&#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接连接符 23" o:spid="_x0000_s1026" o:spt="20" style="position:absolute;left:3420;top:942;height:936;width:0;" filled="f" stroked="t" coordsize="21600,21600" o:gfxdata="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mzOhC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line id="直接连接符 24" o:spid="_x0000_s1026" o:spt="20" style="position:absolute;left:6300;top:942;height:936;width:0;" filled="f" stroked="t" coordsize="21600,21600" o:gfxdata="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b/n4u/&#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接连接符 25" o:spid="_x0000_s1026" o:spt="20" style="position:absolute;left:1080;top:2044;height:0;width:360;" filled="f" stroked="t" coordsize="21600,21600" o:gfxdata="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hygy7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直接连接符 26" o:spid="_x0000_s1026" o:spt="20" style="position:absolute;left:2520;top:2044;height:0;width:360;" filled="f" stroked="t" coordsize="21600,21600" o:gfxdata="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VAFU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接连接符 27" o:spid="_x0000_s1026" o:spt="20" style="position:absolute;left:3960;top:2044;height:0;width:360;" filled="f" stroked="t" coordsize="21600,21600" o:gfxdata="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2Cmye/&#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接连接符 28" o:spid="_x0000_s1026" o:spt="20" style="position:absolute;left:5400;top:2044;height:0;width:360;" filled="f" stroked="t" coordsize="21600,21600" o:gfxdata="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s4+v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接连接符 29" o:spid="_x0000_s1026" o:spt="20" style="position:absolute;left:6840;top:2044;height:0;width:360;" filled="f" stroked="t" coordsize="21600,21600" o:gfxdata="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I52RK/&#10;AAAA2wAAAA8AAAAAAAAAAQAgAAAAIgAAAGRycy9kb3ducmV2LnhtbFBLAQIUABQAAAAIAIdO4kAz&#10;LwWeOwAAADkAAAAQAAAAAAAAAAEAIAAAAA4BAABkcnMvc2hhcGV4bWwueG1sUEsFBgAAAAAGAAYA&#10;WwEAALgDAAAAAA==&#10;">
                        <v:fill on="f" focussize="0,0"/>
                        <v:stroke color="#000000" joinstyle="round" dashstyle="dash" endarrow="block"/>
                        <v:imagedata o:title=""/>
                        <o:lock v:ext="edit" aspectratio="f"/>
                      </v:line>
                      <v:line id="直接连接符 30" o:spid="_x0000_s1026" o:spt="20" style="position:absolute;left:5040;top:328;flip:y;height:468;width:0;" filled="f" stroked="t" coordsize="21600,21600" o:gfxdata="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GGOtK5AAAA2wAA&#10;AA8AAAAAAAAAAQAgAAAAIgAAAGRycy9kb3ducmV2LnhtbFBLAQIUABQAAAAIAIdO4kAzLwWeOwAA&#10;ADkAAAAQAAAAAAAAAAEAIAAAAAgBAABkcnMvc2hhcGV4bWwueG1sUEsFBgAAAAAGAAYAWwEAALID&#10;AAAAAA==&#10;">
                        <v:fill on="f" focussize="0,0"/>
                        <v:stroke color="#000000" joinstyle="round" dashstyle="dash" endarrow="block"/>
                        <v:imagedata o:title=""/>
                        <o:lock v:ext="edit" aspectratio="f"/>
                      </v:line>
                      <v:line id="直接连接符 31" o:spid="_x0000_s1026" o:spt="20" style="position:absolute;left:540;top:2226;height:468;width:0;" filled="f" stroked="t" coordsize="21600,21600" o:gfxdata="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afi/r4A&#10;AADbAAAADwAAAAAAAAABACAAAAAiAAAAZHJzL2Rvd25yZXYueG1sUEsBAhQAFAAAAAgAh07iQDMv&#10;BZ47AAAAOQAAABAAAAAAAAAAAQAgAAAADQEAAGRycy9zaGFwZXhtbC54bWxQSwUGAAAAAAYABgBb&#10;AQAAtwMAAAAA&#10;">
                        <v:fill on="f" focussize="0,0"/>
                        <v:stroke color="#000000" joinstyle="round" dashstyle="dash" endarrow="block"/>
                        <v:imagedata o:title=""/>
                        <o:lock v:ext="edit" aspectratio="f"/>
                      </v:line>
                      <v:line id="直接连接符 32" o:spid="_x0000_s1026" o:spt="20" style="position:absolute;left:1980;top:2226;height:468;width:0;" filled="f" stroked="t" coordsize="21600,21600" o:gfxdata="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60dl&#10;wAAAANsAAAAPAAAAAAAAAAEAIAAAACIAAABkcnMvZG93bnJldi54bWxQSwECFAAUAAAACACHTuJA&#10;My8FnjsAAAA5AAAAEAAAAAAAAAABACAAAAAPAQAAZHJzL3NoYXBleG1sLnhtbFBLBQYAAAAABgAG&#10;AFsBAAC5AwAAAAA=&#10;">
                        <v:fill on="f" focussize="0,0"/>
                        <v:stroke color="#000000" joinstyle="round" dashstyle="dash" endarrow="block"/>
                        <v:imagedata o:title=""/>
                        <o:lock v:ext="edit" aspectratio="f"/>
                      </v:line>
                      <v:line id="直接连接符 33" o:spid="_x0000_s1026" o:spt="20" style="position:absolute;left:3420;top:2226;height:468;width:0;" filled="f" stroked="t" coordsize="21600,21600" o:gfxdata="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3TTF7sAAADb&#10;AAAADwAAAAAAAAABACAAAAAiAAAAZHJzL2Rvd25yZXYueG1sUEsBAhQAFAAAAAgAh07iQDMvBZ47&#10;AAAAOQAAABAAAAAAAAAAAQAgAAAACgEAAGRycy9zaGFwZXhtbC54bWxQSwUGAAAAAAYABgBbAQAA&#10;tAMAAAAA&#10;">
                        <v:fill on="f" focussize="0,0"/>
                        <v:stroke color="#000000" joinstyle="round" dashstyle="dash" endarrow="block"/>
                        <v:imagedata o:title=""/>
                        <o:lock v:ext="edit" aspectratio="f"/>
                      </v:line>
                      <v:line id="直接连接符 34" o:spid="_x0000_s1026" o:spt="20" style="position:absolute;left:4860;top:2226;height:468;width:0;" filled="f" stroked="t" coordsize="21600,21600" o:gfxdata="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sOHaM&#10;wAAAANsAAAAPAAAAAAAAAAEAIAAAACIAAABkcnMvZG93bnJldi54bWxQSwECFAAUAAAACACHTuJA&#10;My8FnjsAAAA5AAAAEAAAAAAAAAABACAAAAAPAQAAZHJzL3NoYXBleG1sLnhtbFBLBQYAAAAABgAG&#10;AFsBAAC5AwAAAAA=&#10;">
                        <v:fill on="f" focussize="0,0"/>
                        <v:stroke color="#000000" joinstyle="round" dashstyle="dash" endarrow="block"/>
                        <v:imagedata o:title=""/>
                        <o:lock v:ext="edit" aspectratio="f"/>
                      </v:line>
                      <v:line id="直接连接符 35" o:spid="_x0000_s1026" o:spt="20" style="position:absolute;left:6300;top:2226;height:468;width:0;" filled="f" stroked="t" coordsize="21600,21600" o:gfxdata="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UErGy8AAAA&#10;2wAAAA8AAAAAAAAAAQAgAAAAIgAAAGRycy9kb3ducmV2LnhtbFBLAQIUABQAAAAIAIdO4kAzLwWe&#10;OwAAADkAAAAQAAAAAAAAAAEAIAAAAAsBAABkcnMvc2hhcGV4bWwueG1sUEsFBgAAAAAGAAYAWwEA&#10;ALUDAAAAAA==&#10;">
                        <v:fill on="f" focussize="0,0"/>
                        <v:stroke color="#000000" joinstyle="round" dashstyle="dash" endarrow="block"/>
                        <v:imagedata o:title=""/>
                        <o:lock v:ext="edit" aspectratio="f"/>
                      </v:line>
                      <v:shape id="文本框 36" o:spid="_x0000_s1026" o:spt="202" type="#_x0000_t202" style="position:absolute;left:270;top:2704;height:336;width:540;" fillcolor="#FFFFFF" filled="t" stroked="t" coordsize="21600,21600" o:gfxdata="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5TMfL4A&#10;AADbAAAADwAAAAAAAAABACAAAAAiAAAAZHJzL2Rvd25yZXYueG1sUEsBAhQAFAAAAAgAh07iQDMv&#10;BZ47AAAAOQAAABAAAAAAAAAAAQAgAAAADQEAAGRycy9zaGFwZXhtbC54bWxQSwUGAAAAAAYABgBb&#10;AQAAtwMAAAAA&#10;">
                        <v:fill on="t" focussize="0,0"/>
                        <v:stroke color="#000000" joinstyle="miter" dashstyle="dash"/>
                        <v:imagedata o:title=""/>
                        <o:lock v:ext="edit" aspectratio="f"/>
                        <v:textbox inset="0mm,0mm,0mm,0mm">
                          <w:txbxContent>
                            <w:p w14:paraId="231532CA">
                              <w:pPr>
                                <w:jc w:val="center"/>
                              </w:pPr>
                              <w:r>
                                <w:rPr>
                                  <w:rFonts w:hint="eastAsia"/>
                                </w:rPr>
                                <w:t>扬尘</w:t>
                              </w:r>
                            </w:p>
                          </w:txbxContent>
                        </v:textbox>
                      </v:shape>
                      <v:shape id="文本框 37" o:spid="_x0000_s1026" o:spt="202" type="#_x0000_t202" style="position:absolute;left:1710;top:2704;height:336;width:540;" fillcolor="#FFFFFF" filled="t" stroked="t" coordsize="21600,21600" o:gfxdata="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Nhp574A&#10;AADbAAAADwAAAAAAAAABACAAAAAiAAAAZHJzL2Rvd25yZXYueG1sUEsBAhQAFAAAAAgAh07iQDMv&#10;BZ47AAAAOQAAABAAAAAAAAAAAQAgAAAADQEAAGRycy9zaGFwZXhtbC54bWxQSwUGAAAAAAYABgBb&#10;AQAAtwMAAAAA&#10;">
                        <v:fill on="t" focussize="0,0"/>
                        <v:stroke color="#000000" joinstyle="miter" dashstyle="dash"/>
                        <v:imagedata o:title=""/>
                        <o:lock v:ext="edit" aspectratio="f"/>
                        <v:textbox inset="0mm,0mm,0mm,0mm">
                          <w:txbxContent>
                            <w:p w14:paraId="56B70BC1">
                              <w:pPr>
                                <w:jc w:val="center"/>
                              </w:pPr>
                              <w:r>
                                <w:rPr>
                                  <w:rFonts w:hint="eastAsia"/>
                                </w:rPr>
                                <w:t>扬尘</w:t>
                              </w:r>
                            </w:p>
                          </w:txbxContent>
                        </v:textbox>
                      </v:shape>
                      <v:shape id="文本框 38" o:spid="_x0000_s1026" o:spt="202" type="#_x0000_t202" style="position:absolute;left:3150;top:2704;height:336;width:540;" fillcolor="#FFFFFF" filled="t" stroked="t" coordsize="21600,21600" o:gfxdata="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Mx8ZO/&#10;AAAA2wAAAA8AAAAAAAAAAQAgAAAAIgAAAGRycy9kb3ducmV2LnhtbFBLAQIUABQAAAAIAIdO4kAz&#10;LwWeOwAAADkAAAAQAAAAAAAAAAEAIAAAAA4BAABkcnMvc2hhcGV4bWwueG1sUEsFBgAAAAAGAAYA&#10;WwEAALgDAAAAAA==&#10;">
                        <v:fill on="t" focussize="0,0"/>
                        <v:stroke color="#000000" joinstyle="miter" dashstyle="dash"/>
                        <v:imagedata o:title=""/>
                        <o:lock v:ext="edit" aspectratio="f"/>
                        <v:textbox inset="0mm,0mm,0mm,0mm">
                          <w:txbxContent>
                            <w:p w14:paraId="4E70C4B4">
                              <w:pPr>
                                <w:jc w:val="center"/>
                              </w:pPr>
                              <w:r>
                                <w:rPr>
                                  <w:rFonts w:hint="eastAsia"/>
                                </w:rPr>
                                <w:t>扬尘</w:t>
                              </w:r>
                            </w:p>
                          </w:txbxContent>
                        </v:textbox>
                      </v:shape>
                      <v:shape id="文本框 39" o:spid="_x0000_s1026" o:spt="202" type="#_x0000_t202" style="position:absolute;left:4590;top:2704;height:336;width:540;" fillcolor="#FFFFFF" filled="t" stroked="t" coordsize="21600,21600" o:gfxdata="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H1UCL4A&#10;AADbAAAADwAAAAAAAAABACAAAAAiAAAAZHJzL2Rvd25yZXYueG1sUEsBAhQAFAAAAAgAh07iQDMv&#10;BZ47AAAAOQAAABAAAAAAAAAAAQAgAAAADQEAAGRycy9zaGFwZXhtbC54bWxQSwUGAAAAAAYABgBb&#10;AQAAtwMAAAAA&#10;">
                        <v:fill on="t" focussize="0,0"/>
                        <v:stroke color="#000000" joinstyle="miter" dashstyle="dash"/>
                        <v:imagedata o:title=""/>
                        <o:lock v:ext="edit" aspectratio="f"/>
                        <v:textbox inset="0mm,0mm,0mm,0mm">
                          <w:txbxContent>
                            <w:p w14:paraId="30AA449E">
                              <w:pPr>
                                <w:jc w:val="center"/>
                              </w:pPr>
                              <w:r>
                                <w:rPr>
                                  <w:rFonts w:hint="eastAsia"/>
                                </w:rPr>
                                <w:t>固废</w:t>
                              </w:r>
                            </w:p>
                            <w:p w14:paraId="3DFD6DD0"/>
                          </w:txbxContent>
                        </v:textbox>
                      </v:shape>
                      <v:shape id="文本框 40" o:spid="_x0000_s1026" o:spt="202" type="#_x0000_t202" style="position:absolute;left:6030;top:2704;height:336;width:540;" fillcolor="#FFFFFF" filled="t" stroked="t" coordsize="21600,21600" o:gfxdata="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K/Kf74A&#10;AADbAAAADwAAAAAAAAABACAAAAAiAAAAZHJzL2Rvd25yZXYueG1sUEsBAhQAFAAAAAgAh07iQDMv&#10;BZ47AAAAOQAAABAAAAAAAAAAAQAgAAAADQEAAGRycy9zaGFwZXhtbC54bWxQSwUGAAAAAAYABgBb&#10;AQAAtwMAAAAA&#10;">
                        <v:fill on="t" focussize="0,0"/>
                        <v:stroke color="#000000" joinstyle="miter" dashstyle="dash"/>
                        <v:imagedata o:title=""/>
                        <o:lock v:ext="edit" aspectratio="f"/>
                        <v:textbox inset="0mm,0mm,0mm,0mm">
                          <w:txbxContent>
                            <w:p w14:paraId="4A98676B">
                              <w:pPr>
                                <w:jc w:val="center"/>
                              </w:pPr>
                              <w:r>
                                <w:rPr>
                                  <w:rFonts w:hint="eastAsia"/>
                                </w:rPr>
                                <w:t>扬尘</w:t>
                              </w:r>
                            </w:p>
                          </w:txbxContent>
                        </v:textbox>
                      </v:shape>
                    </v:group>
                  </w:pict>
                </mc:Fallback>
              </mc:AlternateContent>
            </w:r>
          </w:p>
          <w:p w14:paraId="58C8A293">
            <w:pPr>
              <w:tabs>
                <w:tab w:val="left" w:pos="1405"/>
              </w:tabs>
              <w:ind w:firstLine="705" w:firstLineChars="318"/>
              <w:rPr>
                <w:bCs/>
                <w:spacing w:val="6"/>
              </w:rPr>
            </w:pPr>
          </w:p>
          <w:p w14:paraId="4C08DB85">
            <w:pPr>
              <w:tabs>
                <w:tab w:val="left" w:pos="5292"/>
              </w:tabs>
              <w:jc w:val="center"/>
              <w:rPr>
                <w:rFonts w:hint="eastAsia"/>
                <w:b/>
              </w:rPr>
            </w:pPr>
          </w:p>
          <w:p w14:paraId="7DB8A975">
            <w:pPr>
              <w:tabs>
                <w:tab w:val="left" w:pos="5292"/>
              </w:tabs>
              <w:jc w:val="center"/>
              <w:rPr>
                <w:rFonts w:hint="eastAsia"/>
                <w:b/>
              </w:rPr>
            </w:pPr>
          </w:p>
          <w:p w14:paraId="2B289954">
            <w:pPr>
              <w:tabs>
                <w:tab w:val="left" w:pos="5292"/>
              </w:tabs>
              <w:jc w:val="center"/>
              <w:rPr>
                <w:rFonts w:hint="eastAsia"/>
                <w:b/>
              </w:rPr>
            </w:pPr>
          </w:p>
          <w:p w14:paraId="38414E7B">
            <w:pPr>
              <w:tabs>
                <w:tab w:val="left" w:pos="5292"/>
              </w:tabs>
              <w:jc w:val="center"/>
              <w:rPr>
                <w:rFonts w:hint="eastAsia"/>
                <w:b/>
              </w:rPr>
            </w:pPr>
          </w:p>
          <w:p w14:paraId="673054E9">
            <w:pPr>
              <w:tabs>
                <w:tab w:val="left" w:pos="5292"/>
              </w:tabs>
              <w:jc w:val="center"/>
              <w:rPr>
                <w:rFonts w:hint="eastAsia"/>
                <w:b/>
              </w:rPr>
            </w:pPr>
          </w:p>
          <w:p w14:paraId="3CD8288B">
            <w:pPr>
              <w:tabs>
                <w:tab w:val="left" w:pos="5292"/>
              </w:tabs>
              <w:jc w:val="center"/>
              <w:rPr>
                <w:rFonts w:hint="eastAsia"/>
                <w:b/>
              </w:rPr>
            </w:pPr>
          </w:p>
          <w:p w14:paraId="0348E90D">
            <w:pPr>
              <w:tabs>
                <w:tab w:val="left" w:pos="5292"/>
              </w:tabs>
              <w:jc w:val="center"/>
              <w:rPr>
                <w:rFonts w:hint="eastAsia"/>
                <w:b/>
              </w:rPr>
            </w:pPr>
          </w:p>
          <w:p w14:paraId="7C6EF5A6">
            <w:pPr>
              <w:tabs>
                <w:tab w:val="left" w:pos="5292"/>
              </w:tabs>
              <w:jc w:val="center"/>
              <w:rPr>
                <w:rFonts w:hint="eastAsia"/>
                <w:b/>
              </w:rPr>
            </w:pPr>
          </w:p>
          <w:p w14:paraId="0C718115">
            <w:pPr>
              <w:tabs>
                <w:tab w:val="left" w:pos="5292"/>
              </w:tabs>
              <w:jc w:val="center"/>
              <w:rPr>
                <w:rFonts w:hint="eastAsia"/>
                <w:b/>
              </w:rPr>
            </w:pPr>
          </w:p>
          <w:p w14:paraId="7F23381A">
            <w:pPr>
              <w:tabs>
                <w:tab w:val="left" w:pos="5292"/>
              </w:tabs>
              <w:jc w:val="center"/>
              <w:rPr>
                <w:rFonts w:hint="eastAsia"/>
                <w:b/>
              </w:rPr>
            </w:pPr>
          </w:p>
          <w:p w14:paraId="2FD787A3">
            <w:pPr>
              <w:tabs>
                <w:tab w:val="left" w:pos="5292"/>
              </w:tabs>
              <w:jc w:val="center"/>
              <w:rPr>
                <w:rFonts w:hint="eastAsia"/>
                <w:b/>
              </w:rPr>
            </w:pPr>
          </w:p>
          <w:p w14:paraId="220483BD">
            <w:pPr>
              <w:tabs>
                <w:tab w:val="left" w:pos="5292"/>
              </w:tabs>
              <w:jc w:val="center"/>
              <w:rPr>
                <w:b/>
              </w:rPr>
            </w:pPr>
            <w:r>
              <w:rPr>
                <w:rFonts w:hint="eastAsia"/>
                <w:b/>
              </w:rPr>
              <w:t>图2-2</w:t>
            </w:r>
            <w:r>
              <w:rPr>
                <w:b/>
              </w:rPr>
              <w:t>施工期工艺流程及产污环节图</w:t>
            </w:r>
          </w:p>
          <w:p w14:paraId="4B8A0C8C">
            <w:pPr>
              <w:autoSpaceDE w:val="0"/>
              <w:autoSpaceDN w:val="0"/>
              <w:adjustRightInd w:val="0"/>
              <w:spacing w:line="360" w:lineRule="auto"/>
              <w:ind w:right="210" w:firstLine="422" w:firstLineChars="200"/>
              <w:jc w:val="left"/>
              <w:rPr>
                <w:b/>
              </w:rPr>
            </w:pPr>
            <w:r>
              <w:rPr>
                <w:b/>
              </w:rPr>
              <w:t>主要污染工序：</w:t>
            </w:r>
          </w:p>
          <w:p w14:paraId="3BCA3985">
            <w:pPr>
              <w:tabs>
                <w:tab w:val="left" w:pos="1680"/>
              </w:tabs>
              <w:spacing w:line="360" w:lineRule="auto"/>
              <w:ind w:firstLine="422" w:firstLineChars="200"/>
              <w:rPr>
                <w:bCs/>
              </w:rPr>
            </w:pPr>
            <w:r>
              <w:rPr>
                <w:rFonts w:hint="eastAsia"/>
                <w:b/>
                <w:lang w:eastAsia="zh-CN"/>
              </w:rPr>
              <w:t>（</w:t>
            </w:r>
            <w:r>
              <w:rPr>
                <w:rFonts w:hint="eastAsia"/>
                <w:b/>
                <w:lang w:val="en-US" w:eastAsia="zh-CN"/>
              </w:rPr>
              <w:t>1</w:t>
            </w:r>
            <w:r>
              <w:rPr>
                <w:rFonts w:hint="eastAsia"/>
                <w:b/>
                <w:lang w:eastAsia="zh-CN"/>
              </w:rPr>
              <w:t>）</w:t>
            </w:r>
            <w:r>
              <w:rPr>
                <w:b/>
              </w:rPr>
              <w:t>废水</w:t>
            </w:r>
          </w:p>
          <w:p w14:paraId="6E79895C">
            <w:pPr>
              <w:tabs>
                <w:tab w:val="left" w:pos="1680"/>
              </w:tabs>
              <w:spacing w:line="360" w:lineRule="auto"/>
              <w:ind w:firstLine="420" w:firstLineChars="200"/>
              <w:rPr>
                <w:bCs/>
              </w:rPr>
            </w:pPr>
            <w:r>
              <w:rPr>
                <w:bCs/>
              </w:rPr>
              <w:t>施工期废水主要为施工人员生活污水和施工废水。</w:t>
            </w:r>
          </w:p>
          <w:p w14:paraId="3C80FADF">
            <w:pPr>
              <w:tabs>
                <w:tab w:val="left" w:pos="1680"/>
              </w:tabs>
              <w:spacing w:line="360" w:lineRule="auto"/>
              <w:ind w:firstLine="422" w:firstLineChars="200"/>
              <w:rPr>
                <w:b/>
              </w:rPr>
            </w:pPr>
            <w:r>
              <w:rPr>
                <w:rFonts w:hint="eastAsia"/>
                <w:b/>
                <w:lang w:eastAsia="zh-CN"/>
              </w:rPr>
              <w:t>（</w:t>
            </w:r>
            <w:r>
              <w:rPr>
                <w:rFonts w:hint="eastAsia"/>
                <w:b/>
                <w:lang w:val="en-US" w:eastAsia="zh-CN"/>
              </w:rPr>
              <w:t>2</w:t>
            </w:r>
            <w:r>
              <w:rPr>
                <w:rFonts w:hint="eastAsia"/>
                <w:b/>
                <w:lang w:eastAsia="zh-CN"/>
              </w:rPr>
              <w:t>）</w:t>
            </w:r>
            <w:r>
              <w:rPr>
                <w:b/>
              </w:rPr>
              <w:t>废气</w:t>
            </w:r>
          </w:p>
          <w:p w14:paraId="317FD96E">
            <w:pPr>
              <w:tabs>
                <w:tab w:val="left" w:pos="1680"/>
              </w:tabs>
              <w:spacing w:line="360" w:lineRule="auto"/>
              <w:ind w:firstLine="420" w:firstLineChars="200"/>
              <w:rPr>
                <w:bCs/>
              </w:rPr>
            </w:pPr>
            <w:r>
              <w:rPr>
                <w:bCs/>
              </w:rPr>
              <w:t>施工期废气污染物主要来源于各种施工机械和运输车辆尾气排放，建材运输及道路扬尘等。</w:t>
            </w:r>
          </w:p>
          <w:p w14:paraId="36F2C8FE">
            <w:pPr>
              <w:tabs>
                <w:tab w:val="left" w:pos="1680"/>
              </w:tabs>
              <w:spacing w:line="360" w:lineRule="auto"/>
              <w:ind w:firstLine="422" w:firstLineChars="200"/>
              <w:rPr>
                <w:b/>
              </w:rPr>
            </w:pPr>
            <w:r>
              <w:rPr>
                <w:rFonts w:hint="eastAsia"/>
                <w:b/>
                <w:lang w:eastAsia="zh-CN"/>
              </w:rPr>
              <w:t>（</w:t>
            </w:r>
            <w:r>
              <w:rPr>
                <w:rFonts w:hint="eastAsia"/>
                <w:b/>
                <w:lang w:val="en-US" w:eastAsia="zh-CN"/>
              </w:rPr>
              <w:t>3</w:t>
            </w:r>
            <w:r>
              <w:rPr>
                <w:rFonts w:hint="eastAsia"/>
                <w:b/>
                <w:lang w:eastAsia="zh-CN"/>
              </w:rPr>
              <w:t>）</w:t>
            </w:r>
            <w:r>
              <w:rPr>
                <w:b/>
              </w:rPr>
              <w:t>固体废物</w:t>
            </w:r>
          </w:p>
          <w:p w14:paraId="18044BF7">
            <w:pPr>
              <w:tabs>
                <w:tab w:val="left" w:pos="1680"/>
              </w:tabs>
              <w:spacing w:line="360" w:lineRule="auto"/>
              <w:ind w:firstLine="420" w:firstLineChars="200"/>
              <w:rPr>
                <w:bCs/>
              </w:rPr>
            </w:pPr>
            <w:r>
              <w:rPr>
                <w:bCs/>
              </w:rPr>
              <w:t>施工期废渣主要是施工人员的生活垃圾和工程土建过程产生的废弃土石等建筑垃圾。</w:t>
            </w:r>
          </w:p>
          <w:p w14:paraId="41EF19FA">
            <w:pPr>
              <w:tabs>
                <w:tab w:val="left" w:pos="1680"/>
              </w:tabs>
              <w:spacing w:line="360" w:lineRule="auto"/>
              <w:ind w:firstLine="422" w:firstLineChars="200"/>
              <w:rPr>
                <w:b/>
              </w:rPr>
            </w:pPr>
            <w:r>
              <w:rPr>
                <w:rFonts w:hint="eastAsia"/>
                <w:b/>
                <w:lang w:eastAsia="zh-CN"/>
              </w:rPr>
              <w:t>（</w:t>
            </w:r>
            <w:r>
              <w:rPr>
                <w:rFonts w:hint="eastAsia"/>
                <w:b/>
                <w:lang w:val="en-US" w:eastAsia="zh-CN"/>
              </w:rPr>
              <w:t>4</w:t>
            </w:r>
            <w:r>
              <w:rPr>
                <w:rFonts w:hint="eastAsia"/>
                <w:b/>
                <w:lang w:eastAsia="zh-CN"/>
              </w:rPr>
              <w:t>）</w:t>
            </w:r>
            <w:r>
              <w:rPr>
                <w:b/>
              </w:rPr>
              <w:t>噪声与振动</w:t>
            </w:r>
          </w:p>
          <w:p w14:paraId="6AF9F198">
            <w:pPr>
              <w:tabs>
                <w:tab w:val="left" w:pos="1680"/>
              </w:tabs>
              <w:spacing w:line="360" w:lineRule="auto"/>
              <w:ind w:firstLine="420" w:firstLineChars="200"/>
              <w:rPr>
                <w:bCs/>
              </w:rPr>
            </w:pPr>
            <w:r>
              <w:rPr>
                <w:bCs/>
              </w:rPr>
              <w:t xml:space="preserve">施工过程采用的装载机、推土机、搅拌机等机械设备在运行时会产生一定量的噪声和振动。 </w:t>
            </w:r>
          </w:p>
          <w:p w14:paraId="5ACD843C">
            <w:pPr>
              <w:tabs>
                <w:tab w:val="left" w:pos="1680"/>
              </w:tabs>
              <w:spacing w:line="360" w:lineRule="auto"/>
              <w:ind w:firstLine="422" w:firstLineChars="200"/>
              <w:rPr>
                <w:b/>
              </w:rPr>
            </w:pPr>
            <w:r>
              <w:rPr>
                <w:rFonts w:hint="eastAsia"/>
                <w:b/>
                <w:lang w:eastAsia="zh-CN"/>
              </w:rPr>
              <w:t>（</w:t>
            </w:r>
            <w:r>
              <w:rPr>
                <w:rFonts w:hint="eastAsia"/>
                <w:b/>
                <w:lang w:val="en-US" w:eastAsia="zh-CN"/>
              </w:rPr>
              <w:t>5</w:t>
            </w:r>
            <w:r>
              <w:rPr>
                <w:rFonts w:hint="eastAsia"/>
                <w:b/>
                <w:lang w:eastAsia="zh-CN"/>
              </w:rPr>
              <w:t>）</w:t>
            </w:r>
            <w:r>
              <w:rPr>
                <w:b/>
              </w:rPr>
              <w:t>水土流失</w:t>
            </w:r>
          </w:p>
          <w:p w14:paraId="3C9229CA">
            <w:pPr>
              <w:adjustRightInd w:val="0"/>
              <w:spacing w:line="400" w:lineRule="exact"/>
              <w:ind w:firstLine="420" w:firstLineChars="200"/>
              <w:rPr>
                <w:color w:val="auto"/>
              </w:rPr>
            </w:pPr>
            <w:r>
              <w:rPr>
                <w:rFonts w:hint="eastAsia"/>
                <w:bCs/>
                <w:lang w:eastAsia="zh-CN"/>
              </w:rPr>
              <w:t>一期项目</w:t>
            </w:r>
            <w:r>
              <w:rPr>
                <w:bCs/>
              </w:rPr>
              <w:t>平</w:t>
            </w:r>
            <w:r>
              <w:rPr>
                <w:bCs/>
                <w:color w:val="auto"/>
              </w:rPr>
              <w:t>整土地后，对地面进行硬化，不开挖。水土流失影响很小</w:t>
            </w:r>
            <w:r>
              <w:rPr>
                <w:color w:val="auto"/>
              </w:rPr>
              <w:t>。</w:t>
            </w:r>
          </w:p>
          <w:p w14:paraId="4C005CED">
            <w:pPr>
              <w:pStyle w:val="1042"/>
              <w:spacing w:line="420" w:lineRule="exact"/>
              <w:ind w:firstLine="422"/>
              <w:rPr>
                <w:rFonts w:hint="default" w:ascii="Times New Roman" w:hAnsi="Times New Roman" w:cs="Times New Roman"/>
                <w:b/>
                <w:color w:val="auto"/>
                <w:szCs w:val="21"/>
              </w:rPr>
            </w:pPr>
            <w:r>
              <w:rPr>
                <w:rFonts w:hint="default" w:ascii="Times New Roman" w:hAnsi="Times New Roman" w:cs="Times New Roman"/>
                <w:b/>
                <w:color w:val="auto"/>
                <w:szCs w:val="21"/>
              </w:rPr>
              <w:t>2、运营期</w:t>
            </w:r>
          </w:p>
          <w:p w14:paraId="68AC6605">
            <w:pPr>
              <w:pStyle w:val="1042"/>
              <w:adjustRightInd w:val="0"/>
              <w:snapToGrid w:val="0"/>
              <w:spacing w:line="360" w:lineRule="auto"/>
              <w:ind w:firstLine="422"/>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（1）</w:t>
            </w:r>
            <w:r>
              <w:rPr>
                <w:rFonts w:hint="eastAsia" w:cs="Times New Roman"/>
                <w:b/>
                <w:color w:val="auto"/>
                <w:szCs w:val="21"/>
                <w:highlight w:val="none"/>
                <w:lang w:eastAsia="zh-CN"/>
              </w:rPr>
              <w:t>一期项目</w:t>
            </w:r>
            <w:r>
              <w:rPr>
                <w:rFonts w:hint="default" w:ascii="Times New Roman" w:hAnsi="Times New Roman" w:cs="Times New Roman"/>
                <w:b/>
                <w:color w:val="auto"/>
                <w:szCs w:val="21"/>
                <w:highlight w:val="none"/>
              </w:rPr>
              <w:t>主要生产工艺</w:t>
            </w:r>
          </w:p>
          <w:p w14:paraId="6212A755">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
                <w:color w:val="auto"/>
                <w:szCs w:val="21"/>
                <w:highlight w:val="none"/>
              </w:rPr>
            </w:pPr>
            <w:r>
              <w:rPr>
                <w:rFonts w:hint="default" w:ascii="Times New Roman" w:hAnsi="Times New Roman" w:cs="Times New Roman" w:eastAsiaTheme="minorEastAsia"/>
                <w:b/>
                <w:color w:val="auto"/>
                <w:szCs w:val="18"/>
                <w:highlight w:val="none"/>
              </w:rPr>
              <w:object>
                <v:shape id="_x0000_i1026" o:spt="75" type="#_x0000_t75" style="height:155.25pt;width:420.95pt;" o:ole="t" filled="f" o:preferrelative="t" stroked="f" coordsize="21600,21600">
                  <v:path/>
                  <v:fill on="f" focussize="0,0"/>
                  <v:stroke on="f"/>
                  <v:imagedata r:id="rId16" o:title=""/>
                  <o:lock v:ext="edit" aspectratio="f"/>
                  <w10:wrap type="none"/>
                  <w10:anchorlock/>
                </v:shape>
                <o:OLEObject Type="Embed" ProgID="Visio.Drawing.15" ShapeID="_x0000_i1026" DrawAspect="Content" ObjectID="_1468075726" r:id="rId15">
                  <o:LockedField>false</o:LockedField>
                </o:OLEObject>
              </w:object>
            </w:r>
            <w:r>
              <w:rPr>
                <w:rFonts w:hint="default" w:ascii="Times New Roman" w:hAnsi="Times New Roman" w:cs="Times New Roman" w:eastAsiaTheme="minorEastAsia"/>
                <w:b/>
                <w:color w:val="auto"/>
                <w:szCs w:val="18"/>
                <w:highlight w:val="none"/>
              </w:rPr>
              <w:t>图2-</w:t>
            </w:r>
            <w:r>
              <w:rPr>
                <w:rFonts w:hint="default" w:ascii="Times New Roman" w:hAnsi="Times New Roman" w:cs="Times New Roman" w:eastAsiaTheme="minorEastAsia"/>
                <w:b/>
                <w:color w:val="auto"/>
                <w:szCs w:val="18"/>
                <w:highlight w:val="none"/>
                <w:lang w:val="en-US" w:eastAsia="zh-CN"/>
              </w:rPr>
              <w:t>3一期项目</w:t>
            </w:r>
            <w:r>
              <w:rPr>
                <w:rFonts w:hint="default" w:ascii="Times New Roman" w:hAnsi="Times New Roman" w:cs="Times New Roman" w:eastAsiaTheme="minorEastAsia"/>
                <w:b/>
                <w:color w:val="auto"/>
                <w:szCs w:val="18"/>
                <w:highlight w:val="none"/>
              </w:rPr>
              <w:t>生产工艺流程及产污环节图</w:t>
            </w:r>
          </w:p>
          <w:p w14:paraId="03F08D04">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Times New Roman" w:hAnsi="Times New Roman" w:eastAsia="宋体" w:cs="Times New Roman"/>
                <w:color w:val="auto"/>
                <w:spacing w:val="0"/>
                <w:kern w:val="36"/>
                <w:sz w:val="21"/>
                <w:szCs w:val="21"/>
                <w:highlight w:val="none"/>
                <w:lang w:val="en-US" w:eastAsia="zh-CN" w:bidi="ar-SA"/>
              </w:rPr>
            </w:pPr>
            <w:r>
              <w:rPr>
                <w:rFonts w:hint="default" w:ascii="Times New Roman" w:hAnsi="Times New Roman" w:cs="Times New Roman"/>
                <w:color w:val="auto"/>
                <w:spacing w:val="0"/>
                <w:kern w:val="36"/>
                <w:sz w:val="21"/>
                <w:szCs w:val="21"/>
                <w:highlight w:val="none"/>
                <w:lang w:val="en-US" w:eastAsia="zh-CN" w:bidi="ar-SA"/>
              </w:rPr>
              <w:t>工艺描述：</w:t>
            </w:r>
          </w:p>
          <w:p w14:paraId="510CBF43">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Times New Roman" w:hAnsi="Times New Roman" w:eastAsia="宋体" w:cs="Times New Roman"/>
                <w:color w:val="auto"/>
                <w:spacing w:val="0"/>
                <w:kern w:val="36"/>
                <w:sz w:val="21"/>
                <w:szCs w:val="21"/>
                <w:highlight w:val="none"/>
                <w:lang w:val="en-US" w:eastAsia="zh-CN" w:bidi="ar-SA"/>
              </w:rPr>
            </w:pPr>
            <w:r>
              <w:rPr>
                <w:rFonts w:hint="default" w:ascii="Times New Roman" w:hAnsi="Times New Roman" w:eastAsia="宋体" w:cs="Times New Roman"/>
                <w:color w:val="auto"/>
                <w:spacing w:val="0"/>
                <w:kern w:val="36"/>
                <w:sz w:val="21"/>
                <w:szCs w:val="21"/>
                <w:highlight w:val="none"/>
                <w:lang w:val="en-US" w:eastAsia="zh-CN" w:bidi="ar-SA"/>
              </w:rPr>
              <w:t>①原料破碎、筛分</w:t>
            </w:r>
          </w:p>
          <w:p w14:paraId="6A37DA7C">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Times New Roman" w:hAnsi="Times New Roman" w:eastAsia="宋体" w:cs="Times New Roman"/>
                <w:color w:val="auto"/>
                <w:spacing w:val="0"/>
                <w:kern w:val="36"/>
                <w:sz w:val="21"/>
                <w:szCs w:val="21"/>
                <w:highlight w:val="none"/>
                <w:lang w:val="en-US" w:eastAsia="zh-CN" w:bidi="ar-SA"/>
              </w:rPr>
            </w:pPr>
            <w:r>
              <w:rPr>
                <w:rFonts w:hint="default" w:ascii="Times New Roman" w:hAnsi="Times New Roman" w:eastAsia="宋体" w:cs="Times New Roman"/>
                <w:color w:val="auto"/>
                <w:spacing w:val="0"/>
                <w:kern w:val="36"/>
                <w:sz w:val="21"/>
                <w:szCs w:val="21"/>
                <w:highlight w:val="none"/>
                <w:lang w:val="en-US" w:eastAsia="zh-CN" w:bidi="ar-SA"/>
              </w:rPr>
              <w:t>外购部分硫酸铵</w:t>
            </w:r>
            <w:r>
              <w:rPr>
                <w:rFonts w:hint="eastAsia" w:cs="Times New Roman"/>
                <w:color w:val="auto"/>
                <w:spacing w:val="0"/>
                <w:kern w:val="36"/>
                <w:sz w:val="21"/>
                <w:szCs w:val="21"/>
                <w:highlight w:val="none"/>
                <w:lang w:val="en-US" w:eastAsia="zh-CN" w:bidi="ar-SA"/>
              </w:rPr>
              <w:t>（5万t/a）</w:t>
            </w:r>
            <w:r>
              <w:rPr>
                <w:rFonts w:hint="default" w:ascii="Times New Roman" w:hAnsi="Times New Roman" w:eastAsia="宋体" w:cs="Times New Roman"/>
                <w:color w:val="auto"/>
                <w:spacing w:val="0"/>
                <w:kern w:val="36"/>
                <w:sz w:val="21"/>
                <w:szCs w:val="21"/>
                <w:highlight w:val="none"/>
                <w:lang w:val="en-US" w:eastAsia="zh-CN" w:bidi="ar-SA"/>
              </w:rPr>
              <w:t>、尿素</w:t>
            </w:r>
            <w:r>
              <w:rPr>
                <w:rFonts w:hint="eastAsia" w:cs="Times New Roman"/>
                <w:color w:val="auto"/>
                <w:spacing w:val="0"/>
                <w:kern w:val="36"/>
                <w:sz w:val="21"/>
                <w:szCs w:val="21"/>
                <w:highlight w:val="none"/>
                <w:lang w:val="en-US" w:eastAsia="zh-CN" w:bidi="ar-SA"/>
              </w:rPr>
              <w:t>（3万t/a）</w:t>
            </w:r>
            <w:r>
              <w:rPr>
                <w:rFonts w:hint="default" w:ascii="Times New Roman" w:hAnsi="Times New Roman" w:eastAsia="宋体" w:cs="Times New Roman"/>
                <w:color w:val="auto"/>
                <w:spacing w:val="0"/>
                <w:kern w:val="36"/>
                <w:sz w:val="21"/>
                <w:szCs w:val="21"/>
                <w:highlight w:val="none"/>
                <w:lang w:val="en-US" w:eastAsia="zh-CN" w:bidi="ar-SA"/>
              </w:rPr>
              <w:t>为大块，需要先使用尿素破碎机/大块破碎机进行破碎、原料筛筛分成细颗粒状。</w:t>
            </w:r>
          </w:p>
          <w:p w14:paraId="61C07E9B">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Times New Roman" w:hAnsi="Times New Roman" w:eastAsia="宋体" w:cs="Times New Roman"/>
                <w:color w:val="auto"/>
                <w:spacing w:val="0"/>
                <w:kern w:val="36"/>
                <w:sz w:val="21"/>
                <w:szCs w:val="21"/>
                <w:highlight w:val="none"/>
                <w:lang w:val="en-US" w:eastAsia="zh-CN" w:bidi="ar-SA"/>
              </w:rPr>
            </w:pPr>
            <w:r>
              <w:rPr>
                <w:rFonts w:hint="default" w:ascii="Times New Roman" w:hAnsi="Times New Roman" w:eastAsia="宋体" w:cs="Times New Roman"/>
                <w:color w:val="auto"/>
                <w:spacing w:val="0"/>
                <w:kern w:val="36"/>
                <w:sz w:val="21"/>
                <w:szCs w:val="21"/>
                <w:highlight w:val="none"/>
                <w:lang w:val="en-US" w:eastAsia="zh-CN" w:bidi="ar-SA"/>
              </w:rPr>
              <w:t>产污环节：硫酸铵、尿素包装会产生S1废包装袋；破碎过程会产生G1粉尘、N1噪声；原料筛分过程会产生G2粉尘、N2噪声。</w:t>
            </w:r>
          </w:p>
          <w:p w14:paraId="030560CD">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Times New Roman" w:hAnsi="Times New Roman" w:eastAsia="宋体" w:cs="Times New Roman"/>
                <w:color w:val="auto"/>
                <w:spacing w:val="0"/>
                <w:kern w:val="36"/>
                <w:sz w:val="21"/>
                <w:szCs w:val="21"/>
                <w:highlight w:val="none"/>
                <w:lang w:val="en-US" w:eastAsia="zh-CN" w:bidi="ar-SA"/>
              </w:rPr>
            </w:pPr>
            <w:r>
              <w:rPr>
                <w:rFonts w:hint="default" w:ascii="Times New Roman" w:hAnsi="Times New Roman" w:eastAsia="宋体" w:cs="Times New Roman"/>
                <w:color w:val="auto"/>
                <w:spacing w:val="0"/>
                <w:kern w:val="36"/>
                <w:sz w:val="21"/>
                <w:szCs w:val="21"/>
                <w:highlight w:val="none"/>
                <w:lang w:val="en-US" w:eastAsia="zh-CN" w:bidi="ar-SA"/>
              </w:rPr>
              <w:t>②</w:t>
            </w:r>
            <w:r>
              <w:rPr>
                <w:rFonts w:hint="eastAsia" w:cs="Times New Roman"/>
                <w:color w:val="auto"/>
                <w:spacing w:val="0"/>
                <w:kern w:val="36"/>
                <w:sz w:val="21"/>
                <w:szCs w:val="21"/>
                <w:highlight w:val="none"/>
                <w:lang w:val="en-US" w:eastAsia="zh-CN" w:bidi="ar-SA"/>
              </w:rPr>
              <w:t>配料、部分筛分、</w:t>
            </w:r>
            <w:r>
              <w:rPr>
                <w:rFonts w:hint="default" w:ascii="Times New Roman" w:hAnsi="Times New Roman" w:eastAsia="宋体" w:cs="Times New Roman"/>
                <w:color w:val="auto"/>
                <w:spacing w:val="0"/>
                <w:kern w:val="36"/>
                <w:sz w:val="21"/>
                <w:szCs w:val="21"/>
                <w:highlight w:val="none"/>
                <w:lang w:val="en-US" w:eastAsia="zh-CN" w:bidi="ar-SA"/>
              </w:rPr>
              <w:t>混合</w:t>
            </w:r>
          </w:p>
          <w:p w14:paraId="09247CB8">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Times New Roman" w:hAnsi="Times New Roman" w:eastAsia="宋体" w:cs="Times New Roman"/>
                <w:color w:val="auto"/>
                <w:spacing w:val="0"/>
                <w:kern w:val="36"/>
                <w:sz w:val="21"/>
                <w:szCs w:val="21"/>
                <w:highlight w:val="none"/>
                <w:lang w:val="en-US" w:eastAsia="zh-CN" w:bidi="ar-SA"/>
              </w:rPr>
            </w:pPr>
            <w:r>
              <w:rPr>
                <w:rFonts w:hint="default" w:ascii="Times New Roman" w:hAnsi="Times New Roman" w:eastAsia="宋体" w:cs="Times New Roman"/>
                <w:color w:val="auto"/>
                <w:spacing w:val="0"/>
                <w:kern w:val="36"/>
                <w:sz w:val="21"/>
                <w:szCs w:val="21"/>
                <w:highlight w:val="none"/>
                <w:lang w:val="en-US" w:eastAsia="zh-CN" w:bidi="ar-SA"/>
              </w:rPr>
              <w:t>根据客户需求，硫酸铵、尿素</w:t>
            </w:r>
            <w:r>
              <w:rPr>
                <w:rFonts w:hint="eastAsia" w:ascii="Times New Roman" w:hAnsi="Times New Roman" w:eastAsia="宋体" w:cs="Times New Roman"/>
                <w:color w:val="auto"/>
                <w:spacing w:val="0"/>
                <w:kern w:val="36"/>
                <w:sz w:val="21"/>
                <w:szCs w:val="21"/>
                <w:highlight w:val="none"/>
                <w:lang w:val="en-US" w:eastAsia="zh-CN" w:bidi="ar-SA"/>
              </w:rPr>
              <w:t>与</w:t>
            </w:r>
            <w:r>
              <w:rPr>
                <w:rFonts w:hint="default" w:ascii="Times New Roman" w:hAnsi="Times New Roman" w:eastAsia="宋体" w:cs="Times New Roman"/>
                <w:color w:val="auto"/>
                <w:spacing w:val="0"/>
                <w:kern w:val="36"/>
                <w:sz w:val="21"/>
                <w:szCs w:val="21"/>
                <w:highlight w:val="none"/>
                <w:lang w:val="en-US" w:eastAsia="zh-CN" w:bidi="ar-SA"/>
              </w:rPr>
              <w:t>硫酸钾</w:t>
            </w:r>
            <w:r>
              <w:rPr>
                <w:rFonts w:hint="eastAsia" w:cs="Times New Roman"/>
                <w:color w:val="auto"/>
                <w:spacing w:val="0"/>
                <w:kern w:val="36"/>
                <w:sz w:val="21"/>
                <w:szCs w:val="21"/>
                <w:highlight w:val="none"/>
                <w:lang w:val="en-US" w:eastAsia="zh-CN" w:bidi="ar-SA"/>
              </w:rPr>
              <w:t>/</w:t>
            </w:r>
            <w:r>
              <w:rPr>
                <w:rFonts w:hint="default" w:ascii="Times New Roman" w:hAnsi="Times New Roman" w:eastAsia="宋体" w:cs="Times New Roman"/>
                <w:color w:val="auto"/>
                <w:spacing w:val="0"/>
                <w:kern w:val="36"/>
                <w:sz w:val="21"/>
                <w:szCs w:val="21"/>
                <w:highlight w:val="none"/>
                <w:lang w:val="en-US" w:eastAsia="zh-CN" w:bidi="ar-SA"/>
              </w:rPr>
              <w:t>氯化钾</w:t>
            </w:r>
            <w:r>
              <w:rPr>
                <w:rFonts w:hint="eastAsia" w:cs="Times New Roman"/>
                <w:color w:val="auto"/>
                <w:spacing w:val="0"/>
                <w:kern w:val="36"/>
                <w:sz w:val="21"/>
                <w:szCs w:val="21"/>
                <w:highlight w:val="none"/>
                <w:lang w:val="en-US" w:eastAsia="zh-CN" w:bidi="ar-SA"/>
              </w:rPr>
              <w:t>/</w:t>
            </w:r>
            <w:r>
              <w:rPr>
                <w:rFonts w:hint="default" w:ascii="Times New Roman" w:hAnsi="Times New Roman" w:eastAsia="宋体" w:cs="Times New Roman"/>
                <w:color w:val="auto"/>
                <w:spacing w:val="0"/>
                <w:kern w:val="36"/>
                <w:sz w:val="21"/>
                <w:szCs w:val="21"/>
                <w:highlight w:val="none"/>
                <w:lang w:val="en-US" w:eastAsia="zh-CN" w:bidi="ar-SA"/>
              </w:rPr>
              <w:t>磷酸二铵</w:t>
            </w:r>
            <w:r>
              <w:rPr>
                <w:rFonts w:hint="eastAsia" w:cs="Times New Roman"/>
                <w:color w:val="auto"/>
                <w:spacing w:val="0"/>
                <w:kern w:val="36"/>
                <w:sz w:val="21"/>
                <w:szCs w:val="21"/>
                <w:highlight w:val="none"/>
                <w:lang w:val="en-US" w:eastAsia="zh-CN" w:bidi="ar-SA"/>
              </w:rPr>
              <w:t>/</w:t>
            </w:r>
            <w:r>
              <w:rPr>
                <w:rFonts w:hint="default" w:ascii="Times New Roman" w:hAnsi="Times New Roman" w:eastAsia="宋体" w:cs="Times New Roman"/>
                <w:color w:val="auto"/>
                <w:spacing w:val="0"/>
                <w:kern w:val="36"/>
                <w:sz w:val="21"/>
                <w:szCs w:val="21"/>
                <w:highlight w:val="none"/>
                <w:lang w:val="en-US" w:eastAsia="zh-CN" w:bidi="ar-SA"/>
              </w:rPr>
              <w:t>磷酸一铵</w:t>
            </w:r>
            <w:r>
              <w:rPr>
                <w:rFonts w:hint="eastAsia" w:cs="Times New Roman"/>
                <w:color w:val="auto"/>
                <w:spacing w:val="0"/>
                <w:kern w:val="36"/>
                <w:sz w:val="21"/>
                <w:szCs w:val="21"/>
                <w:highlight w:val="none"/>
                <w:lang w:val="en-US" w:eastAsia="zh-CN" w:bidi="ar-SA"/>
              </w:rPr>
              <w:t>/</w:t>
            </w:r>
            <w:r>
              <w:rPr>
                <w:rFonts w:hint="default" w:ascii="Times New Roman" w:hAnsi="Times New Roman" w:eastAsia="宋体" w:cs="Times New Roman"/>
                <w:color w:val="auto"/>
                <w:spacing w:val="0"/>
                <w:kern w:val="36"/>
                <w:sz w:val="21"/>
                <w:szCs w:val="21"/>
                <w:highlight w:val="none"/>
                <w:lang w:val="en-US" w:eastAsia="zh-CN" w:bidi="ar-SA"/>
              </w:rPr>
              <w:t>硫酸镁</w:t>
            </w:r>
            <w:r>
              <w:rPr>
                <w:rFonts w:hint="eastAsia" w:cs="Times New Roman"/>
                <w:color w:val="auto"/>
                <w:spacing w:val="0"/>
                <w:kern w:val="36"/>
                <w:sz w:val="21"/>
                <w:szCs w:val="21"/>
                <w:highlight w:val="none"/>
                <w:lang w:val="en-US" w:eastAsia="zh-CN" w:bidi="ar-SA"/>
              </w:rPr>
              <w:t>/</w:t>
            </w:r>
            <w:r>
              <w:rPr>
                <w:rFonts w:hint="default" w:ascii="Times New Roman" w:hAnsi="Times New Roman" w:eastAsia="宋体" w:cs="Times New Roman"/>
                <w:color w:val="auto"/>
                <w:spacing w:val="0"/>
                <w:kern w:val="36"/>
                <w:sz w:val="21"/>
                <w:szCs w:val="21"/>
                <w:highlight w:val="none"/>
                <w:lang w:val="en-US" w:eastAsia="zh-CN" w:bidi="ar-SA"/>
              </w:rPr>
              <w:t>硫酸锌</w:t>
            </w:r>
            <w:r>
              <w:rPr>
                <w:rFonts w:hint="eastAsia" w:cs="Times New Roman"/>
                <w:color w:val="auto"/>
                <w:spacing w:val="0"/>
                <w:kern w:val="36"/>
                <w:sz w:val="21"/>
                <w:szCs w:val="21"/>
                <w:highlight w:val="none"/>
                <w:lang w:val="en-US" w:eastAsia="zh-CN" w:bidi="ar-SA"/>
              </w:rPr>
              <w:t>/</w:t>
            </w:r>
            <w:r>
              <w:rPr>
                <w:rFonts w:hint="default" w:ascii="Times New Roman" w:hAnsi="Times New Roman" w:eastAsia="宋体" w:cs="Times New Roman"/>
                <w:color w:val="auto"/>
                <w:spacing w:val="0"/>
                <w:kern w:val="36"/>
                <w:sz w:val="21"/>
                <w:szCs w:val="21"/>
                <w:highlight w:val="none"/>
                <w:lang w:val="en-US" w:eastAsia="zh-CN" w:bidi="ar-SA"/>
              </w:rPr>
              <w:t>氯化铵</w:t>
            </w:r>
            <w:r>
              <w:rPr>
                <w:rFonts w:hint="eastAsia" w:cs="Times New Roman"/>
                <w:color w:val="auto"/>
                <w:spacing w:val="0"/>
                <w:kern w:val="36"/>
                <w:sz w:val="21"/>
                <w:szCs w:val="21"/>
                <w:highlight w:val="none"/>
                <w:lang w:val="en-US" w:eastAsia="zh-CN" w:bidi="ar-SA"/>
              </w:rPr>
              <w:t>种的两种或多种</w:t>
            </w:r>
            <w:r>
              <w:rPr>
                <w:rFonts w:hint="default" w:ascii="Times New Roman" w:hAnsi="Times New Roman" w:eastAsia="宋体" w:cs="Times New Roman"/>
                <w:color w:val="auto"/>
                <w:spacing w:val="0"/>
                <w:kern w:val="36"/>
                <w:sz w:val="21"/>
                <w:szCs w:val="21"/>
                <w:highlight w:val="none"/>
                <w:lang w:val="en-US" w:eastAsia="zh-CN" w:bidi="ar-SA"/>
              </w:rPr>
              <w:t>按一定的比例进行配料</w:t>
            </w:r>
            <w:r>
              <w:rPr>
                <w:rFonts w:hint="eastAsia" w:cs="Times New Roman"/>
                <w:color w:val="auto"/>
                <w:spacing w:val="0"/>
                <w:kern w:val="36"/>
                <w:sz w:val="21"/>
                <w:szCs w:val="21"/>
                <w:highlight w:val="none"/>
                <w:lang w:val="en-US" w:eastAsia="zh-CN" w:bidi="ar-SA"/>
              </w:rPr>
              <w:t>，得到不同含量的肥料等，配料过程中10%为块状的，使用筛分机进行筛分，然后用</w:t>
            </w:r>
            <w:r>
              <w:rPr>
                <w:rFonts w:hint="default" w:ascii="Times New Roman" w:hAnsi="Times New Roman" w:eastAsia="宋体" w:cs="Times New Roman"/>
                <w:color w:val="auto"/>
                <w:spacing w:val="0"/>
                <w:kern w:val="36"/>
                <w:sz w:val="21"/>
                <w:szCs w:val="21"/>
                <w:highlight w:val="none"/>
                <w:lang w:val="en-US" w:eastAsia="zh-CN" w:bidi="ar-SA"/>
              </w:rPr>
              <w:t>混合机进行混合</w:t>
            </w:r>
            <w:r>
              <w:rPr>
                <w:rFonts w:hint="eastAsia" w:ascii="Times New Roman" w:hAnsi="Times New Roman" w:eastAsia="宋体" w:cs="Times New Roman"/>
                <w:color w:val="auto"/>
                <w:spacing w:val="0"/>
                <w:kern w:val="36"/>
                <w:sz w:val="21"/>
                <w:szCs w:val="21"/>
                <w:highlight w:val="none"/>
                <w:lang w:val="en-US" w:eastAsia="zh-CN" w:bidi="ar-SA"/>
              </w:rPr>
              <w:t>搅拌</w:t>
            </w:r>
            <w:r>
              <w:rPr>
                <w:rFonts w:hint="default" w:ascii="Times New Roman" w:hAnsi="Times New Roman" w:cs="Times New Roman"/>
                <w:color w:val="auto"/>
                <w:spacing w:val="0"/>
                <w:kern w:val="36"/>
                <w:sz w:val="21"/>
                <w:szCs w:val="21"/>
                <w:highlight w:val="none"/>
                <w:lang w:val="en-US" w:eastAsia="zh-CN" w:bidi="ar-SA"/>
              </w:rPr>
              <w:t>（目的是原料硫酸铵具有较强吸潮性，防止原料粘结）</w:t>
            </w:r>
            <w:r>
              <w:rPr>
                <w:rFonts w:hint="default" w:ascii="Times New Roman" w:hAnsi="Times New Roman" w:eastAsia="宋体" w:cs="Times New Roman"/>
                <w:color w:val="auto"/>
                <w:spacing w:val="0"/>
                <w:kern w:val="36"/>
                <w:sz w:val="21"/>
                <w:szCs w:val="21"/>
                <w:highlight w:val="none"/>
                <w:lang w:val="en-US" w:eastAsia="zh-CN" w:bidi="ar-SA"/>
              </w:rPr>
              <w:t>。</w:t>
            </w:r>
          </w:p>
          <w:p w14:paraId="7F77648E">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Times New Roman" w:hAnsi="Times New Roman" w:eastAsia="宋体" w:cs="Times New Roman"/>
                <w:color w:val="auto"/>
                <w:spacing w:val="0"/>
                <w:kern w:val="36"/>
                <w:sz w:val="21"/>
                <w:szCs w:val="21"/>
                <w:highlight w:val="none"/>
                <w:lang w:val="en-US" w:eastAsia="zh-CN" w:bidi="ar-SA"/>
              </w:rPr>
            </w:pPr>
            <w:r>
              <w:rPr>
                <w:rFonts w:hint="default" w:ascii="Times New Roman" w:hAnsi="Times New Roman" w:eastAsia="宋体" w:cs="Times New Roman"/>
                <w:color w:val="auto"/>
                <w:spacing w:val="0"/>
                <w:kern w:val="36"/>
                <w:sz w:val="21"/>
                <w:szCs w:val="21"/>
                <w:highlight w:val="none"/>
                <w:lang w:val="en-US" w:eastAsia="zh-CN" w:bidi="ar-SA"/>
              </w:rPr>
              <w:t>产污环节：</w:t>
            </w:r>
            <w:r>
              <w:rPr>
                <w:rFonts w:hint="eastAsia" w:cs="Times New Roman"/>
                <w:color w:val="auto"/>
                <w:spacing w:val="0"/>
                <w:kern w:val="36"/>
                <w:sz w:val="21"/>
                <w:szCs w:val="21"/>
                <w:highlight w:val="none"/>
                <w:lang w:val="en-US" w:eastAsia="zh-CN" w:bidi="ar-SA"/>
              </w:rPr>
              <w:t>原料包装会产生S2废包装袋，</w:t>
            </w:r>
            <w:r>
              <w:rPr>
                <w:rFonts w:hint="default" w:ascii="Times New Roman" w:hAnsi="Times New Roman" w:eastAsia="宋体" w:cs="Times New Roman"/>
                <w:color w:val="auto"/>
                <w:spacing w:val="0"/>
                <w:kern w:val="36"/>
                <w:sz w:val="21"/>
                <w:szCs w:val="21"/>
                <w:highlight w:val="none"/>
                <w:lang w:val="en-US" w:eastAsia="zh-CN" w:bidi="ar-SA"/>
              </w:rPr>
              <w:t>配料过程会产生G3粉尘；</w:t>
            </w:r>
            <w:r>
              <w:rPr>
                <w:rFonts w:hint="eastAsia" w:cs="Times New Roman"/>
                <w:color w:val="auto"/>
                <w:spacing w:val="0"/>
                <w:kern w:val="36"/>
                <w:sz w:val="21"/>
                <w:szCs w:val="21"/>
                <w:highlight w:val="none"/>
                <w:lang w:val="en-US" w:eastAsia="zh-CN" w:bidi="ar-SA"/>
              </w:rPr>
              <w:t>筛分过程</w:t>
            </w:r>
            <w:r>
              <w:rPr>
                <w:rFonts w:hint="default" w:ascii="Times New Roman" w:hAnsi="Times New Roman" w:eastAsia="宋体" w:cs="Times New Roman"/>
                <w:color w:val="auto"/>
                <w:spacing w:val="0"/>
                <w:kern w:val="36"/>
                <w:sz w:val="21"/>
                <w:szCs w:val="21"/>
                <w:highlight w:val="none"/>
                <w:lang w:val="en-US" w:eastAsia="zh-CN" w:bidi="ar-SA"/>
              </w:rPr>
              <w:t>会产生G4粉尘、N3噪声</w:t>
            </w:r>
            <w:r>
              <w:rPr>
                <w:rFonts w:hint="eastAsia" w:ascii="Times New Roman" w:hAnsi="Times New Roman" w:eastAsia="宋体" w:cs="Times New Roman"/>
                <w:color w:val="auto"/>
                <w:spacing w:val="0"/>
                <w:kern w:val="36"/>
                <w:sz w:val="21"/>
                <w:szCs w:val="21"/>
                <w:highlight w:val="none"/>
                <w:lang w:val="en-US" w:eastAsia="zh-CN" w:bidi="ar-SA"/>
              </w:rPr>
              <w:t>；</w:t>
            </w:r>
            <w:r>
              <w:rPr>
                <w:rFonts w:hint="default" w:ascii="Times New Roman" w:hAnsi="Times New Roman" w:eastAsia="宋体" w:cs="Times New Roman"/>
                <w:color w:val="auto"/>
                <w:spacing w:val="0"/>
                <w:kern w:val="36"/>
                <w:sz w:val="21"/>
                <w:szCs w:val="21"/>
                <w:highlight w:val="none"/>
                <w:lang w:val="en-US" w:eastAsia="zh-CN" w:bidi="ar-SA"/>
              </w:rPr>
              <w:t>混合过程会产生G</w:t>
            </w:r>
            <w:r>
              <w:rPr>
                <w:rFonts w:hint="eastAsia" w:cs="Times New Roman"/>
                <w:color w:val="auto"/>
                <w:spacing w:val="0"/>
                <w:kern w:val="36"/>
                <w:sz w:val="21"/>
                <w:szCs w:val="21"/>
                <w:highlight w:val="none"/>
                <w:lang w:val="en-US" w:eastAsia="zh-CN" w:bidi="ar-SA"/>
              </w:rPr>
              <w:t>5</w:t>
            </w:r>
            <w:r>
              <w:rPr>
                <w:rFonts w:hint="default" w:ascii="Times New Roman" w:hAnsi="Times New Roman" w:eastAsia="宋体" w:cs="Times New Roman"/>
                <w:color w:val="auto"/>
                <w:spacing w:val="0"/>
                <w:kern w:val="36"/>
                <w:sz w:val="21"/>
                <w:szCs w:val="21"/>
                <w:highlight w:val="none"/>
                <w:lang w:val="en-US" w:eastAsia="zh-CN" w:bidi="ar-SA"/>
              </w:rPr>
              <w:t>粉尘、N</w:t>
            </w:r>
            <w:r>
              <w:rPr>
                <w:rFonts w:hint="eastAsia" w:cs="Times New Roman"/>
                <w:color w:val="auto"/>
                <w:spacing w:val="0"/>
                <w:kern w:val="36"/>
                <w:sz w:val="21"/>
                <w:szCs w:val="21"/>
                <w:highlight w:val="none"/>
                <w:lang w:val="en-US" w:eastAsia="zh-CN" w:bidi="ar-SA"/>
              </w:rPr>
              <w:t>4</w:t>
            </w:r>
            <w:r>
              <w:rPr>
                <w:rFonts w:hint="default" w:ascii="Times New Roman" w:hAnsi="Times New Roman" w:eastAsia="宋体" w:cs="Times New Roman"/>
                <w:color w:val="auto"/>
                <w:spacing w:val="0"/>
                <w:kern w:val="36"/>
                <w:sz w:val="21"/>
                <w:szCs w:val="21"/>
                <w:highlight w:val="none"/>
                <w:lang w:val="en-US" w:eastAsia="zh-CN" w:bidi="ar-SA"/>
              </w:rPr>
              <w:t>噪声。</w:t>
            </w:r>
          </w:p>
          <w:p w14:paraId="443E133B">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宋体" w:hAnsi="宋体" w:eastAsia="宋体" w:cs="宋体"/>
                <w:color w:val="auto"/>
                <w:spacing w:val="0"/>
                <w:kern w:val="36"/>
                <w:sz w:val="21"/>
                <w:szCs w:val="21"/>
                <w:highlight w:val="none"/>
                <w:lang w:val="en-US" w:eastAsia="zh-CN" w:bidi="ar-SA"/>
              </w:rPr>
            </w:pPr>
            <w:r>
              <w:rPr>
                <w:rFonts w:hint="eastAsia" w:ascii="宋体" w:hAnsi="宋体" w:eastAsia="宋体" w:cs="宋体"/>
                <w:color w:val="auto"/>
                <w:spacing w:val="0"/>
                <w:kern w:val="36"/>
                <w:sz w:val="21"/>
                <w:szCs w:val="21"/>
                <w:highlight w:val="none"/>
                <w:lang w:val="en-US" w:eastAsia="zh-CN" w:bidi="ar-SA"/>
              </w:rPr>
              <w:t>③造粒</w:t>
            </w:r>
          </w:p>
          <w:p w14:paraId="02BA4117">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eastAsia" w:ascii="宋体" w:hAnsi="宋体" w:eastAsia="宋体" w:cs="宋体"/>
                <w:color w:val="auto"/>
                <w:spacing w:val="0"/>
                <w:kern w:val="36"/>
                <w:sz w:val="21"/>
                <w:szCs w:val="21"/>
                <w:highlight w:val="none"/>
                <w:lang w:val="en-US" w:eastAsia="zh-CN" w:bidi="ar-SA"/>
              </w:rPr>
            </w:pPr>
            <w:r>
              <w:rPr>
                <w:rFonts w:hint="eastAsia" w:ascii="Times New Roman" w:hAnsi="Times New Roman" w:cs="Times New Roman"/>
                <w:color w:val="auto"/>
                <w:spacing w:val="0"/>
                <w:kern w:val="36"/>
                <w:sz w:val="21"/>
                <w:szCs w:val="21"/>
                <w:highlight w:val="none"/>
                <w:lang w:val="en-US" w:eastAsia="zh-CN" w:bidi="ar-SA"/>
              </w:rPr>
              <w:t>将混合后的物料</w:t>
            </w:r>
            <w:r>
              <w:rPr>
                <w:rFonts w:hint="eastAsia" w:cs="Times New Roman"/>
                <w:color w:val="auto"/>
                <w:spacing w:val="0"/>
                <w:kern w:val="36"/>
                <w:sz w:val="21"/>
                <w:szCs w:val="21"/>
                <w:highlight w:val="none"/>
                <w:lang w:val="en-US" w:eastAsia="zh-CN" w:bidi="ar-SA"/>
              </w:rPr>
              <w:t>加水，</w:t>
            </w:r>
            <w:r>
              <w:rPr>
                <w:rFonts w:hint="default" w:ascii="Times New Roman" w:hAnsi="Times New Roman" w:cs="Times New Roman"/>
                <w:color w:val="auto"/>
                <w:spacing w:val="0"/>
                <w:kern w:val="36"/>
                <w:sz w:val="21"/>
                <w:szCs w:val="21"/>
                <w:highlight w:val="none"/>
                <w:lang w:val="en-US" w:eastAsia="zh-CN" w:bidi="ar-SA"/>
              </w:rPr>
              <w:t>通过密闭管道输送至挤压造粒机</w:t>
            </w:r>
            <w:r>
              <w:rPr>
                <w:rFonts w:hint="eastAsia" w:cs="Times New Roman"/>
                <w:color w:val="auto"/>
                <w:spacing w:val="0"/>
                <w:kern w:val="36"/>
                <w:sz w:val="21"/>
                <w:szCs w:val="21"/>
                <w:highlight w:val="none"/>
                <w:lang w:val="en-US" w:eastAsia="zh-CN" w:bidi="ar-SA"/>
              </w:rPr>
              <w:t>，</w:t>
            </w:r>
            <w:r>
              <w:rPr>
                <w:rFonts w:hint="default" w:ascii="Times New Roman" w:hAnsi="Times New Roman" w:cs="Times New Roman"/>
                <w:color w:val="auto"/>
                <w:spacing w:val="0"/>
                <w:kern w:val="36"/>
                <w:sz w:val="21"/>
                <w:szCs w:val="21"/>
                <w:highlight w:val="none"/>
                <w:lang w:val="en-US" w:eastAsia="zh-CN" w:bidi="ar-SA"/>
              </w:rPr>
              <w:t>进行造粒</w:t>
            </w:r>
            <w:r>
              <w:rPr>
                <w:rFonts w:hint="eastAsia" w:ascii="Times New Roman" w:hAnsi="Times New Roman" w:cs="Times New Roman"/>
                <w:color w:val="auto"/>
                <w:spacing w:val="0"/>
                <w:kern w:val="36"/>
                <w:sz w:val="21"/>
                <w:szCs w:val="21"/>
                <w:highlight w:val="none"/>
                <w:lang w:val="en-US" w:eastAsia="zh-CN" w:bidi="ar-SA"/>
              </w:rPr>
              <w:t>。</w:t>
            </w:r>
          </w:p>
          <w:p w14:paraId="07A6E3CD">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宋体" w:hAnsi="宋体" w:eastAsia="宋体" w:cs="宋体"/>
                <w:color w:val="auto"/>
                <w:spacing w:val="0"/>
                <w:kern w:val="36"/>
                <w:sz w:val="21"/>
                <w:szCs w:val="21"/>
                <w:highlight w:val="none"/>
                <w:lang w:val="en-US" w:eastAsia="zh-CN" w:bidi="ar-SA"/>
              </w:rPr>
            </w:pPr>
            <w:r>
              <w:rPr>
                <w:rFonts w:hint="default" w:ascii="Times New Roman" w:hAnsi="Times New Roman" w:eastAsia="宋体" w:cs="Times New Roman"/>
                <w:color w:val="auto"/>
                <w:spacing w:val="0"/>
                <w:kern w:val="36"/>
                <w:sz w:val="21"/>
                <w:szCs w:val="21"/>
                <w:highlight w:val="none"/>
                <w:lang w:val="en-US" w:eastAsia="zh-CN" w:bidi="ar-SA"/>
              </w:rPr>
              <w:t>产污环节：</w:t>
            </w:r>
            <w:r>
              <w:rPr>
                <w:rFonts w:hint="eastAsia" w:ascii="宋体" w:hAnsi="宋体" w:eastAsia="宋体" w:cs="宋体"/>
                <w:color w:val="auto"/>
                <w:spacing w:val="0"/>
                <w:kern w:val="36"/>
                <w:sz w:val="21"/>
                <w:szCs w:val="21"/>
                <w:highlight w:val="none"/>
                <w:lang w:val="en-US" w:eastAsia="zh-CN" w:bidi="ar-SA"/>
              </w:rPr>
              <w:t>造粒</w:t>
            </w:r>
            <w:r>
              <w:rPr>
                <w:rFonts w:hint="default" w:ascii="Times New Roman" w:hAnsi="Times New Roman" w:eastAsia="宋体" w:cs="Times New Roman"/>
                <w:color w:val="auto"/>
                <w:spacing w:val="0"/>
                <w:kern w:val="36"/>
                <w:sz w:val="21"/>
                <w:szCs w:val="21"/>
                <w:highlight w:val="none"/>
                <w:lang w:val="en-US" w:eastAsia="zh-CN" w:bidi="ar-SA"/>
              </w:rPr>
              <w:t>过程会产生</w:t>
            </w:r>
            <w:r>
              <w:rPr>
                <w:rFonts w:hint="eastAsia" w:cs="Times New Roman"/>
                <w:color w:val="auto"/>
                <w:spacing w:val="0"/>
                <w:kern w:val="36"/>
                <w:sz w:val="21"/>
                <w:szCs w:val="21"/>
                <w:highlight w:val="none"/>
                <w:lang w:val="en-US" w:eastAsia="zh-CN" w:bidi="ar-SA"/>
              </w:rPr>
              <w:t>G6粉尘、氨气和臭气浓度，</w:t>
            </w:r>
            <w:r>
              <w:rPr>
                <w:rFonts w:hint="default" w:ascii="Times New Roman" w:hAnsi="Times New Roman" w:eastAsia="宋体" w:cs="Times New Roman"/>
                <w:color w:val="auto"/>
                <w:spacing w:val="0"/>
                <w:kern w:val="36"/>
                <w:sz w:val="21"/>
                <w:szCs w:val="21"/>
                <w:highlight w:val="none"/>
                <w:lang w:val="en-US" w:eastAsia="zh-CN" w:bidi="ar-SA"/>
              </w:rPr>
              <w:t>N</w:t>
            </w:r>
            <w:r>
              <w:rPr>
                <w:rFonts w:hint="eastAsia" w:cs="Times New Roman"/>
                <w:color w:val="auto"/>
                <w:spacing w:val="0"/>
                <w:kern w:val="36"/>
                <w:sz w:val="21"/>
                <w:szCs w:val="21"/>
                <w:highlight w:val="none"/>
                <w:lang w:val="en-US" w:eastAsia="zh-CN" w:bidi="ar-SA"/>
              </w:rPr>
              <w:t>5</w:t>
            </w:r>
            <w:r>
              <w:rPr>
                <w:rFonts w:hint="default" w:ascii="Times New Roman" w:hAnsi="Times New Roman" w:eastAsia="宋体" w:cs="Times New Roman"/>
                <w:color w:val="auto"/>
                <w:spacing w:val="0"/>
                <w:kern w:val="36"/>
                <w:sz w:val="21"/>
                <w:szCs w:val="21"/>
                <w:highlight w:val="none"/>
                <w:lang w:val="en-US" w:eastAsia="zh-CN" w:bidi="ar-SA"/>
              </w:rPr>
              <w:t>噪声</w:t>
            </w:r>
            <w:r>
              <w:rPr>
                <w:rFonts w:hint="eastAsia" w:ascii="Times New Roman" w:hAnsi="Times New Roman" w:eastAsia="宋体" w:cs="Times New Roman"/>
                <w:color w:val="auto"/>
                <w:spacing w:val="0"/>
                <w:kern w:val="36"/>
                <w:sz w:val="21"/>
                <w:szCs w:val="21"/>
                <w:highlight w:val="none"/>
                <w:lang w:val="en-US" w:eastAsia="zh-CN" w:bidi="ar-SA"/>
              </w:rPr>
              <w:t>。</w:t>
            </w:r>
          </w:p>
          <w:p w14:paraId="75B91376">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宋体" w:hAnsi="宋体" w:eastAsia="宋体" w:cs="宋体"/>
                <w:color w:val="auto"/>
                <w:spacing w:val="0"/>
                <w:kern w:val="36"/>
                <w:sz w:val="21"/>
                <w:szCs w:val="21"/>
                <w:highlight w:val="none"/>
                <w:lang w:val="en-US" w:eastAsia="zh-CN" w:bidi="ar-SA"/>
              </w:rPr>
            </w:pPr>
            <w:r>
              <w:rPr>
                <w:rFonts w:hint="eastAsia" w:ascii="宋体" w:hAnsi="宋体" w:eastAsia="宋体" w:cs="宋体"/>
                <w:color w:val="auto"/>
                <w:spacing w:val="0"/>
                <w:kern w:val="36"/>
                <w:sz w:val="21"/>
                <w:szCs w:val="21"/>
                <w:highlight w:val="none"/>
                <w:lang w:val="en-US" w:eastAsia="zh-CN" w:bidi="ar-SA"/>
              </w:rPr>
              <w:t>④混合</w:t>
            </w:r>
          </w:p>
          <w:p w14:paraId="514EAA72">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eastAsia="宋体"/>
                <w:lang w:val="en-US" w:eastAsia="zh-CN"/>
              </w:rPr>
            </w:pPr>
            <w:r>
              <w:rPr>
                <w:rFonts w:hint="eastAsia" w:ascii="宋体" w:hAnsi="宋体" w:cs="宋体"/>
                <w:color w:val="auto"/>
                <w:spacing w:val="0"/>
                <w:kern w:val="36"/>
                <w:sz w:val="21"/>
                <w:szCs w:val="21"/>
                <w:highlight w:val="none"/>
                <w:lang w:val="en-US" w:eastAsia="zh-CN" w:bidi="ar-SA"/>
              </w:rPr>
              <w:t>因客户需求，</w:t>
            </w:r>
            <w:r>
              <w:rPr>
                <w:rFonts w:hint="eastAsia"/>
                <w:lang w:val="en-US" w:eastAsia="zh-CN"/>
              </w:rPr>
              <w:t>将不同含量的肥料</w:t>
            </w:r>
            <w:r>
              <w:rPr>
                <w:rFonts w:hint="eastAsia" w:cs="Times New Roman"/>
                <w:color w:val="auto"/>
                <w:spacing w:val="0"/>
                <w:kern w:val="36"/>
                <w:sz w:val="21"/>
                <w:szCs w:val="21"/>
                <w:highlight w:val="none"/>
                <w:lang w:val="en-US" w:eastAsia="zh-CN" w:bidi="ar-SA"/>
              </w:rPr>
              <w:t>按照比例</w:t>
            </w:r>
            <w:r>
              <w:rPr>
                <w:rFonts w:hint="eastAsia"/>
                <w:lang w:val="en-US" w:eastAsia="zh-CN"/>
              </w:rPr>
              <w:t>进行混合，可得到所需的复合肥15万t/a。</w:t>
            </w:r>
          </w:p>
          <w:p w14:paraId="66EDB750">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宋体" w:hAnsi="宋体" w:eastAsia="宋体" w:cs="宋体"/>
                <w:color w:val="auto"/>
                <w:spacing w:val="0"/>
                <w:kern w:val="36"/>
                <w:sz w:val="21"/>
                <w:szCs w:val="21"/>
                <w:highlight w:val="none"/>
                <w:lang w:val="en-US" w:eastAsia="zh-CN" w:bidi="ar-SA"/>
              </w:rPr>
            </w:pPr>
            <w:r>
              <w:rPr>
                <w:rFonts w:hint="default" w:ascii="Times New Roman" w:hAnsi="Times New Roman" w:eastAsia="宋体" w:cs="Times New Roman"/>
                <w:color w:val="auto"/>
                <w:spacing w:val="0"/>
                <w:kern w:val="36"/>
                <w:sz w:val="21"/>
                <w:szCs w:val="21"/>
                <w:highlight w:val="none"/>
                <w:lang w:val="en-US" w:eastAsia="zh-CN" w:bidi="ar-SA"/>
              </w:rPr>
              <w:t>产污环节：</w:t>
            </w:r>
            <w:r>
              <w:rPr>
                <w:rFonts w:hint="eastAsia" w:ascii="Times New Roman" w:hAnsi="Times New Roman" w:eastAsia="宋体" w:cs="Times New Roman"/>
                <w:color w:val="auto"/>
                <w:spacing w:val="0"/>
                <w:kern w:val="36"/>
                <w:sz w:val="21"/>
                <w:szCs w:val="21"/>
                <w:highlight w:val="none"/>
                <w:lang w:val="en-US" w:eastAsia="zh-CN" w:bidi="ar-SA"/>
              </w:rPr>
              <w:t>混合过程会产生N6噪声。</w:t>
            </w:r>
          </w:p>
          <w:p w14:paraId="6BA84583">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宋体" w:hAnsi="宋体" w:eastAsia="宋体" w:cs="宋体"/>
                <w:color w:val="auto"/>
                <w:spacing w:val="0"/>
                <w:kern w:val="36"/>
                <w:sz w:val="21"/>
                <w:szCs w:val="21"/>
                <w:highlight w:val="none"/>
                <w:lang w:val="en-US" w:eastAsia="zh-CN" w:bidi="ar-SA"/>
              </w:rPr>
            </w:pPr>
            <w:r>
              <w:rPr>
                <w:rFonts w:hint="eastAsia" w:ascii="宋体" w:hAnsi="宋体" w:eastAsia="宋体" w:cs="宋体"/>
                <w:color w:val="auto"/>
                <w:spacing w:val="0"/>
                <w:kern w:val="36"/>
                <w:sz w:val="21"/>
                <w:szCs w:val="21"/>
                <w:highlight w:val="none"/>
                <w:lang w:val="en-US" w:eastAsia="zh-CN" w:bidi="ar-SA"/>
              </w:rPr>
              <w:t>⑤粗筛、整形</w:t>
            </w:r>
          </w:p>
          <w:p w14:paraId="3FB96C6F">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Times New Roman" w:hAnsi="Times New Roman" w:cs="Times New Roman"/>
                <w:color w:val="auto"/>
                <w:spacing w:val="0"/>
                <w:kern w:val="36"/>
                <w:sz w:val="21"/>
                <w:szCs w:val="21"/>
                <w:highlight w:val="none"/>
                <w:lang w:val="en-US" w:eastAsia="zh-CN" w:bidi="ar-SA"/>
              </w:rPr>
            </w:pPr>
            <w:r>
              <w:rPr>
                <w:rFonts w:hint="eastAsia" w:ascii="Times New Roman" w:hAnsi="Times New Roman" w:cs="Times New Roman"/>
                <w:color w:val="auto"/>
                <w:spacing w:val="0"/>
                <w:kern w:val="36"/>
                <w:sz w:val="21"/>
                <w:szCs w:val="21"/>
                <w:highlight w:val="none"/>
                <w:lang w:val="en-US" w:eastAsia="zh-CN" w:bidi="ar-SA"/>
              </w:rPr>
              <w:t>造粒后</w:t>
            </w:r>
            <w:r>
              <w:rPr>
                <w:rFonts w:hint="eastAsia" w:cs="Times New Roman"/>
                <w:color w:val="auto"/>
                <w:spacing w:val="0"/>
                <w:kern w:val="36"/>
                <w:sz w:val="21"/>
                <w:szCs w:val="21"/>
                <w:highlight w:val="none"/>
                <w:lang w:val="en-US" w:eastAsia="zh-CN" w:bidi="ar-SA"/>
              </w:rPr>
              <w:t>其他肥料（15万t/a）一同</w:t>
            </w:r>
            <w:r>
              <w:rPr>
                <w:rFonts w:hint="default" w:ascii="Times New Roman" w:hAnsi="Times New Roman" w:cs="Times New Roman"/>
                <w:color w:val="auto"/>
                <w:spacing w:val="0"/>
                <w:kern w:val="36"/>
                <w:sz w:val="21"/>
                <w:szCs w:val="21"/>
                <w:highlight w:val="none"/>
                <w:lang w:val="en-US" w:eastAsia="zh-CN" w:bidi="ar-SA"/>
              </w:rPr>
              <w:t>由</w:t>
            </w:r>
            <w:r>
              <w:rPr>
                <w:rFonts w:hint="eastAsia" w:ascii="Times New Roman" w:hAnsi="Times New Roman" w:cs="Times New Roman"/>
                <w:color w:val="auto"/>
                <w:spacing w:val="0"/>
                <w:kern w:val="36"/>
                <w:sz w:val="21"/>
                <w:szCs w:val="21"/>
                <w:highlight w:val="none"/>
                <w:lang w:val="en-US" w:eastAsia="zh-CN" w:bidi="ar-SA"/>
              </w:rPr>
              <w:t>皮</w:t>
            </w:r>
            <w:r>
              <w:rPr>
                <w:rFonts w:hint="default" w:ascii="Times New Roman" w:hAnsi="Times New Roman" w:cs="Times New Roman"/>
                <w:color w:val="auto"/>
                <w:spacing w:val="0"/>
                <w:kern w:val="36"/>
                <w:sz w:val="21"/>
                <w:szCs w:val="21"/>
                <w:highlight w:val="none"/>
                <w:lang w:val="en-US" w:eastAsia="zh-CN" w:bidi="ar-SA"/>
              </w:rPr>
              <w:t>带输送至粗筛机进行</w:t>
            </w:r>
            <w:r>
              <w:rPr>
                <w:rFonts w:hint="eastAsia" w:ascii="Times New Roman" w:hAnsi="Times New Roman" w:cs="Times New Roman"/>
                <w:color w:val="auto"/>
                <w:spacing w:val="0"/>
                <w:kern w:val="36"/>
                <w:sz w:val="21"/>
                <w:szCs w:val="21"/>
                <w:highlight w:val="none"/>
                <w:lang w:val="en-US" w:eastAsia="zh-CN" w:bidi="ar-SA"/>
              </w:rPr>
              <w:t>粗筛</w:t>
            </w:r>
            <w:r>
              <w:rPr>
                <w:rFonts w:hint="default" w:ascii="Times New Roman" w:hAnsi="Times New Roman" w:cs="Times New Roman"/>
                <w:color w:val="auto"/>
                <w:spacing w:val="0"/>
                <w:kern w:val="36"/>
                <w:sz w:val="21"/>
                <w:szCs w:val="21"/>
                <w:highlight w:val="none"/>
                <w:lang w:val="en-US" w:eastAsia="zh-CN" w:bidi="ar-SA"/>
              </w:rPr>
              <w:t>（</w:t>
            </w:r>
            <w:r>
              <w:rPr>
                <w:rFonts w:hint="eastAsia" w:cs="Times New Roman"/>
                <w:color w:val="auto"/>
                <w:spacing w:val="0"/>
                <w:kern w:val="36"/>
                <w:sz w:val="21"/>
                <w:szCs w:val="21"/>
                <w:highlight w:val="none"/>
                <w:lang w:val="en-US" w:eastAsia="zh-CN" w:bidi="ar-SA"/>
              </w:rPr>
              <w:t>10%</w:t>
            </w:r>
            <w:r>
              <w:rPr>
                <w:rFonts w:hint="default" w:ascii="Times New Roman" w:hAnsi="Times New Roman" w:cs="Times New Roman"/>
                <w:color w:val="auto"/>
                <w:spacing w:val="0"/>
                <w:kern w:val="36"/>
                <w:sz w:val="21"/>
                <w:szCs w:val="21"/>
                <w:highlight w:val="none"/>
                <w:lang w:val="en-US" w:eastAsia="zh-CN" w:bidi="ar-SA"/>
              </w:rPr>
              <w:t>不合格品继续返回</w:t>
            </w:r>
            <w:r>
              <w:rPr>
                <w:rFonts w:hint="eastAsia" w:ascii="Times New Roman" w:hAnsi="Times New Roman" w:cs="Times New Roman"/>
                <w:color w:val="auto"/>
                <w:spacing w:val="0"/>
                <w:kern w:val="36"/>
                <w:sz w:val="21"/>
                <w:szCs w:val="21"/>
                <w:highlight w:val="none"/>
                <w:lang w:val="en-US" w:eastAsia="zh-CN" w:bidi="ar-SA"/>
              </w:rPr>
              <w:t>混合</w:t>
            </w:r>
            <w:r>
              <w:rPr>
                <w:rFonts w:hint="default" w:ascii="Times New Roman" w:hAnsi="Times New Roman" w:cs="Times New Roman"/>
                <w:color w:val="auto"/>
                <w:spacing w:val="0"/>
                <w:kern w:val="36"/>
                <w:sz w:val="21"/>
                <w:szCs w:val="21"/>
                <w:highlight w:val="none"/>
                <w:lang w:val="en-US" w:eastAsia="zh-CN" w:bidi="ar-SA"/>
              </w:rPr>
              <w:t>机进行</w:t>
            </w:r>
            <w:r>
              <w:rPr>
                <w:rFonts w:hint="eastAsia" w:ascii="Times New Roman" w:hAnsi="Times New Roman" w:cs="Times New Roman"/>
                <w:color w:val="auto"/>
                <w:spacing w:val="0"/>
                <w:kern w:val="36"/>
                <w:sz w:val="21"/>
                <w:szCs w:val="21"/>
                <w:highlight w:val="none"/>
                <w:lang w:val="en-US" w:eastAsia="zh-CN" w:bidi="ar-SA"/>
              </w:rPr>
              <w:t>混合</w:t>
            </w:r>
            <w:r>
              <w:rPr>
                <w:rFonts w:hint="default" w:ascii="Times New Roman" w:hAnsi="Times New Roman" w:cs="Times New Roman"/>
                <w:color w:val="auto"/>
                <w:spacing w:val="0"/>
                <w:kern w:val="36"/>
                <w:sz w:val="21"/>
                <w:szCs w:val="21"/>
                <w:highlight w:val="none"/>
                <w:lang w:val="en-US" w:eastAsia="zh-CN" w:bidi="ar-SA"/>
              </w:rPr>
              <w:t xml:space="preserve">搅拌）； </w:t>
            </w:r>
            <w:r>
              <w:rPr>
                <w:rFonts w:hint="eastAsia" w:ascii="Times New Roman" w:hAnsi="Times New Roman" w:cs="Times New Roman"/>
                <w:color w:val="auto"/>
                <w:spacing w:val="0"/>
                <w:kern w:val="36"/>
                <w:sz w:val="21"/>
                <w:szCs w:val="21"/>
                <w:highlight w:val="none"/>
                <w:lang w:val="en-US" w:eastAsia="zh-CN" w:bidi="ar-SA"/>
              </w:rPr>
              <w:t>然后经整形机整形，</w:t>
            </w:r>
            <w:r>
              <w:rPr>
                <w:rFonts w:hint="eastAsia" w:ascii="Times New Roman" w:hAnsi="Times New Roman" w:cs="Times New Roman"/>
                <w:sz w:val="21"/>
                <w:szCs w:val="21"/>
                <w:highlight w:val="none"/>
                <w:lang w:val="en-US" w:eastAsia="zh-CN"/>
              </w:rPr>
              <w:t>使物料表面圆滑一些</w:t>
            </w:r>
            <w:r>
              <w:rPr>
                <w:rFonts w:hint="eastAsia" w:ascii="Times New Roman" w:hAnsi="Times New Roman" w:cs="Times New Roman"/>
                <w:color w:val="auto"/>
                <w:spacing w:val="0"/>
                <w:kern w:val="36"/>
                <w:sz w:val="21"/>
                <w:szCs w:val="21"/>
                <w:highlight w:val="none"/>
                <w:lang w:val="en-US" w:eastAsia="zh-CN" w:bidi="ar-SA"/>
              </w:rPr>
              <w:t>。</w:t>
            </w:r>
          </w:p>
          <w:p w14:paraId="0DD03F9B">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宋体" w:hAnsi="宋体" w:eastAsia="宋体" w:cs="宋体"/>
                <w:color w:val="auto"/>
                <w:spacing w:val="0"/>
                <w:kern w:val="36"/>
                <w:sz w:val="21"/>
                <w:szCs w:val="21"/>
                <w:highlight w:val="none"/>
                <w:lang w:val="en-US" w:eastAsia="zh-CN" w:bidi="ar-SA"/>
              </w:rPr>
            </w:pPr>
            <w:r>
              <w:rPr>
                <w:rFonts w:hint="default" w:ascii="Times New Roman" w:hAnsi="Times New Roman" w:eastAsia="宋体" w:cs="Times New Roman"/>
                <w:color w:val="auto"/>
                <w:spacing w:val="0"/>
                <w:kern w:val="36"/>
                <w:sz w:val="21"/>
                <w:szCs w:val="21"/>
                <w:highlight w:val="none"/>
                <w:lang w:val="en-US" w:eastAsia="zh-CN" w:bidi="ar-SA"/>
              </w:rPr>
              <w:t>产污环节：</w:t>
            </w:r>
            <w:r>
              <w:rPr>
                <w:rFonts w:hint="eastAsia" w:ascii="宋体" w:hAnsi="宋体" w:eastAsia="宋体" w:cs="宋体"/>
                <w:color w:val="auto"/>
                <w:spacing w:val="0"/>
                <w:kern w:val="36"/>
                <w:sz w:val="21"/>
                <w:szCs w:val="21"/>
                <w:highlight w:val="none"/>
                <w:lang w:val="en-US" w:eastAsia="zh-CN" w:bidi="ar-SA"/>
              </w:rPr>
              <w:t>粗筛</w:t>
            </w:r>
            <w:r>
              <w:rPr>
                <w:rFonts w:hint="default" w:ascii="Times New Roman" w:hAnsi="Times New Roman" w:eastAsia="宋体" w:cs="Times New Roman"/>
                <w:color w:val="auto"/>
                <w:spacing w:val="0"/>
                <w:kern w:val="36"/>
                <w:sz w:val="21"/>
                <w:szCs w:val="21"/>
                <w:highlight w:val="none"/>
                <w:lang w:val="en-US" w:eastAsia="zh-CN" w:bidi="ar-SA"/>
              </w:rPr>
              <w:t>过程会产生G</w:t>
            </w:r>
            <w:r>
              <w:rPr>
                <w:rFonts w:hint="eastAsia" w:cs="Times New Roman"/>
                <w:color w:val="auto"/>
                <w:spacing w:val="0"/>
                <w:kern w:val="36"/>
                <w:sz w:val="21"/>
                <w:szCs w:val="21"/>
                <w:highlight w:val="none"/>
                <w:lang w:val="en-US" w:eastAsia="zh-CN" w:bidi="ar-SA"/>
              </w:rPr>
              <w:t>7</w:t>
            </w:r>
            <w:r>
              <w:rPr>
                <w:rFonts w:hint="default" w:ascii="Times New Roman" w:hAnsi="Times New Roman" w:eastAsia="宋体" w:cs="Times New Roman"/>
                <w:color w:val="auto"/>
                <w:spacing w:val="0"/>
                <w:kern w:val="36"/>
                <w:sz w:val="21"/>
                <w:szCs w:val="21"/>
                <w:highlight w:val="none"/>
                <w:lang w:val="en-US" w:eastAsia="zh-CN" w:bidi="ar-SA"/>
              </w:rPr>
              <w:t>粉尘、N</w:t>
            </w:r>
            <w:r>
              <w:rPr>
                <w:rFonts w:hint="eastAsia" w:cs="Times New Roman"/>
                <w:color w:val="auto"/>
                <w:spacing w:val="0"/>
                <w:kern w:val="36"/>
                <w:sz w:val="21"/>
                <w:szCs w:val="21"/>
                <w:highlight w:val="none"/>
                <w:lang w:val="en-US" w:eastAsia="zh-CN" w:bidi="ar-SA"/>
              </w:rPr>
              <w:t>7</w:t>
            </w:r>
            <w:r>
              <w:rPr>
                <w:rFonts w:hint="default" w:ascii="Times New Roman" w:hAnsi="Times New Roman" w:eastAsia="宋体" w:cs="Times New Roman"/>
                <w:color w:val="auto"/>
                <w:spacing w:val="0"/>
                <w:kern w:val="36"/>
                <w:sz w:val="21"/>
                <w:szCs w:val="21"/>
                <w:highlight w:val="none"/>
                <w:lang w:val="en-US" w:eastAsia="zh-CN" w:bidi="ar-SA"/>
              </w:rPr>
              <w:t>噪声</w:t>
            </w:r>
            <w:r>
              <w:rPr>
                <w:rFonts w:hint="eastAsia" w:ascii="Times New Roman" w:hAnsi="Times New Roman" w:eastAsia="宋体" w:cs="Times New Roman"/>
                <w:color w:val="auto"/>
                <w:spacing w:val="0"/>
                <w:kern w:val="36"/>
                <w:sz w:val="21"/>
                <w:szCs w:val="21"/>
                <w:highlight w:val="none"/>
                <w:lang w:val="en-US" w:eastAsia="zh-CN" w:bidi="ar-SA"/>
              </w:rPr>
              <w:t>；整形</w:t>
            </w:r>
            <w:r>
              <w:rPr>
                <w:rFonts w:hint="default" w:ascii="Times New Roman" w:hAnsi="Times New Roman" w:eastAsia="宋体" w:cs="Times New Roman"/>
                <w:color w:val="auto"/>
                <w:spacing w:val="0"/>
                <w:kern w:val="36"/>
                <w:sz w:val="21"/>
                <w:szCs w:val="21"/>
                <w:highlight w:val="none"/>
                <w:lang w:val="en-US" w:eastAsia="zh-CN" w:bidi="ar-SA"/>
              </w:rPr>
              <w:t>过程会产生G</w:t>
            </w:r>
            <w:r>
              <w:rPr>
                <w:rFonts w:hint="eastAsia" w:cs="Times New Roman"/>
                <w:color w:val="auto"/>
                <w:spacing w:val="0"/>
                <w:kern w:val="36"/>
                <w:sz w:val="21"/>
                <w:szCs w:val="21"/>
                <w:highlight w:val="none"/>
                <w:lang w:val="en-US" w:eastAsia="zh-CN" w:bidi="ar-SA"/>
              </w:rPr>
              <w:t>8</w:t>
            </w:r>
            <w:r>
              <w:rPr>
                <w:rFonts w:hint="default" w:ascii="Times New Roman" w:hAnsi="Times New Roman" w:eastAsia="宋体" w:cs="Times New Roman"/>
                <w:color w:val="auto"/>
                <w:spacing w:val="0"/>
                <w:kern w:val="36"/>
                <w:sz w:val="21"/>
                <w:szCs w:val="21"/>
                <w:highlight w:val="none"/>
                <w:lang w:val="en-US" w:eastAsia="zh-CN" w:bidi="ar-SA"/>
              </w:rPr>
              <w:t>粉尘、N</w:t>
            </w:r>
            <w:r>
              <w:rPr>
                <w:rFonts w:hint="eastAsia" w:cs="Times New Roman"/>
                <w:color w:val="auto"/>
                <w:spacing w:val="0"/>
                <w:kern w:val="36"/>
                <w:sz w:val="21"/>
                <w:szCs w:val="21"/>
                <w:highlight w:val="none"/>
                <w:lang w:val="en-US" w:eastAsia="zh-CN" w:bidi="ar-SA"/>
              </w:rPr>
              <w:t>8</w:t>
            </w:r>
            <w:r>
              <w:rPr>
                <w:rFonts w:hint="default" w:ascii="Times New Roman" w:hAnsi="Times New Roman" w:eastAsia="宋体" w:cs="Times New Roman"/>
                <w:color w:val="auto"/>
                <w:spacing w:val="0"/>
                <w:kern w:val="36"/>
                <w:sz w:val="21"/>
                <w:szCs w:val="21"/>
                <w:highlight w:val="none"/>
                <w:lang w:val="en-US" w:eastAsia="zh-CN" w:bidi="ar-SA"/>
              </w:rPr>
              <w:t>噪声</w:t>
            </w:r>
            <w:r>
              <w:rPr>
                <w:rFonts w:hint="eastAsia" w:ascii="Times New Roman" w:hAnsi="Times New Roman" w:eastAsia="宋体" w:cs="Times New Roman"/>
                <w:color w:val="auto"/>
                <w:spacing w:val="0"/>
                <w:kern w:val="36"/>
                <w:sz w:val="21"/>
                <w:szCs w:val="21"/>
                <w:highlight w:val="none"/>
                <w:lang w:val="en-US" w:eastAsia="zh-CN" w:bidi="ar-SA"/>
              </w:rPr>
              <w:t>。</w:t>
            </w:r>
          </w:p>
          <w:p w14:paraId="365FBDB3">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Times New Roman" w:hAnsi="Times New Roman" w:eastAsia="宋体" w:cs="Times New Roman"/>
                <w:color w:val="auto"/>
                <w:spacing w:val="0"/>
                <w:kern w:val="36"/>
                <w:sz w:val="21"/>
                <w:szCs w:val="21"/>
                <w:highlight w:val="none"/>
                <w:lang w:val="en-US" w:eastAsia="zh-CN" w:bidi="ar-SA"/>
              </w:rPr>
            </w:pPr>
            <w:r>
              <w:rPr>
                <w:rFonts w:hint="eastAsia" w:ascii="宋体" w:hAnsi="宋体" w:eastAsia="宋体" w:cs="宋体"/>
                <w:color w:val="auto"/>
                <w:spacing w:val="0"/>
                <w:kern w:val="36"/>
                <w:sz w:val="21"/>
                <w:szCs w:val="21"/>
                <w:highlight w:val="none"/>
                <w:lang w:val="en-US" w:eastAsia="zh-CN" w:bidi="ar-SA"/>
              </w:rPr>
              <w:t>⑥烘干</w:t>
            </w:r>
          </w:p>
          <w:p w14:paraId="708E6489">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Times New Roman" w:hAnsi="Times New Roman" w:cs="Times New Roman"/>
                <w:color w:val="auto"/>
                <w:spacing w:val="0"/>
                <w:kern w:val="36"/>
                <w:sz w:val="21"/>
                <w:szCs w:val="21"/>
                <w:highlight w:val="none"/>
                <w:lang w:val="en-US" w:eastAsia="zh-CN" w:bidi="ar-SA"/>
              </w:rPr>
            </w:pPr>
            <w:r>
              <w:rPr>
                <w:rFonts w:hint="default" w:ascii="Times New Roman" w:hAnsi="Times New Roman" w:cs="Times New Roman"/>
                <w:color w:val="auto"/>
                <w:spacing w:val="0"/>
                <w:kern w:val="36"/>
                <w:sz w:val="21"/>
                <w:szCs w:val="21"/>
                <w:highlight w:val="none"/>
                <w:lang w:val="en-US" w:eastAsia="zh-CN" w:bidi="ar-SA"/>
              </w:rPr>
              <w:t>使用天然气燃烧器燃烧产生热风</w:t>
            </w:r>
            <w:r>
              <w:rPr>
                <w:rFonts w:hint="eastAsia" w:cs="Times New Roman"/>
                <w:color w:val="auto"/>
                <w:spacing w:val="0"/>
                <w:kern w:val="36"/>
                <w:sz w:val="21"/>
                <w:szCs w:val="21"/>
                <w:highlight w:val="none"/>
                <w:lang w:val="en-US" w:eastAsia="zh-CN" w:bidi="ar-SA"/>
              </w:rPr>
              <w:t>直接接触</w:t>
            </w:r>
            <w:r>
              <w:rPr>
                <w:rFonts w:hint="default" w:ascii="Times New Roman" w:hAnsi="Times New Roman" w:cs="Times New Roman"/>
                <w:color w:val="auto"/>
                <w:spacing w:val="0"/>
                <w:kern w:val="36"/>
                <w:sz w:val="21"/>
                <w:szCs w:val="21"/>
                <w:highlight w:val="none"/>
                <w:lang w:val="en-US" w:eastAsia="zh-CN" w:bidi="ar-SA"/>
              </w:rPr>
              <w:t xml:space="preserve">对物料进行烘干（温度约为 200℃）。 </w:t>
            </w:r>
          </w:p>
          <w:p w14:paraId="683031B1">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Times New Roman" w:hAnsi="Times New Roman" w:eastAsia="宋体" w:cs="Times New Roman"/>
                <w:color w:val="auto"/>
                <w:spacing w:val="0"/>
                <w:kern w:val="36"/>
                <w:sz w:val="21"/>
                <w:szCs w:val="21"/>
                <w:highlight w:val="none"/>
                <w:lang w:val="en-US" w:eastAsia="zh-CN" w:bidi="ar-SA"/>
              </w:rPr>
            </w:pPr>
            <w:r>
              <w:rPr>
                <w:rFonts w:hint="default" w:ascii="Times New Roman" w:hAnsi="Times New Roman" w:eastAsia="宋体" w:cs="Times New Roman"/>
                <w:color w:val="auto"/>
                <w:spacing w:val="0"/>
                <w:kern w:val="36"/>
                <w:sz w:val="21"/>
                <w:szCs w:val="21"/>
                <w:highlight w:val="none"/>
                <w:lang w:val="en-US" w:eastAsia="zh-CN" w:bidi="ar-SA"/>
              </w:rPr>
              <w:t>产污环节：天然气燃烧过程会产生G</w:t>
            </w:r>
            <w:r>
              <w:rPr>
                <w:rFonts w:hint="eastAsia" w:cs="Times New Roman"/>
                <w:color w:val="auto"/>
                <w:spacing w:val="0"/>
                <w:kern w:val="36"/>
                <w:sz w:val="21"/>
                <w:szCs w:val="21"/>
                <w:highlight w:val="none"/>
                <w:lang w:val="en-US" w:eastAsia="zh-CN" w:bidi="ar-SA"/>
              </w:rPr>
              <w:t>9</w:t>
            </w:r>
            <w:r>
              <w:rPr>
                <w:rFonts w:hint="default" w:ascii="Times New Roman" w:hAnsi="Times New Roman" w:eastAsia="宋体" w:cs="Times New Roman"/>
                <w:color w:val="auto"/>
                <w:spacing w:val="0"/>
                <w:kern w:val="36"/>
                <w:sz w:val="21"/>
                <w:szCs w:val="21"/>
                <w:highlight w:val="none"/>
                <w:lang w:val="en-US" w:eastAsia="zh-CN" w:bidi="ar-SA"/>
              </w:rPr>
              <w:t>SO</w:t>
            </w:r>
            <w:r>
              <w:rPr>
                <w:rFonts w:hint="default" w:ascii="Times New Roman" w:hAnsi="Times New Roman" w:eastAsia="宋体" w:cs="Times New Roman"/>
                <w:color w:val="auto"/>
                <w:spacing w:val="0"/>
                <w:kern w:val="36"/>
                <w:sz w:val="21"/>
                <w:szCs w:val="21"/>
                <w:highlight w:val="none"/>
                <w:vertAlign w:val="subscript"/>
                <w:lang w:val="en-US" w:eastAsia="zh-CN" w:bidi="ar-SA"/>
              </w:rPr>
              <w:t>2</w:t>
            </w:r>
            <w:r>
              <w:rPr>
                <w:rFonts w:hint="default" w:ascii="Times New Roman" w:hAnsi="Times New Roman" w:eastAsia="宋体" w:cs="Times New Roman"/>
                <w:color w:val="auto"/>
                <w:spacing w:val="0"/>
                <w:kern w:val="36"/>
                <w:sz w:val="21"/>
                <w:szCs w:val="21"/>
                <w:highlight w:val="none"/>
                <w:lang w:val="en-US" w:eastAsia="zh-CN" w:bidi="ar-SA"/>
              </w:rPr>
              <w:t>、NOx、烟尘，N</w:t>
            </w:r>
            <w:r>
              <w:rPr>
                <w:rFonts w:hint="eastAsia" w:cs="Times New Roman"/>
                <w:color w:val="auto"/>
                <w:spacing w:val="0"/>
                <w:kern w:val="36"/>
                <w:sz w:val="21"/>
                <w:szCs w:val="21"/>
                <w:highlight w:val="none"/>
                <w:lang w:val="en-US" w:eastAsia="zh-CN" w:bidi="ar-SA"/>
              </w:rPr>
              <w:t>9</w:t>
            </w:r>
            <w:r>
              <w:rPr>
                <w:rFonts w:hint="default" w:ascii="Times New Roman" w:hAnsi="Times New Roman" w:eastAsia="宋体" w:cs="Times New Roman"/>
                <w:color w:val="auto"/>
                <w:spacing w:val="0"/>
                <w:kern w:val="36"/>
                <w:sz w:val="21"/>
                <w:szCs w:val="21"/>
                <w:highlight w:val="none"/>
                <w:lang w:val="en-US" w:eastAsia="zh-CN" w:bidi="ar-SA"/>
              </w:rPr>
              <w:t>噪声；</w:t>
            </w:r>
            <w:r>
              <w:rPr>
                <w:rFonts w:hint="eastAsia" w:ascii="Times New Roman" w:hAnsi="Times New Roman" w:eastAsia="宋体" w:cs="Times New Roman"/>
                <w:color w:val="auto"/>
                <w:spacing w:val="0"/>
                <w:kern w:val="36"/>
                <w:sz w:val="21"/>
                <w:szCs w:val="21"/>
                <w:highlight w:val="none"/>
                <w:lang w:val="en-US" w:eastAsia="zh-CN" w:bidi="ar-SA"/>
              </w:rPr>
              <w:t>烘干过程会产生G</w:t>
            </w:r>
            <w:r>
              <w:rPr>
                <w:rFonts w:hint="eastAsia" w:cs="Times New Roman"/>
                <w:color w:val="auto"/>
                <w:spacing w:val="0"/>
                <w:kern w:val="36"/>
                <w:sz w:val="21"/>
                <w:szCs w:val="21"/>
                <w:highlight w:val="none"/>
                <w:lang w:val="en-US" w:eastAsia="zh-CN" w:bidi="ar-SA"/>
              </w:rPr>
              <w:t>10</w:t>
            </w:r>
            <w:r>
              <w:rPr>
                <w:rFonts w:hint="eastAsia" w:ascii="Times New Roman" w:hAnsi="Times New Roman" w:eastAsia="宋体" w:cs="Times New Roman"/>
                <w:color w:val="auto"/>
                <w:spacing w:val="0"/>
                <w:kern w:val="36"/>
                <w:sz w:val="21"/>
                <w:szCs w:val="21"/>
                <w:highlight w:val="none"/>
                <w:lang w:val="en-US" w:eastAsia="zh-CN" w:bidi="ar-SA"/>
              </w:rPr>
              <w:t>粉尘、氨气</w:t>
            </w:r>
            <w:r>
              <w:rPr>
                <w:rFonts w:hint="eastAsia" w:cs="Times New Roman"/>
                <w:color w:val="auto"/>
                <w:spacing w:val="0"/>
                <w:kern w:val="36"/>
                <w:sz w:val="21"/>
                <w:szCs w:val="21"/>
                <w:highlight w:val="none"/>
                <w:lang w:val="en-US" w:eastAsia="zh-CN" w:bidi="ar-SA"/>
              </w:rPr>
              <w:t>、臭气浓度</w:t>
            </w:r>
            <w:r>
              <w:rPr>
                <w:rFonts w:hint="eastAsia" w:ascii="Times New Roman" w:hAnsi="Times New Roman" w:eastAsia="宋体" w:cs="Times New Roman"/>
                <w:color w:val="auto"/>
                <w:spacing w:val="0"/>
                <w:kern w:val="36"/>
                <w:sz w:val="21"/>
                <w:szCs w:val="21"/>
                <w:highlight w:val="none"/>
                <w:lang w:val="en-US" w:eastAsia="zh-CN" w:bidi="ar-SA"/>
              </w:rPr>
              <w:t>，N</w:t>
            </w:r>
            <w:r>
              <w:rPr>
                <w:rFonts w:hint="eastAsia" w:cs="Times New Roman"/>
                <w:color w:val="auto"/>
                <w:spacing w:val="0"/>
                <w:kern w:val="36"/>
                <w:sz w:val="21"/>
                <w:szCs w:val="21"/>
                <w:highlight w:val="none"/>
                <w:lang w:val="en-US" w:eastAsia="zh-CN" w:bidi="ar-SA"/>
              </w:rPr>
              <w:t>10</w:t>
            </w:r>
            <w:r>
              <w:rPr>
                <w:rFonts w:hint="eastAsia" w:ascii="Times New Roman" w:hAnsi="Times New Roman" w:eastAsia="宋体" w:cs="Times New Roman"/>
                <w:color w:val="auto"/>
                <w:spacing w:val="0"/>
                <w:kern w:val="36"/>
                <w:sz w:val="21"/>
                <w:szCs w:val="21"/>
                <w:highlight w:val="none"/>
                <w:lang w:val="en-US" w:eastAsia="zh-CN" w:bidi="ar-SA"/>
              </w:rPr>
              <w:t>噪声。</w:t>
            </w:r>
          </w:p>
          <w:p w14:paraId="3BC3CCE4">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Times New Roman" w:hAnsi="Times New Roman" w:cs="Times New Roman"/>
                <w:color w:val="auto"/>
                <w:spacing w:val="0"/>
                <w:kern w:val="36"/>
                <w:sz w:val="21"/>
                <w:szCs w:val="21"/>
                <w:highlight w:val="none"/>
                <w:lang w:val="en-US" w:eastAsia="zh-CN" w:bidi="ar-SA"/>
              </w:rPr>
            </w:pPr>
            <w:r>
              <w:rPr>
                <w:rFonts w:hint="eastAsia" w:ascii="宋体" w:hAnsi="宋体" w:eastAsia="宋体" w:cs="宋体"/>
                <w:color w:val="auto"/>
                <w:spacing w:val="0"/>
                <w:kern w:val="36"/>
                <w:sz w:val="21"/>
                <w:szCs w:val="21"/>
                <w:highlight w:val="none"/>
                <w:lang w:val="en-US" w:eastAsia="zh-CN" w:bidi="ar-SA"/>
              </w:rPr>
              <w:t>⑦</w:t>
            </w:r>
            <w:r>
              <w:rPr>
                <w:rFonts w:hint="default" w:ascii="宋体" w:hAnsi="宋体" w:eastAsia="宋体" w:cs="宋体"/>
                <w:color w:val="auto"/>
                <w:spacing w:val="0"/>
                <w:kern w:val="36"/>
                <w:sz w:val="21"/>
                <w:szCs w:val="21"/>
                <w:highlight w:val="none"/>
                <w:lang w:val="en-US" w:eastAsia="zh-CN" w:bidi="ar-SA"/>
              </w:rPr>
              <w:t>冷却：对烘干</w:t>
            </w:r>
            <w:r>
              <w:rPr>
                <w:rFonts w:hint="default" w:ascii="Times New Roman" w:hAnsi="Times New Roman" w:cs="Times New Roman"/>
                <w:color w:val="auto"/>
                <w:spacing w:val="0"/>
                <w:kern w:val="36"/>
                <w:sz w:val="21"/>
                <w:szCs w:val="21"/>
                <w:highlight w:val="none"/>
                <w:lang w:val="en-US" w:eastAsia="zh-CN" w:bidi="ar-SA"/>
              </w:rPr>
              <w:t>后的物料进行风冷</w:t>
            </w:r>
            <w:r>
              <w:rPr>
                <w:rFonts w:hint="eastAsia" w:cs="Times New Roman"/>
                <w:color w:val="auto"/>
                <w:spacing w:val="0"/>
                <w:kern w:val="36"/>
                <w:sz w:val="21"/>
                <w:szCs w:val="21"/>
                <w:highlight w:val="none"/>
                <w:lang w:val="en-US" w:eastAsia="zh-CN" w:bidi="ar-SA"/>
              </w:rPr>
              <w:t>。</w:t>
            </w:r>
            <w:r>
              <w:rPr>
                <w:rFonts w:hint="default" w:ascii="Times New Roman" w:hAnsi="Times New Roman" w:cs="Times New Roman"/>
                <w:color w:val="auto"/>
                <w:spacing w:val="0"/>
                <w:kern w:val="36"/>
                <w:sz w:val="21"/>
                <w:szCs w:val="21"/>
                <w:highlight w:val="none"/>
                <w:lang w:val="en-US" w:eastAsia="zh-CN" w:bidi="ar-SA"/>
              </w:rPr>
              <w:t xml:space="preserve"> </w:t>
            </w:r>
          </w:p>
          <w:p w14:paraId="03B8511E">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宋体" w:hAnsi="宋体" w:eastAsia="宋体" w:cs="宋体"/>
                <w:color w:val="auto"/>
                <w:spacing w:val="0"/>
                <w:kern w:val="36"/>
                <w:sz w:val="21"/>
                <w:szCs w:val="21"/>
                <w:highlight w:val="none"/>
                <w:lang w:val="en-US" w:eastAsia="zh-CN" w:bidi="ar-SA"/>
              </w:rPr>
            </w:pPr>
            <w:r>
              <w:rPr>
                <w:rFonts w:hint="eastAsia" w:ascii="宋体" w:hAnsi="宋体" w:eastAsia="宋体" w:cs="宋体"/>
                <w:color w:val="auto"/>
                <w:spacing w:val="0"/>
                <w:kern w:val="36"/>
                <w:sz w:val="21"/>
                <w:szCs w:val="21"/>
                <w:highlight w:val="none"/>
                <w:lang w:val="en-US" w:eastAsia="zh-CN" w:bidi="ar-SA"/>
              </w:rPr>
              <w:t>产污环节：</w:t>
            </w:r>
            <w:r>
              <w:rPr>
                <w:rFonts w:hint="default" w:ascii="宋体" w:hAnsi="宋体" w:eastAsia="宋体" w:cs="宋体"/>
                <w:color w:val="auto"/>
                <w:spacing w:val="0"/>
                <w:kern w:val="36"/>
                <w:sz w:val="21"/>
                <w:szCs w:val="21"/>
                <w:highlight w:val="none"/>
                <w:lang w:val="en-US" w:eastAsia="zh-CN" w:bidi="ar-SA"/>
              </w:rPr>
              <w:t>冷却</w:t>
            </w:r>
            <w:r>
              <w:rPr>
                <w:rFonts w:hint="eastAsia" w:ascii="Times New Roman" w:hAnsi="Times New Roman" w:eastAsia="宋体" w:cs="Times New Roman"/>
                <w:color w:val="auto"/>
                <w:spacing w:val="0"/>
                <w:kern w:val="36"/>
                <w:sz w:val="21"/>
                <w:szCs w:val="21"/>
                <w:highlight w:val="none"/>
                <w:lang w:val="en-US" w:eastAsia="zh-CN" w:bidi="ar-SA"/>
              </w:rPr>
              <w:t>过程会产生G1</w:t>
            </w:r>
            <w:r>
              <w:rPr>
                <w:rFonts w:hint="eastAsia" w:cs="Times New Roman"/>
                <w:color w:val="auto"/>
                <w:spacing w:val="0"/>
                <w:kern w:val="36"/>
                <w:sz w:val="21"/>
                <w:szCs w:val="21"/>
                <w:highlight w:val="none"/>
                <w:lang w:val="en-US" w:eastAsia="zh-CN" w:bidi="ar-SA"/>
              </w:rPr>
              <w:t>1</w:t>
            </w:r>
            <w:r>
              <w:rPr>
                <w:rFonts w:hint="eastAsia" w:ascii="Times New Roman" w:hAnsi="Times New Roman" w:eastAsia="宋体" w:cs="Times New Roman"/>
                <w:color w:val="auto"/>
                <w:spacing w:val="0"/>
                <w:kern w:val="36"/>
                <w:sz w:val="21"/>
                <w:szCs w:val="21"/>
                <w:highlight w:val="none"/>
                <w:lang w:val="en-US" w:eastAsia="zh-CN" w:bidi="ar-SA"/>
              </w:rPr>
              <w:t>粉尘。</w:t>
            </w:r>
          </w:p>
          <w:p w14:paraId="0C893A2F">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宋体" w:hAnsi="宋体" w:eastAsia="宋体" w:cs="宋体"/>
                <w:color w:val="auto"/>
                <w:spacing w:val="0"/>
                <w:kern w:val="36"/>
                <w:sz w:val="21"/>
                <w:szCs w:val="21"/>
                <w:highlight w:val="none"/>
                <w:lang w:val="en-US" w:eastAsia="zh-CN" w:bidi="ar-SA"/>
              </w:rPr>
            </w:pPr>
            <w:r>
              <w:rPr>
                <w:rFonts w:hint="eastAsia" w:ascii="宋体" w:hAnsi="宋体" w:eastAsia="宋体" w:cs="宋体"/>
                <w:color w:val="auto"/>
                <w:spacing w:val="0"/>
                <w:kern w:val="36"/>
                <w:sz w:val="21"/>
                <w:szCs w:val="21"/>
                <w:highlight w:val="none"/>
                <w:lang w:val="en-US" w:eastAsia="zh-CN" w:bidi="ar-SA"/>
              </w:rPr>
              <w:t>⑧精筛</w:t>
            </w:r>
          </w:p>
          <w:p w14:paraId="1021032E">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eastAsia" w:ascii="Times New Roman" w:hAnsi="Times New Roman" w:eastAsia="宋体" w:cs="Times New Roman"/>
                <w:color w:val="auto"/>
                <w:spacing w:val="0"/>
                <w:kern w:val="36"/>
                <w:sz w:val="21"/>
                <w:szCs w:val="21"/>
                <w:highlight w:val="none"/>
                <w:lang w:val="en-US" w:eastAsia="zh-CN" w:bidi="ar-SA"/>
              </w:rPr>
            </w:pPr>
            <w:r>
              <w:rPr>
                <w:rFonts w:hint="eastAsia" w:ascii="Times New Roman" w:hAnsi="Times New Roman" w:eastAsia="宋体" w:cs="Times New Roman"/>
                <w:color w:val="auto"/>
                <w:spacing w:val="0"/>
                <w:kern w:val="36"/>
                <w:sz w:val="21"/>
                <w:szCs w:val="21"/>
                <w:highlight w:val="none"/>
                <w:lang w:val="en-US" w:eastAsia="zh-CN" w:bidi="ar-SA"/>
              </w:rPr>
              <w:t>冷却后的复混肥通过精筛，得到不同粒径的肥料。</w:t>
            </w:r>
          </w:p>
          <w:p w14:paraId="751BC4FF">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eastAsia" w:ascii="宋体" w:hAnsi="宋体" w:eastAsia="宋体" w:cs="宋体"/>
                <w:color w:val="auto"/>
                <w:spacing w:val="0"/>
                <w:kern w:val="36"/>
                <w:sz w:val="21"/>
                <w:szCs w:val="21"/>
                <w:highlight w:val="none"/>
                <w:lang w:val="en-US" w:eastAsia="zh-CN" w:bidi="ar-SA"/>
              </w:rPr>
            </w:pPr>
            <w:r>
              <w:rPr>
                <w:rFonts w:hint="eastAsia" w:ascii="Times New Roman" w:hAnsi="Times New Roman" w:eastAsia="宋体" w:cs="Times New Roman"/>
                <w:color w:val="auto"/>
                <w:spacing w:val="0"/>
                <w:kern w:val="36"/>
                <w:sz w:val="21"/>
                <w:szCs w:val="21"/>
                <w:highlight w:val="none"/>
                <w:lang w:val="en-US" w:eastAsia="zh-CN" w:bidi="ar-SA"/>
              </w:rPr>
              <w:t>产污环节：精筛</w:t>
            </w:r>
            <w:r>
              <w:rPr>
                <w:rFonts w:hint="default" w:ascii="Times New Roman" w:hAnsi="Times New Roman" w:eastAsia="宋体" w:cs="Times New Roman"/>
                <w:color w:val="auto"/>
                <w:spacing w:val="0"/>
                <w:kern w:val="36"/>
                <w:sz w:val="21"/>
                <w:szCs w:val="21"/>
                <w:highlight w:val="none"/>
                <w:lang w:val="en-US" w:eastAsia="zh-CN" w:bidi="ar-SA"/>
              </w:rPr>
              <w:t>过程会产生G</w:t>
            </w:r>
            <w:r>
              <w:rPr>
                <w:rFonts w:hint="eastAsia" w:cs="Times New Roman"/>
                <w:color w:val="auto"/>
                <w:spacing w:val="0"/>
                <w:kern w:val="36"/>
                <w:sz w:val="21"/>
                <w:szCs w:val="21"/>
                <w:highlight w:val="none"/>
                <w:lang w:val="en-US" w:eastAsia="zh-CN" w:bidi="ar-SA"/>
              </w:rPr>
              <w:t>12</w:t>
            </w:r>
            <w:r>
              <w:rPr>
                <w:rFonts w:hint="default" w:ascii="Times New Roman" w:hAnsi="Times New Roman" w:eastAsia="宋体" w:cs="Times New Roman"/>
                <w:color w:val="auto"/>
                <w:spacing w:val="0"/>
                <w:kern w:val="36"/>
                <w:sz w:val="21"/>
                <w:szCs w:val="21"/>
                <w:highlight w:val="none"/>
                <w:lang w:val="en-US" w:eastAsia="zh-CN" w:bidi="ar-SA"/>
              </w:rPr>
              <w:t>粉尘、N</w:t>
            </w:r>
            <w:r>
              <w:rPr>
                <w:rFonts w:hint="eastAsia" w:cs="Times New Roman"/>
                <w:color w:val="auto"/>
                <w:spacing w:val="0"/>
                <w:kern w:val="36"/>
                <w:sz w:val="21"/>
                <w:szCs w:val="21"/>
                <w:highlight w:val="none"/>
                <w:lang w:val="en-US" w:eastAsia="zh-CN" w:bidi="ar-SA"/>
              </w:rPr>
              <w:t>12</w:t>
            </w:r>
            <w:r>
              <w:rPr>
                <w:rFonts w:hint="default" w:ascii="Times New Roman" w:hAnsi="Times New Roman" w:eastAsia="宋体" w:cs="Times New Roman"/>
                <w:color w:val="auto"/>
                <w:spacing w:val="0"/>
                <w:kern w:val="36"/>
                <w:sz w:val="21"/>
                <w:szCs w:val="21"/>
                <w:highlight w:val="none"/>
                <w:lang w:val="en-US" w:eastAsia="zh-CN" w:bidi="ar-SA"/>
              </w:rPr>
              <w:t>噪声</w:t>
            </w:r>
          </w:p>
          <w:p w14:paraId="37A9F03B">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Times New Roman" w:hAnsi="Times New Roman" w:cs="Times New Roman"/>
                <w:color w:val="auto"/>
                <w:spacing w:val="0"/>
                <w:kern w:val="36"/>
                <w:sz w:val="21"/>
                <w:szCs w:val="21"/>
                <w:highlight w:val="none"/>
                <w:lang w:val="en-US" w:eastAsia="zh-CN" w:bidi="ar-SA"/>
              </w:rPr>
            </w:pPr>
            <w:r>
              <w:rPr>
                <w:rFonts w:hint="eastAsia" w:ascii="宋体" w:hAnsi="宋体" w:eastAsia="宋体" w:cs="宋体"/>
                <w:color w:val="auto"/>
                <w:spacing w:val="0"/>
                <w:kern w:val="36"/>
                <w:sz w:val="21"/>
                <w:szCs w:val="21"/>
                <w:highlight w:val="none"/>
                <w:lang w:val="en-US" w:eastAsia="zh-CN" w:bidi="ar-SA"/>
              </w:rPr>
              <w:t>⑨</w:t>
            </w:r>
            <w:r>
              <w:rPr>
                <w:rFonts w:hint="default" w:ascii="Times New Roman" w:hAnsi="Times New Roman" w:cs="Times New Roman"/>
                <w:color w:val="auto"/>
                <w:spacing w:val="0"/>
                <w:kern w:val="36"/>
                <w:sz w:val="21"/>
                <w:szCs w:val="21"/>
                <w:highlight w:val="none"/>
                <w:lang w:val="en-US" w:eastAsia="zh-CN" w:bidi="ar-SA"/>
              </w:rPr>
              <w:t xml:space="preserve">入仓：对冷却后的物料通过气力密闭输送至成品仓； </w:t>
            </w:r>
          </w:p>
          <w:p w14:paraId="03E73278">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宋体" w:hAnsi="宋体" w:eastAsia="宋体" w:cs="宋体"/>
                <w:color w:val="auto"/>
                <w:spacing w:val="0"/>
                <w:kern w:val="36"/>
                <w:sz w:val="21"/>
                <w:szCs w:val="21"/>
                <w:highlight w:val="none"/>
                <w:lang w:val="en-US" w:eastAsia="zh-CN" w:bidi="ar-SA"/>
              </w:rPr>
            </w:pPr>
            <w:r>
              <w:rPr>
                <w:rFonts w:hint="eastAsia" w:ascii="宋体" w:hAnsi="宋体" w:eastAsia="宋体" w:cs="宋体"/>
                <w:color w:val="auto"/>
                <w:spacing w:val="0"/>
                <w:kern w:val="36"/>
                <w:sz w:val="21"/>
                <w:szCs w:val="21"/>
                <w:highlight w:val="none"/>
                <w:lang w:val="en-US" w:eastAsia="zh-CN" w:bidi="ar-SA"/>
              </w:rPr>
              <w:t>产污环节：入仓</w:t>
            </w:r>
            <w:r>
              <w:rPr>
                <w:rFonts w:hint="eastAsia" w:ascii="Times New Roman" w:hAnsi="Times New Roman" w:eastAsia="宋体" w:cs="Times New Roman"/>
                <w:color w:val="auto"/>
                <w:spacing w:val="0"/>
                <w:kern w:val="36"/>
                <w:sz w:val="21"/>
                <w:szCs w:val="21"/>
                <w:highlight w:val="none"/>
                <w:lang w:val="en-US" w:eastAsia="zh-CN" w:bidi="ar-SA"/>
              </w:rPr>
              <w:t>过程会产生G1</w:t>
            </w:r>
            <w:r>
              <w:rPr>
                <w:rFonts w:hint="eastAsia" w:cs="Times New Roman"/>
                <w:color w:val="auto"/>
                <w:spacing w:val="0"/>
                <w:kern w:val="36"/>
                <w:sz w:val="21"/>
                <w:szCs w:val="21"/>
                <w:highlight w:val="none"/>
                <w:lang w:val="en-US" w:eastAsia="zh-CN" w:bidi="ar-SA"/>
              </w:rPr>
              <w:t>3</w:t>
            </w:r>
            <w:r>
              <w:rPr>
                <w:rFonts w:hint="eastAsia" w:ascii="Times New Roman" w:hAnsi="Times New Roman" w:eastAsia="宋体" w:cs="Times New Roman"/>
                <w:color w:val="auto"/>
                <w:spacing w:val="0"/>
                <w:kern w:val="36"/>
                <w:sz w:val="21"/>
                <w:szCs w:val="21"/>
                <w:highlight w:val="none"/>
                <w:lang w:val="en-US" w:eastAsia="zh-CN" w:bidi="ar-SA"/>
              </w:rPr>
              <w:t>粉尘。</w:t>
            </w:r>
          </w:p>
          <w:p w14:paraId="2FA6A3E7">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Times New Roman" w:hAnsi="Times New Roman" w:cs="Times New Roman"/>
                <w:color w:val="auto"/>
                <w:spacing w:val="0"/>
                <w:kern w:val="36"/>
                <w:sz w:val="21"/>
                <w:szCs w:val="21"/>
                <w:highlight w:val="none"/>
                <w:lang w:val="en-US" w:eastAsia="zh-CN" w:bidi="ar-SA"/>
              </w:rPr>
            </w:pPr>
            <w:r>
              <w:rPr>
                <w:rFonts w:hint="eastAsia" w:ascii="宋体" w:hAnsi="宋体" w:eastAsia="宋体" w:cs="宋体"/>
                <w:color w:val="auto"/>
                <w:spacing w:val="0"/>
                <w:kern w:val="36"/>
                <w:sz w:val="21"/>
                <w:szCs w:val="21"/>
                <w:highlight w:val="none"/>
                <w:lang w:val="en-US" w:eastAsia="zh-CN" w:bidi="ar-SA"/>
              </w:rPr>
              <w:t>⑩包膜、</w:t>
            </w:r>
            <w:r>
              <w:rPr>
                <w:rFonts w:hint="default" w:ascii="Times New Roman" w:hAnsi="Times New Roman" w:cs="Times New Roman"/>
                <w:color w:val="auto"/>
                <w:spacing w:val="0"/>
                <w:kern w:val="36"/>
                <w:sz w:val="21"/>
                <w:szCs w:val="21"/>
                <w:highlight w:val="none"/>
                <w:lang w:val="en-US" w:eastAsia="zh-CN" w:bidi="ar-SA"/>
              </w:rPr>
              <w:t>包装：满足技术要求的颗粒肥进入包膜工序进行包膜，包膜加粉机内的温度为常温，包膜起到预防颗粒肥结块</w:t>
            </w:r>
            <w:r>
              <w:rPr>
                <w:rFonts w:hint="eastAsia" w:cs="Times New Roman"/>
                <w:color w:val="auto"/>
                <w:spacing w:val="0"/>
                <w:kern w:val="36"/>
                <w:sz w:val="21"/>
                <w:szCs w:val="21"/>
                <w:highlight w:val="none"/>
                <w:lang w:val="en-US" w:eastAsia="zh-CN" w:bidi="ar-SA"/>
              </w:rPr>
              <w:t>，最后</w:t>
            </w:r>
            <w:r>
              <w:rPr>
                <w:rFonts w:hint="default" w:ascii="Times New Roman" w:hAnsi="Times New Roman" w:cs="Times New Roman"/>
                <w:color w:val="auto"/>
                <w:spacing w:val="0"/>
                <w:kern w:val="36"/>
                <w:sz w:val="21"/>
                <w:szCs w:val="21"/>
                <w:highlight w:val="none"/>
                <w:lang w:val="en-US" w:eastAsia="zh-CN" w:bidi="ar-SA"/>
              </w:rPr>
              <w:t>包装、入库。</w:t>
            </w:r>
          </w:p>
          <w:p w14:paraId="47C3CCDF">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宋体" w:hAnsi="宋体" w:eastAsia="宋体" w:cs="宋体"/>
                <w:color w:val="auto"/>
                <w:spacing w:val="0"/>
                <w:kern w:val="36"/>
                <w:sz w:val="21"/>
                <w:szCs w:val="21"/>
                <w:highlight w:val="none"/>
                <w:lang w:val="en-US" w:eastAsia="zh-CN" w:bidi="ar-SA"/>
              </w:rPr>
            </w:pPr>
            <w:r>
              <w:rPr>
                <w:rFonts w:hint="eastAsia" w:ascii="宋体" w:hAnsi="宋体" w:eastAsia="宋体" w:cs="宋体"/>
                <w:color w:val="auto"/>
                <w:spacing w:val="0"/>
                <w:kern w:val="36"/>
                <w:sz w:val="21"/>
                <w:szCs w:val="21"/>
                <w:highlight w:val="none"/>
                <w:lang w:val="en-US" w:eastAsia="zh-CN" w:bidi="ar-SA"/>
              </w:rPr>
              <w:t>产污环节：包膜、包装</w:t>
            </w:r>
            <w:r>
              <w:rPr>
                <w:rFonts w:hint="eastAsia" w:ascii="Times New Roman" w:hAnsi="Times New Roman" w:eastAsia="宋体" w:cs="Times New Roman"/>
                <w:color w:val="auto"/>
                <w:spacing w:val="0"/>
                <w:kern w:val="36"/>
                <w:sz w:val="21"/>
                <w:szCs w:val="21"/>
                <w:highlight w:val="none"/>
                <w:lang w:val="en-US" w:eastAsia="zh-CN" w:bidi="ar-SA"/>
              </w:rPr>
              <w:t>过程会产生G1</w:t>
            </w:r>
            <w:r>
              <w:rPr>
                <w:rFonts w:hint="eastAsia" w:cs="Times New Roman"/>
                <w:color w:val="auto"/>
                <w:spacing w:val="0"/>
                <w:kern w:val="36"/>
                <w:sz w:val="21"/>
                <w:szCs w:val="21"/>
                <w:highlight w:val="none"/>
                <w:lang w:val="en-US" w:eastAsia="zh-CN" w:bidi="ar-SA"/>
              </w:rPr>
              <w:t>4</w:t>
            </w:r>
            <w:r>
              <w:rPr>
                <w:rFonts w:hint="eastAsia" w:ascii="Times New Roman" w:hAnsi="Times New Roman" w:eastAsia="宋体" w:cs="Times New Roman"/>
                <w:color w:val="auto"/>
                <w:spacing w:val="0"/>
                <w:kern w:val="36"/>
                <w:sz w:val="21"/>
                <w:szCs w:val="21"/>
                <w:highlight w:val="none"/>
                <w:lang w:val="en-US" w:eastAsia="zh-CN" w:bidi="ar-SA"/>
              </w:rPr>
              <w:t>粉尘。</w:t>
            </w:r>
          </w:p>
          <w:p w14:paraId="722972CB">
            <w:pPr>
              <w:pStyle w:val="1042"/>
              <w:keepNext w:val="0"/>
              <w:keepLines w:val="0"/>
              <w:pageBreakBefore w:val="0"/>
              <w:widowControl w:val="0"/>
              <w:kinsoku/>
              <w:wordWrap/>
              <w:overflowPunct/>
              <w:topLinePunct w:val="0"/>
              <w:autoSpaceDE/>
              <w:autoSpaceDN/>
              <w:bidi w:val="0"/>
              <w:adjustRightInd w:val="0"/>
              <w:snapToGrid w:val="0"/>
              <w:spacing w:line="360" w:lineRule="auto"/>
              <w:ind w:firstLine="422"/>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（4）废气处理工艺</w:t>
            </w:r>
          </w:p>
          <w:p w14:paraId="3E6D12E9">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eastAsia="宋体" w:cs="Times New Roman"/>
                <w:bCs/>
                <w:color w:val="auto"/>
                <w:sz w:val="21"/>
                <w:szCs w:val="21"/>
                <w:highlight w:val="yellow"/>
                <w:lang w:val="en-US" w:eastAsia="zh-CN"/>
              </w:rPr>
            </w:pPr>
            <w:r>
              <w:rPr>
                <w:rFonts w:hint="eastAsia" w:cs="Times New Roman"/>
                <w:bCs/>
                <w:color w:val="auto"/>
                <w:highlight w:val="none"/>
                <w:lang w:val="en-US" w:eastAsia="zh-CN"/>
              </w:rPr>
              <w:t>原料破碎、筛分、配料、部分筛分、混合、粗筛、整形过程</w:t>
            </w:r>
            <w:r>
              <w:rPr>
                <w:rFonts w:hint="eastAsia" w:cs="Times New Roman"/>
                <w:bCs/>
                <w:color w:val="auto"/>
                <w:highlight w:val="none"/>
                <w:lang w:eastAsia="zh-CN"/>
              </w:rPr>
              <w:t>产生的颗粒物经集气罩收集后经1套布袋除尘器处理后通过同一根15m高DA00</w:t>
            </w:r>
            <w:r>
              <w:rPr>
                <w:rFonts w:hint="eastAsia" w:cs="Times New Roman"/>
                <w:bCs/>
                <w:color w:val="auto"/>
                <w:highlight w:val="none"/>
                <w:lang w:val="en-US" w:eastAsia="zh-CN"/>
              </w:rPr>
              <w:t>3</w:t>
            </w:r>
            <w:r>
              <w:rPr>
                <w:rFonts w:hint="eastAsia" w:cs="Times New Roman"/>
                <w:bCs/>
                <w:color w:val="auto"/>
                <w:highlight w:val="none"/>
                <w:lang w:eastAsia="zh-CN"/>
              </w:rPr>
              <w:t>排气筒有组织排放；</w:t>
            </w:r>
            <w:r>
              <w:rPr>
                <w:rFonts w:hint="eastAsia" w:cs="Times New Roman"/>
                <w:bCs/>
                <w:color w:val="auto"/>
                <w:highlight w:val="none"/>
                <w:lang w:val="en-US" w:eastAsia="zh-CN"/>
              </w:rPr>
              <w:t>天然气燃烧废气（烟尘、SO</w:t>
            </w:r>
            <w:r>
              <w:rPr>
                <w:rFonts w:hint="eastAsia" w:cs="Times New Roman"/>
                <w:bCs/>
                <w:color w:val="auto"/>
                <w:highlight w:val="none"/>
                <w:vertAlign w:val="subscript"/>
                <w:lang w:val="en-US" w:eastAsia="zh-CN"/>
              </w:rPr>
              <w:t>2</w:t>
            </w:r>
            <w:r>
              <w:rPr>
                <w:rFonts w:hint="eastAsia" w:cs="Times New Roman"/>
                <w:bCs/>
                <w:color w:val="auto"/>
                <w:highlight w:val="none"/>
                <w:lang w:val="en-US" w:eastAsia="zh-CN"/>
              </w:rPr>
              <w:t>、NOx）、造粒工序、和烘干工序产生的粉尘、氨气、臭气浓度</w:t>
            </w:r>
            <w:r>
              <w:rPr>
                <w:rFonts w:hint="default" w:ascii="Times New Roman" w:hAnsi="Times New Roman" w:cs="Times New Roman"/>
                <w:bCs/>
                <w:color w:val="auto"/>
                <w:highlight w:val="none"/>
                <w:lang w:eastAsia="zh-CN"/>
              </w:rPr>
              <w:t>经</w:t>
            </w:r>
            <w:r>
              <w:rPr>
                <w:rFonts w:hint="eastAsia" w:cs="Times New Roman"/>
                <w:bCs/>
                <w:color w:val="auto"/>
                <w:highlight w:val="none"/>
                <w:lang w:val="en-US" w:eastAsia="zh-CN"/>
              </w:rPr>
              <w:t>布袋除尘器+水喷淋</w:t>
            </w:r>
            <w:r>
              <w:rPr>
                <w:rFonts w:hint="default" w:ascii="Times New Roman" w:hAnsi="Times New Roman" w:cs="Times New Roman"/>
                <w:bCs/>
                <w:color w:val="auto"/>
                <w:highlight w:val="none"/>
                <w:lang w:val="en-US" w:eastAsia="zh-CN"/>
              </w:rPr>
              <w:t>处理</w:t>
            </w:r>
            <w:r>
              <w:rPr>
                <w:rFonts w:hint="default" w:ascii="Times New Roman" w:hAnsi="Times New Roman" w:cs="Times New Roman"/>
                <w:bCs/>
                <w:color w:val="auto"/>
                <w:highlight w:val="none"/>
              </w:rPr>
              <w:t>后由</w:t>
            </w:r>
            <w:r>
              <w:rPr>
                <w:rFonts w:hint="eastAsia" w:cs="Times New Roman"/>
                <w:bCs/>
                <w:color w:val="auto"/>
                <w:highlight w:val="none"/>
                <w:lang w:eastAsia="zh-CN"/>
              </w:rPr>
              <w:t>同一根15m高DA00</w:t>
            </w:r>
            <w:r>
              <w:rPr>
                <w:rFonts w:hint="eastAsia" w:cs="Times New Roman"/>
                <w:bCs/>
                <w:color w:val="auto"/>
                <w:highlight w:val="none"/>
                <w:lang w:val="en-US" w:eastAsia="zh-CN"/>
              </w:rPr>
              <w:t>1</w:t>
            </w:r>
            <w:r>
              <w:rPr>
                <w:rFonts w:hint="eastAsia" w:cs="Times New Roman"/>
                <w:bCs/>
                <w:color w:val="auto"/>
                <w:highlight w:val="none"/>
                <w:lang w:eastAsia="zh-CN"/>
              </w:rPr>
              <w:t>排气筒有组织排放</w:t>
            </w:r>
            <w:r>
              <w:rPr>
                <w:rFonts w:hint="default" w:ascii="Times New Roman" w:hAnsi="Times New Roman" w:cs="Times New Roman"/>
                <w:bCs/>
                <w:color w:val="auto"/>
                <w:highlight w:val="none"/>
              </w:rPr>
              <w:t>；</w:t>
            </w:r>
            <w:r>
              <w:rPr>
                <w:rFonts w:hint="eastAsia" w:cs="Times New Roman"/>
                <w:bCs/>
                <w:color w:val="auto"/>
                <w:highlight w:val="none"/>
                <w:lang w:val="en-US" w:eastAsia="zh-CN"/>
              </w:rPr>
              <w:t>冷却、精筛、入仓、包膜、包装过程</w:t>
            </w:r>
            <w:r>
              <w:rPr>
                <w:rFonts w:hint="eastAsia" w:cs="Times New Roman"/>
                <w:bCs/>
                <w:color w:val="auto"/>
                <w:highlight w:val="none"/>
                <w:lang w:eastAsia="zh-CN"/>
              </w:rPr>
              <w:t>产生的颗粒物经集气罩收集后经1套布袋除尘器处理后通过同一根15m高DA00</w:t>
            </w:r>
            <w:r>
              <w:rPr>
                <w:rFonts w:hint="eastAsia" w:cs="Times New Roman"/>
                <w:bCs/>
                <w:color w:val="auto"/>
                <w:highlight w:val="none"/>
                <w:lang w:val="en-US" w:eastAsia="zh-CN"/>
              </w:rPr>
              <w:t>2</w:t>
            </w:r>
            <w:r>
              <w:rPr>
                <w:rFonts w:hint="eastAsia" w:cs="Times New Roman"/>
                <w:bCs/>
                <w:color w:val="auto"/>
                <w:highlight w:val="none"/>
                <w:lang w:eastAsia="zh-CN"/>
              </w:rPr>
              <w:t>排气筒有组织排放。</w:t>
            </w:r>
            <w:r>
              <w:rPr>
                <w:rFonts w:hint="default" w:ascii="Times New Roman" w:hAnsi="Times New Roman" w:cs="Times New Roman"/>
                <w:bCs/>
                <w:color w:val="auto"/>
                <w:highlight w:val="none"/>
                <w:lang w:val="en-US" w:eastAsia="zh-CN"/>
              </w:rPr>
              <w:t>食堂油烟经油烟净化装置处理后</w:t>
            </w:r>
            <w:r>
              <w:rPr>
                <w:rFonts w:hint="eastAsia" w:cs="Times New Roman"/>
                <w:bCs/>
                <w:color w:val="auto"/>
                <w:highlight w:val="none"/>
                <w:lang w:val="en-US" w:eastAsia="zh-CN"/>
              </w:rPr>
              <w:t>经高于建筑物1.5m排气筒有组织排放；</w:t>
            </w:r>
            <w:r>
              <w:rPr>
                <w:rFonts w:hint="default" w:ascii="Times New Roman" w:hAnsi="Times New Roman" w:cs="Times New Roman"/>
                <w:bCs/>
                <w:color w:val="auto"/>
                <w:sz w:val="21"/>
                <w:szCs w:val="21"/>
                <w:highlight w:val="none"/>
                <w:lang w:eastAsia="zh-CN"/>
              </w:rPr>
              <w:t>集气罩未收集的颗粒物</w:t>
            </w:r>
            <w:r>
              <w:rPr>
                <w:rFonts w:hint="default" w:ascii="Times New Roman" w:hAnsi="Times New Roman" w:cs="Times New Roman"/>
                <w:bCs/>
                <w:color w:val="auto"/>
                <w:sz w:val="21"/>
                <w:szCs w:val="21"/>
                <w:highlight w:val="none"/>
                <w:lang w:val="en-US" w:eastAsia="zh-CN"/>
              </w:rPr>
              <w:t>无组织排放。</w:t>
            </w:r>
          </w:p>
          <w:p w14:paraId="3D9ACA01">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eastAsia="zh-CN"/>
              </w:rPr>
              <w:t>一期项目</w:t>
            </w:r>
            <w:r>
              <w:rPr>
                <w:rFonts w:hint="default" w:ascii="Times New Roman" w:hAnsi="Times New Roman" w:cs="Times New Roman"/>
                <w:color w:val="auto"/>
                <w:sz w:val="21"/>
                <w:szCs w:val="21"/>
                <w:highlight w:val="none"/>
              </w:rPr>
              <w:t>废气产污工序及废气治理走向图见下图</w:t>
            </w:r>
            <w:r>
              <w:rPr>
                <w:rFonts w:hint="default" w:ascii="Times New Roman" w:hAnsi="Times New Roman" w:cs="Times New Roman"/>
                <w:color w:val="auto"/>
                <w:sz w:val="21"/>
                <w:szCs w:val="21"/>
                <w:highlight w:val="none"/>
                <w:lang w:eastAsia="zh-CN"/>
              </w:rPr>
              <w:t>。</w:t>
            </w:r>
          </w:p>
          <w:p w14:paraId="02CE2962">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cs="Times New Roman"/>
                <w:color w:val="auto"/>
                <w:sz w:val="21"/>
                <w:szCs w:val="21"/>
                <w:highlight w:val="none"/>
                <w:lang w:eastAsia="zh-CN"/>
              </w:rPr>
            </w:pPr>
          </w:p>
          <w:p w14:paraId="27E62851">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cs="Times New Roman"/>
                <w:color w:val="auto"/>
                <w:sz w:val="21"/>
                <w:szCs w:val="21"/>
                <w:highlight w:val="none"/>
                <w:lang w:eastAsia="zh-CN"/>
              </w:rPr>
            </w:pPr>
          </w:p>
          <w:p w14:paraId="62982491">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cs="Times New Roman"/>
                <w:color w:val="auto"/>
                <w:sz w:val="21"/>
                <w:szCs w:val="21"/>
                <w:highlight w:val="none"/>
                <w:lang w:eastAsia="zh-CN"/>
              </w:rPr>
            </w:pPr>
          </w:p>
          <w:p w14:paraId="68CE465C">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cs="Times New Roman"/>
                <w:color w:val="auto"/>
                <w:sz w:val="21"/>
                <w:szCs w:val="21"/>
                <w:highlight w:val="none"/>
                <w:lang w:eastAsia="zh-CN"/>
              </w:rPr>
            </w:pPr>
          </w:p>
          <w:p w14:paraId="0F61D00A">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color w:val="auto"/>
                <w:kern w:val="0"/>
                <w:highlight w:val="none"/>
              </w:rPr>
              <w:object>
                <v:shape id="_x0000_i1027" o:spt="75" type="#_x0000_t75" style="height:255.85pt;width:420.95pt;" o:ole="t" filled="f" o:preferrelative="t" stroked="f" coordsize="21600,21600">
                  <v:path/>
                  <v:fill on="f" focussize="0,0"/>
                  <v:stroke on="f"/>
                  <v:imagedata r:id="rId18" o:title=""/>
                  <o:lock v:ext="edit" aspectratio="f"/>
                  <w10:wrap type="none"/>
                  <w10:anchorlock/>
                </v:shape>
                <o:OLEObject Type="Embed" ProgID="Visio.Drawing.15" ShapeID="_x0000_i1027" DrawAspect="Content" ObjectID="_1468075727" r:id="rId17">
                  <o:LockedField>false</o:LockedField>
                </o:OLEObject>
              </w:object>
            </w:r>
            <w:r>
              <w:rPr>
                <w:rFonts w:hint="default" w:ascii="Times New Roman" w:hAnsi="Times New Roman" w:cs="Times New Roman"/>
                <w:b/>
                <w:color w:val="auto"/>
                <w:kern w:val="0"/>
                <w:sz w:val="21"/>
                <w:szCs w:val="21"/>
                <w:highlight w:val="none"/>
              </w:rPr>
              <w:t>图2-</w:t>
            </w:r>
            <w:r>
              <w:rPr>
                <w:rFonts w:hint="default" w:ascii="Times New Roman" w:hAnsi="Times New Roman" w:cs="Times New Roman"/>
                <w:b/>
                <w:color w:val="auto"/>
                <w:kern w:val="0"/>
                <w:sz w:val="21"/>
                <w:szCs w:val="21"/>
                <w:highlight w:val="none"/>
                <w:lang w:val="en-US" w:eastAsia="zh-CN"/>
              </w:rPr>
              <w:t>4</w:t>
            </w:r>
            <w:r>
              <w:rPr>
                <w:rFonts w:hint="eastAsia" w:cs="Times New Roman"/>
                <w:b/>
                <w:color w:val="auto"/>
                <w:kern w:val="0"/>
                <w:sz w:val="21"/>
                <w:szCs w:val="21"/>
                <w:highlight w:val="none"/>
                <w:lang w:eastAsia="zh-CN"/>
              </w:rPr>
              <w:t>一期项目</w:t>
            </w:r>
            <w:r>
              <w:rPr>
                <w:rFonts w:hint="default" w:ascii="Times New Roman" w:hAnsi="Times New Roman" w:cs="Times New Roman"/>
                <w:b/>
                <w:color w:val="auto"/>
                <w:kern w:val="0"/>
                <w:sz w:val="21"/>
                <w:szCs w:val="21"/>
                <w:highlight w:val="none"/>
              </w:rPr>
              <w:t>废气产污工序及废气治理走向图</w:t>
            </w:r>
          </w:p>
          <w:p w14:paraId="008BACD1">
            <w:pPr>
              <w:keepNext w:val="0"/>
              <w:keepLines w:val="0"/>
              <w:pageBreakBefore w:val="0"/>
              <w:widowControl w:val="0"/>
              <w:kinsoku/>
              <w:wordWrap/>
              <w:overflowPunct/>
              <w:topLinePunct w:val="0"/>
              <w:autoSpaceDE w:val="0"/>
              <w:autoSpaceDN w:val="0"/>
              <w:bidi w:val="0"/>
              <w:adjustRightInd w:val="0"/>
              <w:snapToGrid w:val="0"/>
              <w:spacing w:line="400" w:lineRule="exact"/>
              <w:jc w:val="left"/>
              <w:textAlignment w:val="auto"/>
              <w:rPr>
                <w:rFonts w:hint="default" w:ascii="Times New Roman" w:hAnsi="Times New Roman" w:cs="Times New Roman"/>
                <w:b/>
                <w:bCs/>
                <w:color w:val="auto"/>
                <w:kern w:val="0"/>
                <w:highlight w:val="none"/>
              </w:rPr>
            </w:pPr>
            <w:r>
              <w:rPr>
                <w:rFonts w:hint="default" w:ascii="Times New Roman" w:hAnsi="Times New Roman" w:cs="Times New Roman"/>
                <w:b/>
                <w:bCs/>
                <w:color w:val="auto"/>
                <w:highlight w:val="none"/>
              </w:rPr>
              <w:t>二、主要产排污环节</w:t>
            </w:r>
          </w:p>
          <w:p w14:paraId="046E2271">
            <w:pPr>
              <w:keepNext w:val="0"/>
              <w:keepLines w:val="0"/>
              <w:pageBreakBefore w:val="0"/>
              <w:widowControl w:val="0"/>
              <w:tabs>
                <w:tab w:val="left" w:pos="1680"/>
              </w:tabs>
              <w:kinsoku/>
              <w:wordWrap/>
              <w:overflowPunct/>
              <w:topLinePunct w:val="0"/>
              <w:bidi w:val="0"/>
              <w:adjustRightInd w:val="0"/>
              <w:snapToGrid w:val="0"/>
              <w:spacing w:line="400" w:lineRule="exact"/>
              <w:ind w:firstLine="422" w:firstLineChars="200"/>
              <w:textAlignment w:val="auto"/>
              <w:rPr>
                <w:rFonts w:hint="default" w:ascii="Times New Roman" w:hAnsi="Times New Roman" w:cs="Times New Roman"/>
                <w:b/>
                <w:color w:val="auto"/>
                <w:highlight w:val="none"/>
              </w:rPr>
            </w:pPr>
            <w:r>
              <w:rPr>
                <w:rFonts w:hint="default" w:ascii="Times New Roman" w:hAnsi="Times New Roman" w:cs="Times New Roman"/>
                <w:b/>
                <w:color w:val="auto"/>
                <w:highlight w:val="none"/>
              </w:rPr>
              <w:t>（1）大气污染物</w:t>
            </w:r>
          </w:p>
          <w:p w14:paraId="5A710D09">
            <w:pPr>
              <w:keepNext w:val="0"/>
              <w:keepLines w:val="0"/>
              <w:pageBreakBefore w:val="0"/>
              <w:widowControl w:val="0"/>
              <w:kinsoku/>
              <w:wordWrap/>
              <w:overflowPunct/>
              <w:topLinePunct w:val="0"/>
              <w:autoSpaceDE/>
              <w:autoSpaceDN/>
              <w:bidi w:val="0"/>
              <w:adjustRightInd w:val="0"/>
              <w:snapToGrid w:val="0"/>
              <w:spacing w:line="400" w:lineRule="exact"/>
              <w:ind w:left="0" w:leftChars="0" w:firstLine="420" w:firstLineChars="200"/>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highlight w:val="none"/>
                <w:lang w:eastAsia="zh-CN"/>
              </w:rPr>
              <w:t>一期项目</w:t>
            </w:r>
            <w:r>
              <w:rPr>
                <w:rFonts w:hint="default" w:ascii="Times New Roman" w:hAnsi="Times New Roman" w:cs="Times New Roman"/>
                <w:bCs/>
                <w:color w:val="auto"/>
                <w:highlight w:val="none"/>
              </w:rPr>
              <w:t>大气污染物主要为</w:t>
            </w:r>
            <w:r>
              <w:rPr>
                <w:rFonts w:hint="default" w:ascii="Times New Roman" w:hAnsi="Times New Roman" w:cs="Times New Roman"/>
                <w:bCs/>
                <w:color w:val="auto"/>
                <w:highlight w:val="none"/>
                <w:lang w:eastAsia="zh-CN"/>
              </w:rPr>
              <w:t>原料</w:t>
            </w:r>
            <w:r>
              <w:rPr>
                <w:rFonts w:hint="eastAsia" w:cs="Times New Roman"/>
                <w:bCs/>
                <w:color w:val="auto"/>
                <w:highlight w:val="none"/>
                <w:lang w:val="en-US" w:eastAsia="zh-CN"/>
              </w:rPr>
              <w:t>破碎过程产生的粉尘（G1）；原料筛分过程产生的粉尘（G2）；配料过程产生的粉尘（G3）；筛分工序产生的粉尘（G4）；混合过程产生的粉尘（G5）；造粒过程产生的粉尘、氨、臭气浓度（G6）；粗筛过程产生的粉尘（G7）；整形过程产生的粉尘（G8）；天然气燃烧过程产生的</w:t>
            </w:r>
            <w:r>
              <w:rPr>
                <w:rFonts w:hint="default" w:ascii="Times New Roman" w:hAnsi="Times New Roman" w:eastAsia="宋体" w:cs="Times New Roman"/>
                <w:color w:val="auto"/>
                <w:spacing w:val="0"/>
                <w:kern w:val="36"/>
                <w:sz w:val="21"/>
                <w:szCs w:val="21"/>
                <w:highlight w:val="none"/>
                <w:lang w:val="en-US" w:eastAsia="zh-CN" w:bidi="ar-SA"/>
              </w:rPr>
              <w:t>SO</w:t>
            </w:r>
            <w:r>
              <w:rPr>
                <w:rFonts w:hint="default" w:ascii="Times New Roman" w:hAnsi="Times New Roman" w:eastAsia="宋体" w:cs="Times New Roman"/>
                <w:color w:val="auto"/>
                <w:spacing w:val="0"/>
                <w:kern w:val="36"/>
                <w:sz w:val="21"/>
                <w:szCs w:val="21"/>
                <w:highlight w:val="none"/>
                <w:vertAlign w:val="subscript"/>
                <w:lang w:val="en-US" w:eastAsia="zh-CN" w:bidi="ar-SA"/>
              </w:rPr>
              <w:t>2</w:t>
            </w:r>
            <w:r>
              <w:rPr>
                <w:rFonts w:hint="default" w:ascii="Times New Roman" w:hAnsi="Times New Roman" w:eastAsia="宋体" w:cs="Times New Roman"/>
                <w:color w:val="auto"/>
                <w:spacing w:val="0"/>
                <w:kern w:val="36"/>
                <w:sz w:val="21"/>
                <w:szCs w:val="21"/>
                <w:highlight w:val="none"/>
                <w:lang w:val="en-US" w:eastAsia="zh-CN" w:bidi="ar-SA"/>
              </w:rPr>
              <w:t>、NOx、烟尘</w:t>
            </w:r>
            <w:r>
              <w:rPr>
                <w:rFonts w:hint="eastAsia" w:cs="Times New Roman"/>
                <w:bCs/>
                <w:color w:val="auto"/>
                <w:highlight w:val="none"/>
                <w:lang w:val="en-US" w:eastAsia="zh-CN"/>
              </w:rPr>
              <w:t>（G9）；烘干过程产生的粉尘、氨、臭气浓度（G10）；冷却过程产生的粉尘（G11）；精筛过程产生的粉尘（G12）；入仓产生的粉尘（G13）；包膜和包装过程产生的粉尘（G14）；</w:t>
            </w:r>
            <w:r>
              <w:rPr>
                <w:rFonts w:hint="default" w:ascii="Times New Roman" w:hAnsi="Times New Roman" w:cs="Times New Roman"/>
                <w:bCs/>
                <w:color w:val="auto"/>
                <w:highlight w:val="none"/>
                <w:lang w:val="en-US" w:eastAsia="zh-CN"/>
              </w:rPr>
              <w:t>卸料、</w:t>
            </w:r>
            <w:r>
              <w:rPr>
                <w:rFonts w:hint="eastAsia" w:ascii="Times New Roman" w:hAnsi="Times New Roman" w:cs="Times New Roman"/>
                <w:bCs/>
                <w:color w:val="auto"/>
                <w:highlight w:val="none"/>
                <w:lang w:val="en-US" w:eastAsia="zh-CN"/>
              </w:rPr>
              <w:t>堆存</w:t>
            </w:r>
            <w:r>
              <w:rPr>
                <w:rFonts w:hint="default" w:ascii="Times New Roman" w:hAnsi="Times New Roman" w:cs="Times New Roman"/>
                <w:bCs/>
                <w:color w:val="auto"/>
                <w:highlight w:val="none"/>
                <w:lang w:val="en-US" w:eastAsia="zh-CN"/>
              </w:rPr>
              <w:t>过程</w:t>
            </w:r>
            <w:r>
              <w:rPr>
                <w:rFonts w:hint="default" w:ascii="Times New Roman" w:hAnsi="Times New Roman" w:cs="Times New Roman"/>
                <w:bCs/>
                <w:color w:val="auto"/>
                <w:highlight w:val="none"/>
              </w:rPr>
              <w:t>产生的</w:t>
            </w:r>
            <w:r>
              <w:rPr>
                <w:rFonts w:hint="default" w:ascii="Times New Roman" w:hAnsi="Times New Roman" w:cs="Times New Roman"/>
                <w:bCs/>
                <w:color w:val="auto"/>
                <w:highlight w:val="none"/>
                <w:lang w:val="en-US" w:eastAsia="zh-CN"/>
              </w:rPr>
              <w:t>粉尘</w:t>
            </w:r>
            <w:r>
              <w:rPr>
                <w:rFonts w:hint="eastAsia" w:ascii="Times New Roman" w:hAnsi="Times New Roman" w:cs="Times New Roman"/>
                <w:bCs/>
                <w:color w:val="auto"/>
                <w:highlight w:val="none"/>
                <w:lang w:val="en-US" w:eastAsia="zh-CN"/>
              </w:rPr>
              <w:t>、氨气</w:t>
            </w:r>
            <w:r>
              <w:rPr>
                <w:rFonts w:hint="eastAsia" w:cs="Times New Roman"/>
                <w:bCs/>
                <w:color w:val="auto"/>
                <w:highlight w:val="none"/>
                <w:lang w:val="en-US" w:eastAsia="zh-CN"/>
              </w:rPr>
              <w:t>、臭气浓度</w:t>
            </w:r>
            <w:r>
              <w:rPr>
                <w:rFonts w:hint="eastAsia" w:ascii="Times New Roman" w:hAnsi="Times New Roman" w:cs="Times New Roman"/>
                <w:bCs/>
                <w:color w:val="auto"/>
                <w:highlight w:val="none"/>
                <w:lang w:val="en-US" w:eastAsia="zh-CN"/>
              </w:rPr>
              <w:t>（G1</w:t>
            </w:r>
            <w:r>
              <w:rPr>
                <w:rFonts w:hint="eastAsia" w:cs="Times New Roman"/>
                <w:bCs/>
                <w:color w:val="auto"/>
                <w:highlight w:val="none"/>
                <w:lang w:val="en-US" w:eastAsia="zh-CN"/>
              </w:rPr>
              <w:t>5</w:t>
            </w:r>
            <w:r>
              <w:rPr>
                <w:rFonts w:hint="eastAsia" w:ascii="Times New Roman" w:hAnsi="Times New Roman" w:cs="Times New Roman"/>
                <w:bCs/>
                <w:color w:val="auto"/>
                <w:highlight w:val="none"/>
                <w:lang w:val="en-US" w:eastAsia="zh-CN"/>
              </w:rPr>
              <w:t>）；车辆运输产生的粉尘（G1</w:t>
            </w:r>
            <w:r>
              <w:rPr>
                <w:rFonts w:hint="eastAsia" w:cs="Times New Roman"/>
                <w:bCs/>
                <w:color w:val="auto"/>
                <w:highlight w:val="none"/>
                <w:lang w:val="en-US" w:eastAsia="zh-CN"/>
              </w:rPr>
              <w:t>6</w:t>
            </w:r>
            <w:r>
              <w:rPr>
                <w:rFonts w:hint="eastAsia" w:ascii="Times New Roman" w:hAnsi="Times New Roman" w:cs="Times New Roman"/>
                <w:bCs/>
                <w:color w:val="auto"/>
                <w:highlight w:val="none"/>
                <w:lang w:val="en-US" w:eastAsia="zh-CN"/>
              </w:rPr>
              <w:t>）；</w:t>
            </w:r>
            <w:r>
              <w:rPr>
                <w:rFonts w:hint="eastAsia" w:cs="Times New Roman"/>
                <w:bCs/>
                <w:color w:val="auto"/>
                <w:highlight w:val="none"/>
                <w:lang w:val="en-US" w:eastAsia="zh-CN"/>
              </w:rPr>
              <w:t>食堂油烟（G17）；集气罩未收集的废气（G18）</w:t>
            </w:r>
            <w:r>
              <w:rPr>
                <w:rFonts w:hint="default" w:ascii="Times New Roman" w:hAnsi="Times New Roman" w:cs="Times New Roman"/>
                <w:bCs/>
                <w:color w:val="auto"/>
                <w:highlight w:val="none"/>
                <w:lang w:eastAsia="zh-CN"/>
              </w:rPr>
              <w:t>。</w:t>
            </w:r>
          </w:p>
          <w:p w14:paraId="7A83D525">
            <w:pPr>
              <w:keepNext w:val="0"/>
              <w:keepLines w:val="0"/>
              <w:pageBreakBefore w:val="0"/>
              <w:widowControl w:val="0"/>
              <w:tabs>
                <w:tab w:val="left" w:pos="1680"/>
              </w:tabs>
              <w:kinsoku/>
              <w:wordWrap/>
              <w:overflowPunct/>
              <w:topLinePunct w:val="0"/>
              <w:bidi w:val="0"/>
              <w:adjustRightInd w:val="0"/>
              <w:snapToGrid w:val="0"/>
              <w:spacing w:line="400" w:lineRule="exact"/>
              <w:ind w:firstLine="422" w:firstLineChars="200"/>
              <w:textAlignment w:val="auto"/>
              <w:rPr>
                <w:rFonts w:hint="default" w:ascii="Times New Roman" w:hAnsi="Times New Roman" w:cs="Times New Roman"/>
                <w:b/>
                <w:color w:val="auto"/>
              </w:rPr>
            </w:pPr>
            <w:r>
              <w:rPr>
                <w:rFonts w:hint="default" w:ascii="Times New Roman" w:hAnsi="Times New Roman" w:cs="Times New Roman"/>
                <w:b/>
                <w:color w:val="auto"/>
              </w:rPr>
              <w:t>（2）废水</w:t>
            </w:r>
          </w:p>
          <w:p w14:paraId="697BA69E">
            <w:pPr>
              <w:keepNext w:val="0"/>
              <w:keepLines w:val="0"/>
              <w:pageBreakBefore w:val="0"/>
              <w:widowControl w:val="0"/>
              <w:tabs>
                <w:tab w:val="left" w:pos="1800"/>
              </w:tabs>
              <w:kinsoku/>
              <w:wordWrap/>
              <w:overflowPunct/>
              <w:topLinePunct w:val="0"/>
              <w:bidi w:val="0"/>
              <w:adjustRightInd w:val="0"/>
              <w:snapToGrid w:val="0"/>
              <w:spacing w:line="400" w:lineRule="exact"/>
              <w:ind w:firstLine="420" w:firstLineChars="200"/>
              <w:textAlignment w:val="auto"/>
              <w:rPr>
                <w:rFonts w:hint="default" w:ascii="Times New Roman" w:hAnsi="Times New Roman" w:cs="Times New Roman"/>
                <w:color w:val="auto"/>
                <w:kern w:val="24"/>
              </w:rPr>
            </w:pPr>
            <w:r>
              <w:rPr>
                <w:rFonts w:hint="eastAsia" w:cs="Times New Roman"/>
                <w:color w:val="auto"/>
                <w:lang w:eastAsia="zh-CN"/>
              </w:rPr>
              <w:t>一期项目</w:t>
            </w:r>
            <w:r>
              <w:rPr>
                <w:rFonts w:hint="default" w:ascii="Times New Roman" w:hAnsi="Times New Roman" w:cs="Times New Roman"/>
                <w:color w:val="auto"/>
              </w:rPr>
              <w:t>产生的废水主要</w:t>
            </w:r>
            <w:r>
              <w:rPr>
                <w:rFonts w:hint="default" w:ascii="Times New Roman" w:hAnsi="Times New Roman" w:cs="Times New Roman"/>
                <w:color w:val="auto"/>
                <w:lang w:eastAsia="zh-CN"/>
              </w:rPr>
              <w:t>为新增</w:t>
            </w:r>
            <w:r>
              <w:rPr>
                <w:rFonts w:hint="default" w:ascii="Times New Roman" w:hAnsi="Times New Roman" w:cs="Times New Roman"/>
                <w:color w:val="auto"/>
                <w:kern w:val="24"/>
              </w:rPr>
              <w:t>职工生活污水，</w:t>
            </w:r>
            <w:r>
              <w:rPr>
                <w:rFonts w:hint="default" w:ascii="Times New Roman" w:hAnsi="Times New Roman" w:cs="Times New Roman"/>
                <w:color w:val="auto"/>
                <w:lang w:val="de-DE"/>
              </w:rPr>
              <w:t>经</w:t>
            </w:r>
            <w:r>
              <w:rPr>
                <w:rFonts w:hint="default" w:ascii="Times New Roman" w:hAnsi="Times New Roman" w:cs="Times New Roman"/>
                <w:color w:val="auto"/>
              </w:rPr>
              <w:t>化粪池预处理后由环卫部门进行清运；水喷淋废水用于造粒用水，车间洒水降尘用水、厂区道路洒水降尘用水、造粒用水全部蒸发损耗，无废水外排</w:t>
            </w:r>
            <w:r>
              <w:rPr>
                <w:rFonts w:hint="default" w:ascii="Times New Roman" w:hAnsi="Times New Roman" w:cs="Times New Roman"/>
                <w:color w:val="auto"/>
                <w:kern w:val="24"/>
              </w:rPr>
              <w:t>。</w:t>
            </w:r>
          </w:p>
          <w:p w14:paraId="44B6EC19">
            <w:pPr>
              <w:keepNext w:val="0"/>
              <w:keepLines w:val="0"/>
              <w:pageBreakBefore w:val="0"/>
              <w:widowControl w:val="0"/>
              <w:kinsoku/>
              <w:wordWrap/>
              <w:overflowPunct/>
              <w:topLinePunct w:val="0"/>
              <w:bidi w:val="0"/>
              <w:adjustRightInd w:val="0"/>
              <w:snapToGrid w:val="0"/>
              <w:spacing w:line="400" w:lineRule="exact"/>
              <w:ind w:firstLine="422" w:firstLineChars="200"/>
              <w:textAlignment w:val="auto"/>
              <w:rPr>
                <w:rFonts w:hint="default" w:ascii="Times New Roman" w:hAnsi="Times New Roman" w:cs="Times New Roman"/>
                <w:b/>
                <w:bCs/>
                <w:color w:val="auto"/>
              </w:rPr>
            </w:pPr>
            <w:r>
              <w:rPr>
                <w:rFonts w:hint="default" w:ascii="Times New Roman" w:hAnsi="Times New Roman" w:cs="Times New Roman"/>
                <w:b/>
                <w:bCs/>
                <w:color w:val="auto"/>
              </w:rPr>
              <w:t>（3）噪声：</w:t>
            </w:r>
          </w:p>
          <w:p w14:paraId="6FBFCDB6">
            <w:pPr>
              <w:keepNext w:val="0"/>
              <w:keepLines w:val="0"/>
              <w:pageBreakBefore w:val="0"/>
              <w:widowControl w:val="0"/>
              <w:kinsoku/>
              <w:wordWrap/>
              <w:overflowPunct/>
              <w:topLinePunct w:val="0"/>
              <w:bidi w:val="0"/>
              <w:adjustRightInd w:val="0"/>
              <w:snapToGrid w:val="0"/>
              <w:spacing w:line="400" w:lineRule="exact"/>
              <w:ind w:firstLine="420" w:firstLineChars="200"/>
              <w:textAlignment w:val="auto"/>
              <w:rPr>
                <w:rFonts w:hint="default" w:ascii="Times New Roman" w:hAnsi="Times New Roman" w:cs="Times New Roman"/>
                <w:color w:val="auto"/>
                <w:lang w:val="de-DE"/>
              </w:rPr>
            </w:pPr>
            <w:r>
              <w:rPr>
                <w:rFonts w:hint="eastAsia" w:cs="Times New Roman"/>
                <w:color w:val="auto"/>
                <w:lang w:eastAsia="zh-CN"/>
              </w:rPr>
              <w:t>一期</w:t>
            </w:r>
            <w:r>
              <w:rPr>
                <w:rFonts w:hint="default" w:ascii="Times New Roman" w:hAnsi="Times New Roman" w:cs="Times New Roman"/>
                <w:bCs/>
                <w:color w:val="auto"/>
              </w:rPr>
              <w:t>项目</w:t>
            </w:r>
            <w:r>
              <w:rPr>
                <w:rFonts w:hint="default" w:ascii="Times New Roman" w:hAnsi="Times New Roman" w:cs="Times New Roman"/>
                <w:color w:val="auto"/>
              </w:rPr>
              <w:t>声源主要</w:t>
            </w:r>
            <w:r>
              <w:rPr>
                <w:rFonts w:hint="default" w:ascii="Times New Roman" w:hAnsi="Times New Roman" w:cs="Times New Roman"/>
                <w:color w:val="auto"/>
                <w:highlight w:val="none"/>
              </w:rPr>
              <w:t>是</w:t>
            </w:r>
            <w:r>
              <w:rPr>
                <w:rFonts w:hint="eastAsia" w:cs="Times New Roman"/>
                <w:color w:val="auto"/>
                <w:highlight w:val="none"/>
                <w:lang w:eastAsia="zh-CN"/>
              </w:rPr>
              <w:t>破碎机、原料筛、造粒机、包装机、空压机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风机</w:t>
            </w:r>
            <w:r>
              <w:rPr>
                <w:rFonts w:hint="default" w:ascii="Times New Roman" w:hAnsi="Times New Roman" w:cs="Times New Roman"/>
                <w:color w:val="auto"/>
                <w:highlight w:val="none"/>
              </w:rPr>
              <w:t>等</w:t>
            </w:r>
            <w:r>
              <w:rPr>
                <w:rFonts w:hint="default" w:ascii="Times New Roman" w:hAnsi="Times New Roman" w:cs="Times New Roman"/>
                <w:color w:val="auto"/>
              </w:rPr>
              <w:t>设备</w:t>
            </w:r>
            <w:r>
              <w:rPr>
                <w:rFonts w:hint="default" w:ascii="Times New Roman" w:hAnsi="Times New Roman" w:cs="Times New Roman"/>
                <w:color w:val="auto"/>
                <w:lang w:eastAsia="zh-CN"/>
              </w:rPr>
              <w:t>运行</w:t>
            </w:r>
            <w:r>
              <w:rPr>
                <w:rFonts w:hint="default" w:ascii="Times New Roman" w:hAnsi="Times New Roman" w:cs="Times New Roman"/>
                <w:color w:val="auto"/>
                <w:lang w:val="de-DE"/>
              </w:rPr>
              <w:t>产生的</w:t>
            </w:r>
            <w:r>
              <w:rPr>
                <w:rFonts w:hint="default" w:ascii="Times New Roman" w:hAnsi="Times New Roman" w:cs="Times New Roman"/>
                <w:color w:val="auto"/>
                <w:lang w:val="de-DE" w:eastAsia="zh-CN"/>
              </w:rPr>
              <w:t>机械</w:t>
            </w:r>
            <w:r>
              <w:rPr>
                <w:rFonts w:hint="default" w:ascii="Times New Roman" w:hAnsi="Times New Roman" w:cs="Times New Roman"/>
                <w:color w:val="auto"/>
                <w:lang w:val="de-DE"/>
              </w:rPr>
              <w:t>噪声，根据国内同类行业的车间内噪声值的经验数据，其噪声级在</w:t>
            </w:r>
            <w:r>
              <w:rPr>
                <w:rFonts w:hint="eastAsia" w:cs="Times New Roman"/>
                <w:color w:val="auto"/>
                <w:lang w:val="en-US" w:eastAsia="zh-CN"/>
              </w:rPr>
              <w:t>60-90</w:t>
            </w:r>
            <w:r>
              <w:rPr>
                <w:rFonts w:hint="default" w:ascii="Times New Roman" w:hAnsi="Times New Roman" w:cs="Times New Roman"/>
                <w:color w:val="auto"/>
                <w:lang w:val="de-DE"/>
              </w:rPr>
              <w:t>dB（A）之间。</w:t>
            </w:r>
          </w:p>
          <w:p w14:paraId="31E0516B">
            <w:pPr>
              <w:keepNext w:val="0"/>
              <w:keepLines w:val="0"/>
              <w:pageBreakBefore w:val="0"/>
              <w:widowControl w:val="0"/>
              <w:kinsoku/>
              <w:wordWrap/>
              <w:overflowPunct/>
              <w:topLinePunct w:val="0"/>
              <w:bidi w:val="0"/>
              <w:adjustRightInd w:val="0"/>
              <w:snapToGrid w:val="0"/>
              <w:spacing w:line="400" w:lineRule="exact"/>
              <w:ind w:firstLine="422" w:firstLineChars="200"/>
              <w:textAlignment w:val="auto"/>
              <w:rPr>
                <w:rFonts w:hint="default" w:ascii="Times New Roman" w:hAnsi="Times New Roman" w:cs="Times New Roman"/>
                <w:b/>
                <w:bCs/>
                <w:color w:val="auto"/>
              </w:rPr>
            </w:pPr>
            <w:r>
              <w:rPr>
                <w:rFonts w:hint="default" w:ascii="Times New Roman" w:hAnsi="Times New Roman" w:cs="Times New Roman"/>
                <w:b/>
                <w:bCs/>
                <w:color w:val="auto"/>
              </w:rPr>
              <w:t>（4）固废</w:t>
            </w:r>
          </w:p>
          <w:p w14:paraId="670D195E">
            <w:pPr>
              <w:keepNext w:val="0"/>
              <w:keepLines w:val="0"/>
              <w:pageBreakBefore w:val="0"/>
              <w:widowControl w:val="0"/>
              <w:kinsoku/>
              <w:wordWrap/>
              <w:overflowPunct/>
              <w:topLinePunct w:val="0"/>
              <w:autoSpaceDE/>
              <w:autoSpaceDN/>
              <w:bidi w:val="0"/>
              <w:adjustRightInd w:val="0"/>
              <w:snapToGrid w:val="0"/>
              <w:spacing w:line="400" w:lineRule="exact"/>
              <w:ind w:firstLine="420" w:firstLineChars="200"/>
              <w:jc w:val="both"/>
              <w:textAlignment w:val="auto"/>
              <w:outlineLvl w:val="9"/>
              <w:rPr>
                <w:rFonts w:hint="default" w:ascii="Times New Roman" w:hAnsi="Times New Roman" w:cs="Times New Roman"/>
                <w:color w:val="auto"/>
                <w:highlight w:val="none"/>
                <w:lang w:eastAsia="zh-CN"/>
              </w:rPr>
            </w:pPr>
            <w:r>
              <w:rPr>
                <w:rFonts w:hint="default" w:ascii="Times New Roman" w:hAnsi="Times New Roman" w:cs="Times New Roman"/>
                <w:snapToGrid w:val="0"/>
                <w:color w:val="auto"/>
                <w:kern w:val="0"/>
                <w:highlight w:val="none"/>
              </w:rPr>
              <w:t>根据《固体废物鉴别标准通则》（GB34330-2017）第6条6.1的要求：不经过</w:t>
            </w:r>
            <w:r>
              <w:rPr>
                <w:rFonts w:hint="default" w:ascii="Times New Roman" w:hAnsi="Times New Roman" w:cs="Times New Roman"/>
                <w:color w:val="auto"/>
                <w:highlight w:val="none"/>
              </w:rPr>
              <w:t>贮存或堆积过程，而在现场直接返回到原生产过程或返回其产生过程的物质，不作为固体废物管理</w:t>
            </w:r>
            <w:r>
              <w:rPr>
                <w:rFonts w:hint="default" w:ascii="Times New Roman" w:hAnsi="Times New Roman" w:cs="Times New Roman"/>
                <w:color w:val="auto"/>
                <w:highlight w:val="none"/>
                <w:lang w:eastAsia="zh-CN"/>
              </w:rPr>
              <w:t>；</w:t>
            </w:r>
            <w:r>
              <w:rPr>
                <w:rFonts w:hint="default" w:ascii="Times New Roman" w:hAnsi="Times New Roman" w:cs="Times New Roman"/>
                <w:bCs/>
                <w:color w:val="auto"/>
                <w:highlight w:val="none"/>
                <w:lang w:eastAsia="zh-CN"/>
              </w:rPr>
              <w:t>任何不需要修复和加工既可用于原始用途的物质，或者在产生点经过修复和加工后满足国家、地方制定或行业通行的产品质量标准并用于其原始用途的物质，不作为固体废物管理”</w:t>
            </w:r>
            <w:r>
              <w:rPr>
                <w:rFonts w:hint="default" w:ascii="Times New Roman" w:hAnsi="Times New Roman" w:cs="Times New Roman"/>
                <w:color w:val="auto"/>
                <w:highlight w:val="none"/>
              </w:rPr>
              <w:t>。</w:t>
            </w:r>
            <w:r>
              <w:rPr>
                <w:rFonts w:hint="eastAsia" w:cs="Times New Roman"/>
                <w:color w:val="auto"/>
                <w:highlight w:val="none"/>
                <w:lang w:eastAsia="zh-CN"/>
              </w:rPr>
              <w:t>一期项目</w:t>
            </w:r>
            <w:r>
              <w:rPr>
                <w:rFonts w:hint="default" w:ascii="Times New Roman" w:hAnsi="Times New Roman" w:cs="Times New Roman"/>
                <w:color w:val="auto"/>
                <w:highlight w:val="none"/>
                <w:lang w:eastAsia="zh-CN"/>
              </w:rPr>
              <w:t>除尘器收尘</w:t>
            </w:r>
            <w:r>
              <w:rPr>
                <w:rFonts w:hint="default" w:ascii="Times New Roman" w:hAnsi="Times New Roman" w:cs="Times New Roman"/>
                <w:color w:val="auto"/>
                <w:highlight w:val="none"/>
              </w:rPr>
              <w:t>直接回用生产，所以不按固废进行管理</w:t>
            </w:r>
            <w:r>
              <w:rPr>
                <w:rFonts w:hint="default" w:ascii="Times New Roman" w:hAnsi="Times New Roman" w:cs="Times New Roman"/>
                <w:color w:val="auto"/>
                <w:highlight w:val="none"/>
                <w:lang w:eastAsia="zh-CN"/>
              </w:rPr>
              <w:t>。</w:t>
            </w:r>
          </w:p>
          <w:p w14:paraId="2EA80EDA">
            <w:pPr>
              <w:keepNext w:val="0"/>
              <w:keepLines w:val="0"/>
              <w:pageBreakBefore w:val="0"/>
              <w:widowControl w:val="0"/>
              <w:kinsoku/>
              <w:wordWrap/>
              <w:overflowPunct/>
              <w:topLinePunct w:val="0"/>
              <w:autoSpaceDE/>
              <w:autoSpaceDN/>
              <w:bidi w:val="0"/>
              <w:adjustRightInd w:val="0"/>
              <w:snapToGrid w:val="0"/>
              <w:spacing w:line="400" w:lineRule="exact"/>
              <w:ind w:firstLine="420" w:firstLineChars="200"/>
              <w:jc w:val="both"/>
              <w:textAlignment w:val="auto"/>
              <w:outlineLvl w:val="9"/>
              <w:rPr>
                <w:rFonts w:hint="eastAsia" w:cs="Times New Roman"/>
                <w:caps w:val="0"/>
                <w:snapToGrid w:val="0"/>
                <w:color w:val="auto"/>
                <w:spacing w:val="0"/>
                <w:position w:val="0"/>
                <w:sz w:val="21"/>
                <w:szCs w:val="21"/>
                <w:highlight w:val="none"/>
                <w:lang w:val="en-US" w:eastAsia="zh-CN"/>
              </w:rPr>
            </w:pPr>
            <w:r>
              <w:rPr>
                <w:rFonts w:hint="eastAsia" w:cs="Times New Roman"/>
                <w:color w:val="auto"/>
                <w:lang w:eastAsia="zh-CN"/>
              </w:rPr>
              <w:t>一期</w:t>
            </w:r>
            <w:r>
              <w:rPr>
                <w:rFonts w:hint="default" w:ascii="Times New Roman" w:hAnsi="Times New Roman" w:cs="Times New Roman"/>
                <w:color w:val="auto"/>
                <w:lang w:eastAsia="zh-CN"/>
              </w:rPr>
              <w:t>项目生产过程中产生的固废</w:t>
            </w:r>
            <w:r>
              <w:rPr>
                <w:rFonts w:hint="default" w:ascii="Times New Roman" w:hAnsi="Times New Roman" w:eastAsia="宋体" w:cs="Times New Roman"/>
                <w:caps w:val="0"/>
                <w:snapToGrid w:val="0"/>
                <w:color w:val="auto"/>
                <w:spacing w:val="0"/>
                <w:position w:val="0"/>
                <w:sz w:val="21"/>
                <w:szCs w:val="21"/>
                <w:highlight w:val="none"/>
                <w:lang w:eastAsia="zh-CN"/>
              </w:rPr>
              <w:t>可分为生活垃圾</w:t>
            </w:r>
            <w:r>
              <w:rPr>
                <w:rFonts w:hint="eastAsia" w:cs="Times New Roman"/>
                <w:caps w:val="0"/>
                <w:snapToGrid w:val="0"/>
                <w:color w:val="auto"/>
                <w:spacing w:val="0"/>
                <w:position w:val="0"/>
                <w:sz w:val="21"/>
                <w:szCs w:val="21"/>
                <w:highlight w:val="none"/>
                <w:lang w:eastAsia="zh-CN"/>
              </w:rPr>
              <w:t>（</w:t>
            </w:r>
            <w:r>
              <w:rPr>
                <w:rFonts w:hint="eastAsia" w:cs="Times New Roman"/>
                <w:caps w:val="0"/>
                <w:snapToGrid w:val="0"/>
                <w:color w:val="auto"/>
                <w:spacing w:val="0"/>
                <w:position w:val="0"/>
                <w:sz w:val="21"/>
                <w:szCs w:val="21"/>
                <w:highlight w:val="none"/>
                <w:lang w:val="en-US" w:eastAsia="zh-CN"/>
              </w:rPr>
              <w:t>S5</w:t>
            </w:r>
            <w:r>
              <w:rPr>
                <w:rFonts w:hint="eastAsia" w:cs="Times New Roman"/>
                <w:caps w:val="0"/>
                <w:snapToGrid w:val="0"/>
                <w:color w:val="auto"/>
                <w:spacing w:val="0"/>
                <w:position w:val="0"/>
                <w:sz w:val="21"/>
                <w:szCs w:val="21"/>
                <w:highlight w:val="none"/>
                <w:lang w:eastAsia="zh-CN"/>
              </w:rPr>
              <w:t>）</w:t>
            </w:r>
            <w:r>
              <w:rPr>
                <w:rFonts w:hint="default" w:ascii="Times New Roman" w:hAnsi="Times New Roman" w:eastAsia="宋体" w:cs="Times New Roman"/>
                <w:caps w:val="0"/>
                <w:snapToGrid w:val="0"/>
                <w:color w:val="auto"/>
                <w:spacing w:val="0"/>
                <w:position w:val="0"/>
                <w:sz w:val="21"/>
                <w:szCs w:val="21"/>
                <w:highlight w:val="none"/>
                <w:lang w:eastAsia="zh-CN"/>
              </w:rPr>
              <w:t>、一般工业固废。一般工业固废主要为废原料</w:t>
            </w:r>
            <w:r>
              <w:rPr>
                <w:rFonts w:hint="default" w:ascii="Times New Roman" w:hAnsi="Times New Roman" w:eastAsia="宋体" w:cs="Times New Roman"/>
                <w:caps w:val="0"/>
                <w:snapToGrid w:val="0"/>
                <w:color w:val="auto"/>
                <w:spacing w:val="0"/>
                <w:position w:val="0"/>
                <w:sz w:val="21"/>
                <w:szCs w:val="21"/>
                <w:highlight w:val="none"/>
                <w:lang w:val="en-US" w:eastAsia="zh-CN"/>
              </w:rPr>
              <w:t>包装袋</w:t>
            </w:r>
            <w:r>
              <w:rPr>
                <w:rFonts w:hint="eastAsia" w:cs="Times New Roman"/>
                <w:caps w:val="0"/>
                <w:snapToGrid w:val="0"/>
                <w:color w:val="auto"/>
                <w:spacing w:val="0"/>
                <w:position w:val="0"/>
                <w:sz w:val="21"/>
                <w:szCs w:val="21"/>
                <w:highlight w:val="none"/>
                <w:lang w:val="en-US" w:eastAsia="zh-CN"/>
              </w:rPr>
              <w:t>（S1、S2）、</w:t>
            </w:r>
            <w:r>
              <w:rPr>
                <w:rFonts w:hint="default" w:ascii="Times New Roman" w:hAnsi="Times New Roman" w:eastAsia="宋体" w:cs="Times New Roman"/>
                <w:caps w:val="0"/>
                <w:snapToGrid w:val="0"/>
                <w:color w:val="auto"/>
                <w:spacing w:val="0"/>
                <w:position w:val="0"/>
                <w:sz w:val="21"/>
                <w:szCs w:val="21"/>
                <w:highlight w:val="none"/>
                <w:lang w:val="en-US" w:eastAsia="zh-CN"/>
              </w:rPr>
              <w:t>废布袋</w:t>
            </w:r>
            <w:r>
              <w:rPr>
                <w:rFonts w:hint="eastAsia" w:cs="Times New Roman"/>
                <w:caps w:val="0"/>
                <w:snapToGrid w:val="0"/>
                <w:color w:val="auto"/>
                <w:spacing w:val="0"/>
                <w:position w:val="0"/>
                <w:sz w:val="21"/>
                <w:szCs w:val="21"/>
                <w:highlight w:val="none"/>
                <w:lang w:val="en-US" w:eastAsia="zh-CN"/>
              </w:rPr>
              <w:t>（S3）、车间沉降颗粒物清扫粉尘（S4）。</w:t>
            </w:r>
          </w:p>
          <w:p w14:paraId="281B2A20">
            <w:pPr>
              <w:spacing w:line="360" w:lineRule="auto"/>
              <w:ind w:firstLine="422" w:firstLineChars="200"/>
              <w:jc w:val="center"/>
              <w:rPr>
                <w:rFonts w:hint="default" w:ascii="Times New Roman" w:hAnsi="Times New Roman" w:cs="Times New Roman"/>
                <w:b/>
                <w:bCs/>
                <w:color w:val="auto"/>
                <w:highlight w:val="none"/>
              </w:rPr>
            </w:pPr>
            <w:r>
              <w:rPr>
                <w:rStyle w:val="1395"/>
                <w:rFonts w:hint="default" w:ascii="Times New Roman" w:hAnsi="Times New Roman" w:cs="Times New Roman"/>
                <w:b/>
                <w:bCs/>
                <w:color w:val="auto"/>
                <w:sz w:val="21"/>
                <w:szCs w:val="21"/>
                <w:highlight w:val="none"/>
                <w:vertAlign w:val="baseline"/>
                <w:lang w:bidi="ar"/>
              </w:rPr>
              <w:t>表2-</w:t>
            </w:r>
            <w:r>
              <w:rPr>
                <w:rStyle w:val="1395"/>
                <w:rFonts w:hint="eastAsia" w:cs="Times New Roman"/>
                <w:b/>
                <w:bCs/>
                <w:color w:val="auto"/>
                <w:sz w:val="21"/>
                <w:szCs w:val="21"/>
                <w:highlight w:val="none"/>
                <w:vertAlign w:val="baseline"/>
                <w:lang w:val="en-US" w:eastAsia="zh-CN" w:bidi="ar"/>
              </w:rPr>
              <w:t>6一期</w:t>
            </w:r>
            <w:r>
              <w:rPr>
                <w:rStyle w:val="1395"/>
                <w:rFonts w:hint="default" w:ascii="Times New Roman" w:hAnsi="Times New Roman" w:cs="Times New Roman"/>
                <w:b/>
                <w:bCs/>
                <w:color w:val="auto"/>
                <w:sz w:val="21"/>
                <w:szCs w:val="21"/>
                <w:highlight w:val="none"/>
                <w:vertAlign w:val="baseline"/>
                <w:lang w:bidi="ar"/>
              </w:rPr>
              <w:t>项目</w:t>
            </w:r>
            <w:r>
              <w:rPr>
                <w:rFonts w:hint="default" w:ascii="Times New Roman" w:hAnsi="Times New Roman" w:cs="Times New Roman"/>
                <w:b/>
                <w:bCs/>
                <w:color w:val="auto"/>
                <w:highlight w:val="none"/>
              </w:rPr>
              <w:t>产污环节一览表</w:t>
            </w:r>
          </w:p>
          <w:tbl>
            <w:tblPr>
              <w:tblStyle w:val="81"/>
              <w:tblW w:w="81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7"/>
              <w:gridCol w:w="803"/>
              <w:gridCol w:w="1972"/>
              <w:gridCol w:w="1958"/>
              <w:gridCol w:w="2819"/>
            </w:tblGrid>
            <w:tr w14:paraId="0BE61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noWrap w:val="0"/>
                  <w:vAlign w:val="center"/>
                </w:tcPr>
                <w:p w14:paraId="66296365">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类别</w:t>
                  </w:r>
                </w:p>
              </w:tc>
              <w:tc>
                <w:tcPr>
                  <w:tcW w:w="2775" w:type="dxa"/>
                  <w:gridSpan w:val="2"/>
                  <w:noWrap w:val="0"/>
                  <w:vAlign w:val="center"/>
                </w:tcPr>
                <w:p w14:paraId="7848D4A5">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产污环节</w:t>
                  </w:r>
                </w:p>
              </w:tc>
              <w:tc>
                <w:tcPr>
                  <w:tcW w:w="1958" w:type="dxa"/>
                  <w:noWrap w:val="0"/>
                  <w:vAlign w:val="center"/>
                </w:tcPr>
                <w:p w14:paraId="2C3901FA">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w:t>
                  </w:r>
                </w:p>
              </w:tc>
              <w:tc>
                <w:tcPr>
                  <w:tcW w:w="2819" w:type="dxa"/>
                  <w:noWrap w:val="0"/>
                  <w:vAlign w:val="center"/>
                </w:tcPr>
                <w:p w14:paraId="539FEB0F">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治理措施</w:t>
                  </w:r>
                </w:p>
              </w:tc>
            </w:tr>
            <w:tr w14:paraId="27DBE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vMerge w:val="restart"/>
                  <w:noWrap w:val="0"/>
                  <w:vAlign w:val="center"/>
                </w:tcPr>
                <w:p w14:paraId="48534A0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废气</w:t>
                  </w:r>
                </w:p>
              </w:tc>
              <w:tc>
                <w:tcPr>
                  <w:tcW w:w="803" w:type="dxa"/>
                  <w:vMerge w:val="restart"/>
                  <w:noWrap w:val="0"/>
                  <w:vAlign w:val="center"/>
                </w:tcPr>
                <w:p w14:paraId="1FA886D3">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运营期</w:t>
                  </w:r>
                </w:p>
              </w:tc>
              <w:tc>
                <w:tcPr>
                  <w:tcW w:w="1972" w:type="dxa"/>
                  <w:noWrap w:val="0"/>
                  <w:vAlign w:val="center"/>
                </w:tcPr>
                <w:p w14:paraId="6F395AC6">
                  <w:pPr>
                    <w:jc w:val="center"/>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eastAsia="zh-CN"/>
                    </w:rPr>
                    <w:t>原料</w:t>
                  </w:r>
                  <w:r>
                    <w:rPr>
                      <w:rFonts w:hint="default" w:ascii="Times New Roman" w:hAnsi="Times New Roman" w:cs="Times New Roman"/>
                      <w:color w:val="auto"/>
                      <w:sz w:val="18"/>
                      <w:szCs w:val="18"/>
                      <w:highlight w:val="none"/>
                      <w:lang w:val="en-US" w:eastAsia="zh-CN"/>
                    </w:rPr>
                    <w:t>破碎</w:t>
                  </w:r>
                  <w:r>
                    <w:rPr>
                      <w:rFonts w:hint="eastAsia" w:ascii="Times New Roman" w:hAnsi="Times New Roman" w:cs="Times New Roman"/>
                      <w:color w:val="auto"/>
                      <w:sz w:val="18"/>
                      <w:szCs w:val="18"/>
                      <w:highlight w:val="none"/>
                      <w:lang w:val="en-US" w:eastAsia="zh-CN"/>
                    </w:rPr>
                    <w:t>过程</w:t>
                  </w:r>
                  <w:r>
                    <w:rPr>
                      <w:rFonts w:hint="eastAsia" w:cs="Times New Roman"/>
                      <w:color w:val="auto"/>
                      <w:sz w:val="18"/>
                      <w:szCs w:val="18"/>
                      <w:highlight w:val="none"/>
                      <w:lang w:val="en-US" w:eastAsia="zh-CN"/>
                    </w:rPr>
                    <w:t>G1</w:t>
                  </w:r>
                </w:p>
              </w:tc>
              <w:tc>
                <w:tcPr>
                  <w:tcW w:w="1958" w:type="dxa"/>
                  <w:noWrap w:val="0"/>
                  <w:vAlign w:val="center"/>
                </w:tcPr>
                <w:p w14:paraId="327C940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颗粒物</w:t>
                  </w:r>
                </w:p>
              </w:tc>
              <w:tc>
                <w:tcPr>
                  <w:tcW w:w="2819" w:type="dxa"/>
                  <w:vMerge w:val="restart"/>
                  <w:noWrap w:val="0"/>
                  <w:vAlign w:val="center"/>
                </w:tcPr>
                <w:p w14:paraId="3B1DA311">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经集气罩收集，</w:t>
                  </w:r>
                  <w:r>
                    <w:rPr>
                      <w:rFonts w:hint="default" w:ascii="Times New Roman" w:hAnsi="Times New Roman" w:cs="Times New Roman"/>
                      <w:color w:val="auto"/>
                      <w:sz w:val="18"/>
                      <w:szCs w:val="18"/>
                      <w:highlight w:val="none"/>
                      <w:lang w:val="en-US" w:eastAsia="zh-CN"/>
                    </w:rPr>
                    <w:t>布袋除尘器</w:t>
                  </w:r>
                  <w:r>
                    <w:rPr>
                      <w:rFonts w:hint="default" w:ascii="Times New Roman" w:hAnsi="Times New Roman" w:cs="Times New Roman"/>
                      <w:color w:val="auto"/>
                      <w:sz w:val="18"/>
                      <w:szCs w:val="18"/>
                      <w:highlight w:val="none"/>
                    </w:rPr>
                    <w:t>处理</w:t>
                  </w:r>
                </w:p>
                <w:p w14:paraId="75A5AD14">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由15m高排气筒</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DA00</w:t>
                  </w:r>
                  <w:r>
                    <w:rPr>
                      <w:rFonts w:hint="eastAsia" w:cs="Times New Roman"/>
                      <w:color w:val="auto"/>
                      <w:sz w:val="18"/>
                      <w:szCs w:val="18"/>
                      <w:highlight w:val="none"/>
                      <w:lang w:val="en-US" w:eastAsia="zh-CN"/>
                    </w:rPr>
                    <w:t>3</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有组织排放</w:t>
                  </w:r>
                </w:p>
              </w:tc>
            </w:tr>
            <w:tr w14:paraId="08769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vMerge w:val="continue"/>
                  <w:noWrap w:val="0"/>
                  <w:vAlign w:val="center"/>
                </w:tcPr>
                <w:p w14:paraId="333CA904">
                  <w:pPr>
                    <w:jc w:val="center"/>
                    <w:rPr>
                      <w:rFonts w:hint="default" w:ascii="Times New Roman" w:hAnsi="Times New Roman" w:cs="Times New Roman"/>
                      <w:color w:val="auto"/>
                      <w:sz w:val="18"/>
                      <w:szCs w:val="18"/>
                      <w:highlight w:val="none"/>
                    </w:rPr>
                  </w:pPr>
                </w:p>
              </w:tc>
              <w:tc>
                <w:tcPr>
                  <w:tcW w:w="803" w:type="dxa"/>
                  <w:vMerge w:val="continue"/>
                  <w:noWrap w:val="0"/>
                  <w:vAlign w:val="center"/>
                </w:tcPr>
                <w:p w14:paraId="48C9E8B4">
                  <w:pPr>
                    <w:jc w:val="center"/>
                    <w:rPr>
                      <w:rFonts w:hint="default" w:ascii="Times New Roman" w:hAnsi="Times New Roman" w:cs="Times New Roman"/>
                      <w:color w:val="auto"/>
                      <w:sz w:val="18"/>
                      <w:szCs w:val="18"/>
                      <w:highlight w:val="none"/>
                    </w:rPr>
                  </w:pPr>
                </w:p>
              </w:tc>
              <w:tc>
                <w:tcPr>
                  <w:tcW w:w="1972" w:type="dxa"/>
                  <w:noWrap w:val="0"/>
                  <w:vAlign w:val="center"/>
                </w:tcPr>
                <w:p w14:paraId="3F598C5C">
                  <w:pPr>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原料筛分</w:t>
                  </w:r>
                  <w:r>
                    <w:rPr>
                      <w:rFonts w:hint="eastAsia" w:ascii="Times New Roman" w:hAnsi="Times New Roman" w:cs="Times New Roman"/>
                      <w:color w:val="auto"/>
                      <w:sz w:val="18"/>
                      <w:szCs w:val="18"/>
                      <w:highlight w:val="none"/>
                      <w:lang w:val="en-US" w:eastAsia="zh-CN"/>
                    </w:rPr>
                    <w:t>过程</w:t>
                  </w:r>
                  <w:r>
                    <w:rPr>
                      <w:rFonts w:hint="eastAsia" w:cs="Times New Roman"/>
                      <w:color w:val="auto"/>
                      <w:sz w:val="18"/>
                      <w:szCs w:val="18"/>
                      <w:highlight w:val="none"/>
                      <w:lang w:val="en-US" w:eastAsia="zh-CN"/>
                    </w:rPr>
                    <w:t>G2</w:t>
                  </w:r>
                </w:p>
              </w:tc>
              <w:tc>
                <w:tcPr>
                  <w:tcW w:w="1958" w:type="dxa"/>
                  <w:noWrap w:val="0"/>
                  <w:vAlign w:val="center"/>
                </w:tcPr>
                <w:p w14:paraId="6D8AC45E">
                  <w:pPr>
                    <w:jc w:val="center"/>
                    <w:rPr>
                      <w:rFonts w:hint="default" w:ascii="Times New Roman" w:hAnsi="Times New Roman"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颗粒物</w:t>
                  </w:r>
                </w:p>
              </w:tc>
              <w:tc>
                <w:tcPr>
                  <w:tcW w:w="2819" w:type="dxa"/>
                  <w:vMerge w:val="continue"/>
                  <w:noWrap w:val="0"/>
                  <w:vAlign w:val="center"/>
                </w:tcPr>
                <w:p w14:paraId="37F4AE2D">
                  <w:pPr>
                    <w:jc w:val="center"/>
                    <w:rPr>
                      <w:rFonts w:hint="default" w:ascii="Times New Roman" w:hAnsi="Times New Roman" w:cs="Times New Roman"/>
                      <w:color w:val="auto"/>
                      <w:sz w:val="18"/>
                      <w:szCs w:val="18"/>
                      <w:highlight w:val="none"/>
                    </w:rPr>
                  </w:pPr>
                </w:p>
              </w:tc>
            </w:tr>
            <w:tr w14:paraId="622A5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vMerge w:val="continue"/>
                  <w:noWrap w:val="0"/>
                  <w:vAlign w:val="center"/>
                </w:tcPr>
                <w:p w14:paraId="674E9C81">
                  <w:pPr>
                    <w:jc w:val="center"/>
                    <w:rPr>
                      <w:rFonts w:hint="default" w:ascii="Times New Roman" w:hAnsi="Times New Roman" w:cs="Times New Roman"/>
                      <w:color w:val="auto"/>
                      <w:sz w:val="18"/>
                      <w:szCs w:val="18"/>
                      <w:highlight w:val="none"/>
                    </w:rPr>
                  </w:pPr>
                </w:p>
              </w:tc>
              <w:tc>
                <w:tcPr>
                  <w:tcW w:w="803" w:type="dxa"/>
                  <w:vMerge w:val="continue"/>
                  <w:noWrap w:val="0"/>
                  <w:vAlign w:val="center"/>
                </w:tcPr>
                <w:p w14:paraId="12B0ABC3">
                  <w:pPr>
                    <w:jc w:val="center"/>
                    <w:rPr>
                      <w:rFonts w:hint="default" w:ascii="Times New Roman" w:hAnsi="Times New Roman" w:cs="Times New Roman"/>
                      <w:color w:val="auto"/>
                      <w:sz w:val="18"/>
                      <w:szCs w:val="18"/>
                      <w:highlight w:val="none"/>
                    </w:rPr>
                  </w:pPr>
                </w:p>
              </w:tc>
              <w:tc>
                <w:tcPr>
                  <w:tcW w:w="1972" w:type="dxa"/>
                  <w:noWrap w:val="0"/>
                  <w:vAlign w:val="center"/>
                </w:tcPr>
                <w:p w14:paraId="15FE57EE">
                  <w:pPr>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配料</w:t>
                  </w:r>
                  <w:r>
                    <w:rPr>
                      <w:rFonts w:hint="eastAsia" w:ascii="Times New Roman" w:hAnsi="Times New Roman" w:cs="Times New Roman"/>
                      <w:color w:val="auto"/>
                      <w:sz w:val="18"/>
                      <w:szCs w:val="18"/>
                      <w:highlight w:val="none"/>
                      <w:lang w:val="en-US" w:eastAsia="zh-CN"/>
                    </w:rPr>
                    <w:t>过程</w:t>
                  </w:r>
                  <w:r>
                    <w:rPr>
                      <w:rFonts w:hint="eastAsia" w:cs="Times New Roman"/>
                      <w:color w:val="auto"/>
                      <w:sz w:val="18"/>
                      <w:szCs w:val="18"/>
                      <w:highlight w:val="none"/>
                      <w:lang w:val="en-US" w:eastAsia="zh-CN"/>
                    </w:rPr>
                    <w:t>G3</w:t>
                  </w:r>
                </w:p>
              </w:tc>
              <w:tc>
                <w:tcPr>
                  <w:tcW w:w="1958" w:type="dxa"/>
                  <w:noWrap w:val="0"/>
                  <w:vAlign w:val="center"/>
                </w:tcPr>
                <w:p w14:paraId="34E94A6A">
                  <w:pPr>
                    <w:jc w:val="center"/>
                    <w:rPr>
                      <w:rFonts w:hint="default" w:ascii="Times New Roman" w:hAnsi="Times New Roman"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颗粒物</w:t>
                  </w:r>
                </w:p>
              </w:tc>
              <w:tc>
                <w:tcPr>
                  <w:tcW w:w="2819" w:type="dxa"/>
                  <w:vMerge w:val="continue"/>
                  <w:noWrap w:val="0"/>
                  <w:vAlign w:val="center"/>
                </w:tcPr>
                <w:p w14:paraId="31C8E2B2">
                  <w:pPr>
                    <w:jc w:val="center"/>
                    <w:rPr>
                      <w:rFonts w:hint="default" w:ascii="Times New Roman" w:hAnsi="Times New Roman" w:cs="Times New Roman"/>
                      <w:color w:val="auto"/>
                      <w:sz w:val="18"/>
                      <w:szCs w:val="18"/>
                      <w:highlight w:val="none"/>
                    </w:rPr>
                  </w:pPr>
                </w:p>
              </w:tc>
            </w:tr>
            <w:tr w14:paraId="28896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vMerge w:val="continue"/>
                  <w:noWrap w:val="0"/>
                  <w:vAlign w:val="center"/>
                </w:tcPr>
                <w:p w14:paraId="36902204">
                  <w:pPr>
                    <w:jc w:val="center"/>
                    <w:rPr>
                      <w:rFonts w:hint="default" w:ascii="Times New Roman" w:hAnsi="Times New Roman" w:cs="Times New Roman"/>
                      <w:color w:val="auto"/>
                      <w:sz w:val="18"/>
                      <w:szCs w:val="18"/>
                      <w:highlight w:val="none"/>
                    </w:rPr>
                  </w:pPr>
                </w:p>
              </w:tc>
              <w:tc>
                <w:tcPr>
                  <w:tcW w:w="803" w:type="dxa"/>
                  <w:vMerge w:val="continue"/>
                  <w:noWrap w:val="0"/>
                  <w:vAlign w:val="center"/>
                </w:tcPr>
                <w:p w14:paraId="6EAAAB3A">
                  <w:pPr>
                    <w:jc w:val="center"/>
                    <w:rPr>
                      <w:rFonts w:hint="default" w:ascii="Times New Roman" w:hAnsi="Times New Roman" w:cs="Times New Roman"/>
                      <w:color w:val="auto"/>
                      <w:sz w:val="18"/>
                      <w:szCs w:val="18"/>
                      <w:highlight w:val="none"/>
                    </w:rPr>
                  </w:pPr>
                </w:p>
              </w:tc>
              <w:tc>
                <w:tcPr>
                  <w:tcW w:w="1972" w:type="dxa"/>
                  <w:noWrap w:val="0"/>
                  <w:vAlign w:val="center"/>
                </w:tcPr>
                <w:p w14:paraId="6366EEC2">
                  <w:pP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部分筛分过程G4</w:t>
                  </w:r>
                </w:p>
              </w:tc>
              <w:tc>
                <w:tcPr>
                  <w:tcW w:w="1958" w:type="dxa"/>
                  <w:noWrap w:val="0"/>
                  <w:vAlign w:val="center"/>
                </w:tcPr>
                <w:p w14:paraId="4E99B056">
                  <w:pPr>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颗粒物</w:t>
                  </w:r>
                </w:p>
              </w:tc>
              <w:tc>
                <w:tcPr>
                  <w:tcW w:w="2819" w:type="dxa"/>
                  <w:vMerge w:val="continue"/>
                  <w:noWrap w:val="0"/>
                  <w:vAlign w:val="center"/>
                </w:tcPr>
                <w:p w14:paraId="7F4B30F7">
                  <w:pPr>
                    <w:jc w:val="center"/>
                    <w:rPr>
                      <w:rFonts w:hint="default" w:ascii="Times New Roman" w:hAnsi="Times New Roman" w:cs="Times New Roman"/>
                      <w:color w:val="auto"/>
                      <w:sz w:val="18"/>
                      <w:szCs w:val="18"/>
                      <w:highlight w:val="none"/>
                    </w:rPr>
                  </w:pPr>
                </w:p>
              </w:tc>
            </w:tr>
            <w:tr w14:paraId="49362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vMerge w:val="continue"/>
                  <w:noWrap w:val="0"/>
                  <w:vAlign w:val="center"/>
                </w:tcPr>
                <w:p w14:paraId="74B0C798">
                  <w:pPr>
                    <w:jc w:val="center"/>
                    <w:rPr>
                      <w:rFonts w:hint="default" w:ascii="Times New Roman" w:hAnsi="Times New Roman" w:cs="Times New Roman"/>
                      <w:color w:val="auto"/>
                      <w:sz w:val="18"/>
                      <w:szCs w:val="18"/>
                      <w:highlight w:val="none"/>
                    </w:rPr>
                  </w:pPr>
                </w:p>
              </w:tc>
              <w:tc>
                <w:tcPr>
                  <w:tcW w:w="803" w:type="dxa"/>
                  <w:vMerge w:val="continue"/>
                  <w:noWrap w:val="0"/>
                  <w:vAlign w:val="center"/>
                </w:tcPr>
                <w:p w14:paraId="0783CFA1">
                  <w:pPr>
                    <w:jc w:val="center"/>
                    <w:rPr>
                      <w:rFonts w:hint="default" w:ascii="Times New Roman" w:hAnsi="Times New Roman" w:cs="Times New Roman"/>
                      <w:color w:val="auto"/>
                      <w:sz w:val="18"/>
                      <w:szCs w:val="18"/>
                      <w:highlight w:val="none"/>
                    </w:rPr>
                  </w:pPr>
                </w:p>
              </w:tc>
              <w:tc>
                <w:tcPr>
                  <w:tcW w:w="1972" w:type="dxa"/>
                  <w:noWrap w:val="0"/>
                  <w:vAlign w:val="center"/>
                </w:tcPr>
                <w:p w14:paraId="1B08D05D">
                  <w:pPr>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混合</w:t>
                  </w:r>
                  <w:r>
                    <w:rPr>
                      <w:rFonts w:hint="eastAsia" w:ascii="Times New Roman" w:hAnsi="Times New Roman" w:cs="Times New Roman"/>
                      <w:color w:val="auto"/>
                      <w:sz w:val="18"/>
                      <w:szCs w:val="18"/>
                      <w:highlight w:val="none"/>
                      <w:lang w:val="en-US" w:eastAsia="zh-CN"/>
                    </w:rPr>
                    <w:t>过程</w:t>
                  </w:r>
                  <w:r>
                    <w:rPr>
                      <w:rFonts w:hint="eastAsia" w:cs="Times New Roman"/>
                      <w:color w:val="auto"/>
                      <w:sz w:val="18"/>
                      <w:szCs w:val="18"/>
                      <w:highlight w:val="none"/>
                      <w:lang w:val="en-US" w:eastAsia="zh-CN"/>
                    </w:rPr>
                    <w:t>G5</w:t>
                  </w:r>
                </w:p>
              </w:tc>
              <w:tc>
                <w:tcPr>
                  <w:tcW w:w="1958" w:type="dxa"/>
                  <w:noWrap w:val="0"/>
                  <w:vAlign w:val="center"/>
                </w:tcPr>
                <w:p w14:paraId="151B8CB4">
                  <w:pPr>
                    <w:jc w:val="center"/>
                    <w:rPr>
                      <w:rFonts w:hint="default" w:ascii="Times New Roman" w:hAnsi="Times New Roman"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颗粒物</w:t>
                  </w:r>
                </w:p>
              </w:tc>
              <w:tc>
                <w:tcPr>
                  <w:tcW w:w="2819" w:type="dxa"/>
                  <w:vMerge w:val="continue"/>
                  <w:noWrap w:val="0"/>
                  <w:vAlign w:val="center"/>
                </w:tcPr>
                <w:p w14:paraId="40CA420F">
                  <w:pPr>
                    <w:jc w:val="center"/>
                    <w:rPr>
                      <w:rFonts w:hint="default" w:ascii="Times New Roman" w:hAnsi="Times New Roman" w:cs="Times New Roman"/>
                      <w:color w:val="auto"/>
                      <w:sz w:val="18"/>
                      <w:szCs w:val="18"/>
                      <w:highlight w:val="none"/>
                    </w:rPr>
                  </w:pPr>
                </w:p>
              </w:tc>
            </w:tr>
            <w:tr w14:paraId="1EA85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vMerge w:val="continue"/>
                  <w:noWrap w:val="0"/>
                  <w:vAlign w:val="center"/>
                </w:tcPr>
                <w:p w14:paraId="025B6DA5">
                  <w:pPr>
                    <w:jc w:val="center"/>
                    <w:rPr>
                      <w:rFonts w:hint="default" w:ascii="Times New Roman" w:hAnsi="Times New Roman" w:cs="Times New Roman"/>
                      <w:color w:val="auto"/>
                      <w:sz w:val="18"/>
                      <w:szCs w:val="18"/>
                      <w:highlight w:val="none"/>
                    </w:rPr>
                  </w:pPr>
                </w:p>
              </w:tc>
              <w:tc>
                <w:tcPr>
                  <w:tcW w:w="803" w:type="dxa"/>
                  <w:vMerge w:val="continue"/>
                  <w:noWrap w:val="0"/>
                  <w:vAlign w:val="center"/>
                </w:tcPr>
                <w:p w14:paraId="2E395EE9">
                  <w:pPr>
                    <w:jc w:val="center"/>
                    <w:rPr>
                      <w:rFonts w:hint="default" w:ascii="Times New Roman" w:hAnsi="Times New Roman" w:cs="Times New Roman"/>
                      <w:color w:val="auto"/>
                      <w:sz w:val="18"/>
                      <w:szCs w:val="18"/>
                      <w:highlight w:val="none"/>
                    </w:rPr>
                  </w:pPr>
                </w:p>
              </w:tc>
              <w:tc>
                <w:tcPr>
                  <w:tcW w:w="1972" w:type="dxa"/>
                  <w:noWrap w:val="0"/>
                  <w:vAlign w:val="center"/>
                </w:tcPr>
                <w:p w14:paraId="2D818D15">
                  <w:pPr>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粗筛</w:t>
                  </w:r>
                  <w:r>
                    <w:rPr>
                      <w:rFonts w:hint="eastAsia" w:ascii="Times New Roman" w:hAnsi="Times New Roman" w:cs="Times New Roman"/>
                      <w:color w:val="auto"/>
                      <w:sz w:val="18"/>
                      <w:szCs w:val="18"/>
                      <w:highlight w:val="none"/>
                      <w:lang w:val="en-US" w:eastAsia="zh-CN"/>
                    </w:rPr>
                    <w:t>过程</w:t>
                  </w:r>
                  <w:r>
                    <w:rPr>
                      <w:rFonts w:hint="eastAsia" w:cs="Times New Roman"/>
                      <w:color w:val="auto"/>
                      <w:sz w:val="18"/>
                      <w:szCs w:val="18"/>
                      <w:highlight w:val="none"/>
                      <w:lang w:val="en-US" w:eastAsia="zh-CN"/>
                    </w:rPr>
                    <w:t>G7</w:t>
                  </w:r>
                </w:p>
              </w:tc>
              <w:tc>
                <w:tcPr>
                  <w:tcW w:w="1958" w:type="dxa"/>
                  <w:noWrap w:val="0"/>
                  <w:vAlign w:val="center"/>
                </w:tcPr>
                <w:p w14:paraId="0587EBD9">
                  <w:pPr>
                    <w:jc w:val="center"/>
                    <w:rPr>
                      <w:rFonts w:hint="default" w:ascii="Times New Roman" w:hAnsi="Times New Roman"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颗粒物</w:t>
                  </w:r>
                </w:p>
              </w:tc>
              <w:tc>
                <w:tcPr>
                  <w:tcW w:w="2819" w:type="dxa"/>
                  <w:vMerge w:val="continue"/>
                  <w:noWrap w:val="0"/>
                  <w:vAlign w:val="center"/>
                </w:tcPr>
                <w:p w14:paraId="2D0A4E92">
                  <w:pPr>
                    <w:jc w:val="center"/>
                    <w:rPr>
                      <w:rFonts w:hint="default" w:ascii="Times New Roman" w:hAnsi="Times New Roman" w:cs="Times New Roman"/>
                      <w:color w:val="auto"/>
                      <w:sz w:val="18"/>
                      <w:szCs w:val="18"/>
                      <w:highlight w:val="none"/>
                    </w:rPr>
                  </w:pPr>
                </w:p>
              </w:tc>
            </w:tr>
            <w:tr w14:paraId="6EAA5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vMerge w:val="continue"/>
                  <w:noWrap w:val="0"/>
                  <w:vAlign w:val="center"/>
                </w:tcPr>
                <w:p w14:paraId="10B72505">
                  <w:pPr>
                    <w:jc w:val="center"/>
                    <w:rPr>
                      <w:rFonts w:hint="default" w:ascii="Times New Roman" w:hAnsi="Times New Roman" w:cs="Times New Roman"/>
                      <w:color w:val="auto"/>
                      <w:sz w:val="18"/>
                      <w:szCs w:val="18"/>
                      <w:highlight w:val="none"/>
                    </w:rPr>
                  </w:pPr>
                </w:p>
              </w:tc>
              <w:tc>
                <w:tcPr>
                  <w:tcW w:w="803" w:type="dxa"/>
                  <w:vMerge w:val="continue"/>
                  <w:noWrap w:val="0"/>
                  <w:vAlign w:val="center"/>
                </w:tcPr>
                <w:p w14:paraId="69CAC111">
                  <w:pPr>
                    <w:jc w:val="center"/>
                    <w:rPr>
                      <w:rFonts w:hint="default" w:ascii="Times New Roman" w:hAnsi="Times New Roman" w:cs="Times New Roman"/>
                      <w:color w:val="auto"/>
                      <w:sz w:val="18"/>
                      <w:szCs w:val="18"/>
                      <w:highlight w:val="none"/>
                    </w:rPr>
                  </w:pPr>
                </w:p>
              </w:tc>
              <w:tc>
                <w:tcPr>
                  <w:tcW w:w="1972" w:type="dxa"/>
                  <w:noWrap w:val="0"/>
                  <w:vAlign w:val="center"/>
                </w:tcPr>
                <w:p w14:paraId="27924F98">
                  <w:pPr>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整形</w:t>
                  </w:r>
                  <w:r>
                    <w:rPr>
                      <w:rFonts w:hint="eastAsia" w:ascii="Times New Roman" w:hAnsi="Times New Roman" w:cs="Times New Roman"/>
                      <w:color w:val="auto"/>
                      <w:sz w:val="18"/>
                      <w:szCs w:val="18"/>
                      <w:highlight w:val="none"/>
                      <w:lang w:val="en-US" w:eastAsia="zh-CN"/>
                    </w:rPr>
                    <w:t>过程</w:t>
                  </w:r>
                  <w:r>
                    <w:rPr>
                      <w:rFonts w:hint="eastAsia" w:cs="Times New Roman"/>
                      <w:color w:val="auto"/>
                      <w:sz w:val="18"/>
                      <w:szCs w:val="18"/>
                      <w:highlight w:val="none"/>
                      <w:lang w:val="en-US" w:eastAsia="zh-CN"/>
                    </w:rPr>
                    <w:t>G8</w:t>
                  </w:r>
                </w:p>
              </w:tc>
              <w:tc>
                <w:tcPr>
                  <w:tcW w:w="1958" w:type="dxa"/>
                  <w:noWrap w:val="0"/>
                  <w:vAlign w:val="center"/>
                </w:tcPr>
                <w:p w14:paraId="5A541EB7">
                  <w:pPr>
                    <w:jc w:val="center"/>
                    <w:rPr>
                      <w:rFonts w:hint="default" w:ascii="Times New Roman" w:hAnsi="Times New Roman"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颗粒物</w:t>
                  </w:r>
                </w:p>
              </w:tc>
              <w:tc>
                <w:tcPr>
                  <w:tcW w:w="2819" w:type="dxa"/>
                  <w:vMerge w:val="continue"/>
                  <w:noWrap w:val="0"/>
                  <w:vAlign w:val="center"/>
                </w:tcPr>
                <w:p w14:paraId="4AC3AD9B">
                  <w:pPr>
                    <w:jc w:val="center"/>
                    <w:rPr>
                      <w:rFonts w:hint="default" w:ascii="Times New Roman" w:hAnsi="Times New Roman" w:cs="Times New Roman"/>
                      <w:color w:val="auto"/>
                      <w:sz w:val="18"/>
                      <w:szCs w:val="18"/>
                      <w:highlight w:val="none"/>
                    </w:rPr>
                  </w:pPr>
                </w:p>
              </w:tc>
            </w:tr>
            <w:tr w14:paraId="12614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vMerge w:val="continue"/>
                  <w:noWrap w:val="0"/>
                  <w:vAlign w:val="center"/>
                </w:tcPr>
                <w:p w14:paraId="03611EFE">
                  <w:pPr>
                    <w:jc w:val="center"/>
                    <w:rPr>
                      <w:rFonts w:hint="default" w:ascii="Times New Roman" w:hAnsi="Times New Roman" w:cs="Times New Roman"/>
                      <w:color w:val="auto"/>
                      <w:sz w:val="18"/>
                      <w:szCs w:val="18"/>
                      <w:highlight w:val="none"/>
                    </w:rPr>
                  </w:pPr>
                </w:p>
              </w:tc>
              <w:tc>
                <w:tcPr>
                  <w:tcW w:w="803" w:type="dxa"/>
                  <w:vMerge w:val="continue"/>
                  <w:noWrap w:val="0"/>
                  <w:vAlign w:val="center"/>
                </w:tcPr>
                <w:p w14:paraId="743E2442">
                  <w:pPr>
                    <w:jc w:val="center"/>
                    <w:rPr>
                      <w:rFonts w:hint="default" w:ascii="Times New Roman" w:hAnsi="Times New Roman" w:cs="Times New Roman"/>
                      <w:color w:val="auto"/>
                      <w:sz w:val="18"/>
                      <w:szCs w:val="18"/>
                      <w:highlight w:val="none"/>
                    </w:rPr>
                  </w:pPr>
                </w:p>
              </w:tc>
              <w:tc>
                <w:tcPr>
                  <w:tcW w:w="1972" w:type="dxa"/>
                  <w:shd w:val="clear" w:color="auto" w:fill="auto"/>
                  <w:noWrap w:val="0"/>
                  <w:vAlign w:val="center"/>
                </w:tcPr>
                <w:p w14:paraId="0299BD80">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造粒</w:t>
                  </w:r>
                  <w:r>
                    <w:rPr>
                      <w:rFonts w:hint="eastAsia" w:ascii="Times New Roman" w:hAnsi="Times New Roman" w:cs="Times New Roman"/>
                      <w:color w:val="auto"/>
                      <w:sz w:val="18"/>
                      <w:szCs w:val="18"/>
                      <w:highlight w:val="none"/>
                      <w:lang w:val="en-US" w:eastAsia="zh-CN"/>
                    </w:rPr>
                    <w:t>过程</w:t>
                  </w:r>
                  <w:r>
                    <w:rPr>
                      <w:rFonts w:hint="eastAsia" w:cs="Times New Roman"/>
                      <w:color w:val="auto"/>
                      <w:sz w:val="18"/>
                      <w:szCs w:val="18"/>
                      <w:highlight w:val="none"/>
                      <w:lang w:val="en-US" w:eastAsia="zh-CN"/>
                    </w:rPr>
                    <w:t>G6</w:t>
                  </w:r>
                </w:p>
              </w:tc>
              <w:tc>
                <w:tcPr>
                  <w:tcW w:w="1958" w:type="dxa"/>
                  <w:shd w:val="clear" w:color="auto" w:fill="auto"/>
                  <w:noWrap w:val="0"/>
                  <w:vAlign w:val="center"/>
                </w:tcPr>
                <w:p w14:paraId="0EDF76B4">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颗粒物、氨气</w:t>
                  </w:r>
                  <w:r>
                    <w:rPr>
                      <w:rFonts w:hint="eastAsia" w:cs="Times New Roman"/>
                      <w:color w:val="auto"/>
                      <w:sz w:val="18"/>
                      <w:szCs w:val="18"/>
                      <w:highlight w:val="none"/>
                      <w:lang w:val="en-US" w:eastAsia="zh-CN"/>
                    </w:rPr>
                    <w:t>、臭气浓度</w:t>
                  </w:r>
                </w:p>
              </w:tc>
              <w:tc>
                <w:tcPr>
                  <w:tcW w:w="2819" w:type="dxa"/>
                  <w:vMerge w:val="restart"/>
                  <w:noWrap w:val="0"/>
                  <w:vAlign w:val="center"/>
                </w:tcPr>
                <w:p w14:paraId="58586B9E">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经收集，</w:t>
                  </w:r>
                  <w:r>
                    <w:rPr>
                      <w:rFonts w:hint="default" w:ascii="Times New Roman" w:hAnsi="Times New Roman" w:cs="Times New Roman"/>
                      <w:color w:val="auto"/>
                      <w:sz w:val="18"/>
                      <w:szCs w:val="18"/>
                      <w:highlight w:val="none"/>
                      <w:lang w:val="en-US" w:eastAsia="zh-CN"/>
                    </w:rPr>
                    <w:t>布袋除尘器</w:t>
                  </w:r>
                  <w:r>
                    <w:rPr>
                      <w:rFonts w:hint="eastAsia" w:ascii="Times New Roman" w:hAnsi="Times New Roman" w:cs="Times New Roman"/>
                      <w:color w:val="auto"/>
                      <w:sz w:val="18"/>
                      <w:szCs w:val="18"/>
                      <w:highlight w:val="none"/>
                      <w:lang w:val="en-US" w:eastAsia="zh-CN"/>
                    </w:rPr>
                    <w:t>+水喷淋</w:t>
                  </w:r>
                  <w:r>
                    <w:rPr>
                      <w:rFonts w:hint="default" w:ascii="Times New Roman" w:hAnsi="Times New Roman" w:cs="Times New Roman"/>
                      <w:color w:val="auto"/>
                      <w:sz w:val="18"/>
                      <w:szCs w:val="18"/>
                      <w:highlight w:val="none"/>
                    </w:rPr>
                    <w:t>处理由15m高排气筒</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DA00</w:t>
                  </w:r>
                  <w:r>
                    <w:rPr>
                      <w:rFonts w:hint="eastAsia"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有组织排放</w:t>
                  </w:r>
                </w:p>
              </w:tc>
            </w:tr>
            <w:tr w14:paraId="0010F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vMerge w:val="continue"/>
                  <w:noWrap w:val="0"/>
                  <w:vAlign w:val="center"/>
                </w:tcPr>
                <w:p w14:paraId="3D391520">
                  <w:pPr>
                    <w:jc w:val="center"/>
                    <w:rPr>
                      <w:rFonts w:hint="default" w:ascii="Times New Roman" w:hAnsi="Times New Roman" w:cs="Times New Roman"/>
                      <w:color w:val="auto"/>
                      <w:sz w:val="18"/>
                      <w:szCs w:val="18"/>
                      <w:highlight w:val="none"/>
                    </w:rPr>
                  </w:pPr>
                </w:p>
              </w:tc>
              <w:tc>
                <w:tcPr>
                  <w:tcW w:w="803" w:type="dxa"/>
                  <w:vMerge w:val="continue"/>
                  <w:noWrap w:val="0"/>
                  <w:vAlign w:val="center"/>
                </w:tcPr>
                <w:p w14:paraId="76F0483D">
                  <w:pPr>
                    <w:jc w:val="center"/>
                    <w:rPr>
                      <w:rFonts w:hint="default" w:ascii="Times New Roman" w:hAnsi="Times New Roman" w:cs="Times New Roman"/>
                      <w:color w:val="auto"/>
                      <w:sz w:val="18"/>
                      <w:szCs w:val="18"/>
                      <w:highlight w:val="none"/>
                    </w:rPr>
                  </w:pPr>
                </w:p>
              </w:tc>
              <w:tc>
                <w:tcPr>
                  <w:tcW w:w="1972" w:type="dxa"/>
                  <w:shd w:val="clear" w:color="auto" w:fill="auto"/>
                  <w:noWrap w:val="0"/>
                  <w:vAlign w:val="center"/>
                </w:tcPr>
                <w:p w14:paraId="20EDB393">
                  <w:pPr>
                    <w:jc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天然气燃烧</w:t>
                  </w:r>
                  <w:r>
                    <w:rPr>
                      <w:rFonts w:hint="eastAsia" w:ascii="Times New Roman" w:hAnsi="Times New Roman" w:cs="Times New Roman"/>
                      <w:color w:val="auto"/>
                      <w:sz w:val="18"/>
                      <w:szCs w:val="18"/>
                      <w:highlight w:val="none"/>
                      <w:lang w:val="en-US" w:eastAsia="zh-CN"/>
                    </w:rPr>
                    <w:t>过程</w:t>
                  </w:r>
                  <w:r>
                    <w:rPr>
                      <w:rFonts w:hint="eastAsia" w:cs="Times New Roman"/>
                      <w:color w:val="auto"/>
                      <w:sz w:val="18"/>
                      <w:szCs w:val="18"/>
                      <w:highlight w:val="none"/>
                      <w:lang w:val="en-US" w:eastAsia="zh-CN"/>
                    </w:rPr>
                    <w:t>G9</w:t>
                  </w:r>
                </w:p>
              </w:tc>
              <w:tc>
                <w:tcPr>
                  <w:tcW w:w="1958" w:type="dxa"/>
                  <w:shd w:val="clear" w:color="auto" w:fill="auto"/>
                  <w:noWrap w:val="0"/>
                  <w:vAlign w:val="center"/>
                </w:tcPr>
                <w:p w14:paraId="72481FF4">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颗粒物、SO</w:t>
                  </w:r>
                  <w:r>
                    <w:rPr>
                      <w:rFonts w:hint="eastAsia" w:ascii="Times New Roman" w:hAnsi="Times New Roman" w:cs="Times New Roman"/>
                      <w:color w:val="auto"/>
                      <w:sz w:val="18"/>
                      <w:szCs w:val="18"/>
                      <w:highlight w:val="none"/>
                      <w:vertAlign w:val="subscript"/>
                      <w:lang w:val="en-US" w:eastAsia="zh-CN"/>
                    </w:rPr>
                    <w:t>2</w:t>
                  </w:r>
                  <w:r>
                    <w:rPr>
                      <w:rFonts w:hint="eastAsia" w:ascii="Times New Roman" w:hAnsi="Times New Roman" w:cs="Times New Roman"/>
                      <w:color w:val="auto"/>
                      <w:sz w:val="18"/>
                      <w:szCs w:val="18"/>
                      <w:highlight w:val="none"/>
                      <w:lang w:val="en-US" w:eastAsia="zh-CN"/>
                    </w:rPr>
                    <w:t>、NOx</w:t>
                  </w:r>
                </w:p>
              </w:tc>
              <w:tc>
                <w:tcPr>
                  <w:tcW w:w="2819" w:type="dxa"/>
                  <w:vMerge w:val="continue"/>
                  <w:noWrap w:val="0"/>
                  <w:vAlign w:val="center"/>
                </w:tcPr>
                <w:p w14:paraId="72A8BCA5">
                  <w:pPr>
                    <w:jc w:val="center"/>
                    <w:rPr>
                      <w:rFonts w:hint="default" w:ascii="Times New Roman" w:hAnsi="Times New Roman" w:cs="Times New Roman"/>
                      <w:color w:val="auto"/>
                      <w:sz w:val="18"/>
                      <w:szCs w:val="18"/>
                      <w:highlight w:val="none"/>
                    </w:rPr>
                  </w:pPr>
                </w:p>
              </w:tc>
            </w:tr>
            <w:tr w14:paraId="58543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vMerge w:val="continue"/>
                  <w:noWrap w:val="0"/>
                  <w:vAlign w:val="center"/>
                </w:tcPr>
                <w:p w14:paraId="3777B0A6">
                  <w:pPr>
                    <w:jc w:val="center"/>
                    <w:rPr>
                      <w:rFonts w:hint="default" w:ascii="Times New Roman" w:hAnsi="Times New Roman" w:cs="Times New Roman"/>
                      <w:color w:val="auto"/>
                      <w:sz w:val="18"/>
                      <w:szCs w:val="18"/>
                      <w:highlight w:val="none"/>
                    </w:rPr>
                  </w:pPr>
                </w:p>
              </w:tc>
              <w:tc>
                <w:tcPr>
                  <w:tcW w:w="803" w:type="dxa"/>
                  <w:vMerge w:val="continue"/>
                  <w:noWrap w:val="0"/>
                  <w:vAlign w:val="center"/>
                </w:tcPr>
                <w:p w14:paraId="6B16CF17">
                  <w:pPr>
                    <w:jc w:val="center"/>
                    <w:rPr>
                      <w:rFonts w:hint="default" w:ascii="Times New Roman" w:hAnsi="Times New Roman" w:cs="Times New Roman"/>
                      <w:color w:val="auto"/>
                      <w:sz w:val="18"/>
                      <w:szCs w:val="18"/>
                      <w:highlight w:val="none"/>
                    </w:rPr>
                  </w:pPr>
                </w:p>
              </w:tc>
              <w:tc>
                <w:tcPr>
                  <w:tcW w:w="1972" w:type="dxa"/>
                  <w:shd w:val="clear" w:color="auto" w:fill="auto"/>
                  <w:noWrap w:val="0"/>
                  <w:vAlign w:val="center"/>
                </w:tcPr>
                <w:p w14:paraId="1D845481">
                  <w:pPr>
                    <w:jc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烘干</w:t>
                  </w:r>
                  <w:r>
                    <w:rPr>
                      <w:rFonts w:hint="eastAsia" w:ascii="Times New Roman" w:hAnsi="Times New Roman" w:cs="Times New Roman"/>
                      <w:color w:val="auto"/>
                      <w:sz w:val="18"/>
                      <w:szCs w:val="18"/>
                      <w:highlight w:val="none"/>
                      <w:lang w:val="en-US" w:eastAsia="zh-CN"/>
                    </w:rPr>
                    <w:t>过程</w:t>
                  </w:r>
                  <w:r>
                    <w:rPr>
                      <w:rFonts w:hint="eastAsia" w:cs="Times New Roman"/>
                      <w:color w:val="auto"/>
                      <w:sz w:val="18"/>
                      <w:szCs w:val="18"/>
                      <w:highlight w:val="none"/>
                      <w:lang w:val="en-US" w:eastAsia="zh-CN"/>
                    </w:rPr>
                    <w:t>G10</w:t>
                  </w:r>
                </w:p>
              </w:tc>
              <w:tc>
                <w:tcPr>
                  <w:tcW w:w="1958" w:type="dxa"/>
                  <w:shd w:val="clear" w:color="auto" w:fill="auto"/>
                  <w:noWrap w:val="0"/>
                  <w:vAlign w:val="center"/>
                </w:tcPr>
                <w:p w14:paraId="2A67B6CC">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颗粒物、氨气</w:t>
                  </w:r>
                  <w:r>
                    <w:rPr>
                      <w:rFonts w:hint="eastAsia" w:cs="Times New Roman"/>
                      <w:color w:val="auto"/>
                      <w:sz w:val="18"/>
                      <w:szCs w:val="18"/>
                      <w:highlight w:val="none"/>
                      <w:lang w:val="en-US" w:eastAsia="zh-CN"/>
                    </w:rPr>
                    <w:t>、臭气浓度</w:t>
                  </w:r>
                </w:p>
              </w:tc>
              <w:tc>
                <w:tcPr>
                  <w:tcW w:w="2819" w:type="dxa"/>
                  <w:vMerge w:val="continue"/>
                  <w:noWrap w:val="0"/>
                  <w:vAlign w:val="center"/>
                </w:tcPr>
                <w:p w14:paraId="7DEF7CB3">
                  <w:pPr>
                    <w:jc w:val="center"/>
                    <w:rPr>
                      <w:rFonts w:hint="default" w:ascii="Times New Roman" w:hAnsi="Times New Roman" w:cs="Times New Roman"/>
                      <w:color w:val="auto"/>
                      <w:sz w:val="18"/>
                      <w:szCs w:val="18"/>
                      <w:highlight w:val="none"/>
                    </w:rPr>
                  </w:pPr>
                </w:p>
              </w:tc>
            </w:tr>
            <w:tr w14:paraId="163B4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vMerge w:val="continue"/>
                  <w:noWrap w:val="0"/>
                  <w:vAlign w:val="center"/>
                </w:tcPr>
                <w:p w14:paraId="314DB64A">
                  <w:pPr>
                    <w:jc w:val="center"/>
                    <w:rPr>
                      <w:rFonts w:hint="default" w:ascii="Times New Roman" w:hAnsi="Times New Roman" w:cs="Times New Roman"/>
                      <w:color w:val="auto"/>
                      <w:sz w:val="18"/>
                      <w:szCs w:val="18"/>
                      <w:highlight w:val="none"/>
                    </w:rPr>
                  </w:pPr>
                </w:p>
              </w:tc>
              <w:tc>
                <w:tcPr>
                  <w:tcW w:w="803" w:type="dxa"/>
                  <w:vMerge w:val="continue"/>
                  <w:noWrap w:val="0"/>
                  <w:vAlign w:val="center"/>
                </w:tcPr>
                <w:p w14:paraId="131051D1">
                  <w:pPr>
                    <w:jc w:val="center"/>
                    <w:rPr>
                      <w:rFonts w:hint="default" w:ascii="Times New Roman" w:hAnsi="Times New Roman" w:cs="Times New Roman"/>
                      <w:color w:val="auto"/>
                      <w:sz w:val="18"/>
                      <w:szCs w:val="18"/>
                      <w:highlight w:val="none"/>
                    </w:rPr>
                  </w:pPr>
                </w:p>
              </w:tc>
              <w:tc>
                <w:tcPr>
                  <w:tcW w:w="1972" w:type="dxa"/>
                  <w:noWrap w:val="0"/>
                  <w:vAlign w:val="center"/>
                </w:tcPr>
                <w:p w14:paraId="76E21224">
                  <w:pPr>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冷却</w:t>
                  </w:r>
                  <w:r>
                    <w:rPr>
                      <w:rFonts w:hint="eastAsia" w:ascii="Times New Roman" w:hAnsi="Times New Roman" w:cs="Times New Roman"/>
                      <w:color w:val="auto"/>
                      <w:sz w:val="18"/>
                      <w:szCs w:val="18"/>
                      <w:highlight w:val="none"/>
                      <w:lang w:val="en-US" w:eastAsia="zh-CN"/>
                    </w:rPr>
                    <w:t>过程</w:t>
                  </w:r>
                  <w:r>
                    <w:rPr>
                      <w:rFonts w:hint="eastAsia" w:cs="Times New Roman"/>
                      <w:color w:val="auto"/>
                      <w:sz w:val="18"/>
                      <w:szCs w:val="18"/>
                      <w:highlight w:val="none"/>
                      <w:lang w:val="en-US" w:eastAsia="zh-CN"/>
                    </w:rPr>
                    <w:t>G11</w:t>
                  </w:r>
                </w:p>
              </w:tc>
              <w:tc>
                <w:tcPr>
                  <w:tcW w:w="1958" w:type="dxa"/>
                  <w:noWrap w:val="0"/>
                  <w:vAlign w:val="center"/>
                </w:tcPr>
                <w:p w14:paraId="31F69D76">
                  <w:pPr>
                    <w:jc w:val="center"/>
                    <w:rPr>
                      <w:rFonts w:hint="default" w:ascii="Times New Roman" w:hAnsi="Times New Roman"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颗粒物</w:t>
                  </w:r>
                </w:p>
              </w:tc>
              <w:tc>
                <w:tcPr>
                  <w:tcW w:w="2819" w:type="dxa"/>
                  <w:vMerge w:val="restart"/>
                  <w:noWrap w:val="0"/>
                  <w:vAlign w:val="center"/>
                </w:tcPr>
                <w:p w14:paraId="32B952D6">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经集气罩收集，</w:t>
                  </w:r>
                  <w:r>
                    <w:rPr>
                      <w:rFonts w:hint="default" w:ascii="Times New Roman" w:hAnsi="Times New Roman" w:cs="Times New Roman"/>
                      <w:color w:val="auto"/>
                      <w:sz w:val="18"/>
                      <w:szCs w:val="18"/>
                      <w:highlight w:val="none"/>
                      <w:lang w:val="en-US" w:eastAsia="zh-CN"/>
                    </w:rPr>
                    <w:t>布袋除尘器</w:t>
                  </w:r>
                  <w:r>
                    <w:rPr>
                      <w:rFonts w:hint="default" w:ascii="Times New Roman" w:hAnsi="Times New Roman" w:cs="Times New Roman"/>
                      <w:color w:val="auto"/>
                      <w:sz w:val="18"/>
                      <w:szCs w:val="18"/>
                      <w:highlight w:val="none"/>
                    </w:rPr>
                    <w:t>处理</w:t>
                  </w:r>
                </w:p>
                <w:p w14:paraId="58A31817">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由15m高排气筒</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DA00</w:t>
                  </w:r>
                  <w:r>
                    <w:rPr>
                      <w:rFonts w:hint="eastAsia"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有组织排放</w:t>
                  </w:r>
                </w:p>
              </w:tc>
            </w:tr>
            <w:tr w14:paraId="561AB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vMerge w:val="continue"/>
                  <w:noWrap w:val="0"/>
                  <w:vAlign w:val="center"/>
                </w:tcPr>
                <w:p w14:paraId="64D597F6">
                  <w:pPr>
                    <w:jc w:val="center"/>
                    <w:rPr>
                      <w:rFonts w:hint="default" w:ascii="Times New Roman" w:hAnsi="Times New Roman" w:cs="Times New Roman"/>
                      <w:color w:val="auto"/>
                      <w:sz w:val="18"/>
                      <w:szCs w:val="18"/>
                      <w:highlight w:val="none"/>
                    </w:rPr>
                  </w:pPr>
                </w:p>
              </w:tc>
              <w:tc>
                <w:tcPr>
                  <w:tcW w:w="803" w:type="dxa"/>
                  <w:vMerge w:val="continue"/>
                  <w:noWrap w:val="0"/>
                  <w:vAlign w:val="center"/>
                </w:tcPr>
                <w:p w14:paraId="030592DC">
                  <w:pPr>
                    <w:jc w:val="center"/>
                    <w:rPr>
                      <w:rFonts w:hint="default" w:ascii="Times New Roman" w:hAnsi="Times New Roman" w:cs="Times New Roman"/>
                      <w:color w:val="auto"/>
                      <w:sz w:val="18"/>
                      <w:szCs w:val="18"/>
                      <w:highlight w:val="none"/>
                    </w:rPr>
                  </w:pPr>
                </w:p>
              </w:tc>
              <w:tc>
                <w:tcPr>
                  <w:tcW w:w="1972" w:type="dxa"/>
                  <w:shd w:val="clear" w:color="auto" w:fill="auto"/>
                  <w:noWrap w:val="0"/>
                  <w:vAlign w:val="center"/>
                </w:tcPr>
                <w:p w14:paraId="6436E949">
                  <w:pPr>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精筛</w:t>
                  </w:r>
                  <w:r>
                    <w:rPr>
                      <w:rFonts w:hint="eastAsia" w:ascii="Times New Roman" w:hAnsi="Times New Roman" w:cs="Times New Roman"/>
                      <w:color w:val="auto"/>
                      <w:sz w:val="18"/>
                      <w:szCs w:val="18"/>
                      <w:highlight w:val="none"/>
                      <w:lang w:val="en-US" w:eastAsia="zh-CN"/>
                    </w:rPr>
                    <w:t>过程G12</w:t>
                  </w:r>
                </w:p>
              </w:tc>
              <w:tc>
                <w:tcPr>
                  <w:tcW w:w="1958" w:type="dxa"/>
                  <w:shd w:val="clear" w:color="auto" w:fill="auto"/>
                  <w:noWrap w:val="0"/>
                  <w:vAlign w:val="center"/>
                </w:tcPr>
                <w:p w14:paraId="333F25A9">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颗粒物</w:t>
                  </w:r>
                </w:p>
              </w:tc>
              <w:tc>
                <w:tcPr>
                  <w:tcW w:w="2819" w:type="dxa"/>
                  <w:vMerge w:val="continue"/>
                  <w:noWrap w:val="0"/>
                  <w:vAlign w:val="center"/>
                </w:tcPr>
                <w:p w14:paraId="0835BFA2">
                  <w:pPr>
                    <w:jc w:val="center"/>
                    <w:rPr>
                      <w:rFonts w:hint="default" w:ascii="Times New Roman" w:hAnsi="Times New Roman" w:cs="Times New Roman"/>
                      <w:color w:val="auto"/>
                      <w:sz w:val="18"/>
                      <w:szCs w:val="18"/>
                      <w:highlight w:val="none"/>
                    </w:rPr>
                  </w:pPr>
                </w:p>
              </w:tc>
            </w:tr>
            <w:tr w14:paraId="1C491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vMerge w:val="continue"/>
                  <w:noWrap w:val="0"/>
                  <w:vAlign w:val="center"/>
                </w:tcPr>
                <w:p w14:paraId="388B79B7">
                  <w:pPr>
                    <w:jc w:val="center"/>
                    <w:rPr>
                      <w:rFonts w:hint="default" w:ascii="Times New Roman" w:hAnsi="Times New Roman" w:cs="Times New Roman"/>
                      <w:color w:val="auto"/>
                      <w:sz w:val="18"/>
                      <w:szCs w:val="18"/>
                      <w:highlight w:val="none"/>
                    </w:rPr>
                  </w:pPr>
                </w:p>
              </w:tc>
              <w:tc>
                <w:tcPr>
                  <w:tcW w:w="803" w:type="dxa"/>
                  <w:vMerge w:val="continue"/>
                  <w:noWrap w:val="0"/>
                  <w:vAlign w:val="center"/>
                </w:tcPr>
                <w:p w14:paraId="4FF4FE00">
                  <w:pPr>
                    <w:jc w:val="center"/>
                    <w:rPr>
                      <w:rFonts w:hint="default" w:ascii="Times New Roman" w:hAnsi="Times New Roman" w:cs="Times New Roman"/>
                      <w:color w:val="auto"/>
                      <w:sz w:val="18"/>
                      <w:szCs w:val="18"/>
                      <w:highlight w:val="none"/>
                    </w:rPr>
                  </w:pPr>
                </w:p>
              </w:tc>
              <w:tc>
                <w:tcPr>
                  <w:tcW w:w="1972" w:type="dxa"/>
                  <w:noWrap w:val="0"/>
                  <w:vAlign w:val="center"/>
                </w:tcPr>
                <w:p w14:paraId="3EBBDA75">
                  <w:pPr>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入仓</w:t>
                  </w:r>
                  <w:r>
                    <w:rPr>
                      <w:rFonts w:hint="eastAsia" w:ascii="Times New Roman" w:hAnsi="Times New Roman" w:cs="Times New Roman"/>
                      <w:color w:val="auto"/>
                      <w:sz w:val="18"/>
                      <w:szCs w:val="18"/>
                      <w:highlight w:val="none"/>
                      <w:lang w:val="en-US" w:eastAsia="zh-CN"/>
                    </w:rPr>
                    <w:t>过程</w:t>
                  </w:r>
                  <w:r>
                    <w:rPr>
                      <w:rFonts w:hint="eastAsia" w:cs="Times New Roman"/>
                      <w:color w:val="auto"/>
                      <w:sz w:val="18"/>
                      <w:szCs w:val="18"/>
                      <w:highlight w:val="none"/>
                      <w:lang w:val="en-US" w:eastAsia="zh-CN"/>
                    </w:rPr>
                    <w:t>G13</w:t>
                  </w:r>
                </w:p>
              </w:tc>
              <w:tc>
                <w:tcPr>
                  <w:tcW w:w="1958" w:type="dxa"/>
                  <w:noWrap w:val="0"/>
                  <w:vAlign w:val="center"/>
                </w:tcPr>
                <w:p w14:paraId="72F1857C">
                  <w:pPr>
                    <w:jc w:val="center"/>
                    <w:rPr>
                      <w:rFonts w:hint="default" w:ascii="Times New Roman" w:hAnsi="Times New Roman"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颗粒物</w:t>
                  </w:r>
                </w:p>
              </w:tc>
              <w:tc>
                <w:tcPr>
                  <w:tcW w:w="2819" w:type="dxa"/>
                  <w:vMerge w:val="continue"/>
                  <w:noWrap w:val="0"/>
                  <w:vAlign w:val="center"/>
                </w:tcPr>
                <w:p w14:paraId="636DD2AF">
                  <w:pPr>
                    <w:jc w:val="center"/>
                    <w:rPr>
                      <w:rFonts w:hint="default" w:ascii="Times New Roman" w:hAnsi="Times New Roman" w:cs="Times New Roman"/>
                      <w:color w:val="auto"/>
                      <w:sz w:val="18"/>
                      <w:szCs w:val="18"/>
                      <w:highlight w:val="none"/>
                    </w:rPr>
                  </w:pPr>
                </w:p>
              </w:tc>
            </w:tr>
            <w:tr w14:paraId="3F8F4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07" w:type="dxa"/>
                  <w:vMerge w:val="continue"/>
                  <w:noWrap w:val="0"/>
                  <w:vAlign w:val="center"/>
                </w:tcPr>
                <w:p w14:paraId="729F4475">
                  <w:pPr>
                    <w:jc w:val="center"/>
                    <w:rPr>
                      <w:rFonts w:hint="default" w:ascii="Times New Roman" w:hAnsi="Times New Roman" w:cs="Times New Roman"/>
                      <w:color w:val="auto"/>
                      <w:sz w:val="18"/>
                      <w:szCs w:val="18"/>
                      <w:highlight w:val="none"/>
                    </w:rPr>
                  </w:pPr>
                </w:p>
              </w:tc>
              <w:tc>
                <w:tcPr>
                  <w:tcW w:w="803" w:type="dxa"/>
                  <w:vMerge w:val="continue"/>
                  <w:noWrap w:val="0"/>
                  <w:vAlign w:val="center"/>
                </w:tcPr>
                <w:p w14:paraId="5E2560A1">
                  <w:pPr>
                    <w:jc w:val="center"/>
                    <w:rPr>
                      <w:rFonts w:hint="default" w:ascii="Times New Roman" w:hAnsi="Times New Roman" w:cs="Times New Roman"/>
                      <w:color w:val="auto"/>
                      <w:sz w:val="18"/>
                      <w:szCs w:val="18"/>
                      <w:highlight w:val="none"/>
                    </w:rPr>
                  </w:pPr>
                </w:p>
              </w:tc>
              <w:tc>
                <w:tcPr>
                  <w:tcW w:w="1972" w:type="dxa"/>
                  <w:noWrap w:val="0"/>
                  <w:vAlign w:val="center"/>
                </w:tcPr>
                <w:p w14:paraId="03BC8218">
                  <w:pP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包膜、</w:t>
                  </w:r>
                  <w:r>
                    <w:rPr>
                      <w:rFonts w:hint="eastAsia" w:ascii="Times New Roman" w:hAnsi="Times New Roman" w:eastAsia="宋体" w:cs="Times New Roman"/>
                      <w:color w:val="auto"/>
                      <w:kern w:val="2"/>
                      <w:sz w:val="18"/>
                      <w:szCs w:val="18"/>
                      <w:highlight w:val="none"/>
                      <w:lang w:val="en-US" w:eastAsia="zh-CN" w:bidi="ar-SA"/>
                    </w:rPr>
                    <w:t>包装</w:t>
                  </w:r>
                  <w:r>
                    <w:rPr>
                      <w:rFonts w:hint="eastAsia" w:ascii="Times New Roman" w:hAnsi="Times New Roman" w:cs="Times New Roman"/>
                      <w:color w:val="auto"/>
                      <w:sz w:val="18"/>
                      <w:szCs w:val="18"/>
                      <w:highlight w:val="none"/>
                      <w:lang w:val="en-US" w:eastAsia="zh-CN"/>
                    </w:rPr>
                    <w:t>过程</w:t>
                  </w:r>
                  <w:r>
                    <w:rPr>
                      <w:rFonts w:hint="eastAsia" w:cs="Times New Roman"/>
                      <w:color w:val="auto"/>
                      <w:sz w:val="18"/>
                      <w:szCs w:val="18"/>
                      <w:highlight w:val="none"/>
                      <w:lang w:val="en-US" w:eastAsia="zh-CN"/>
                    </w:rPr>
                    <w:t>G14</w:t>
                  </w:r>
                </w:p>
              </w:tc>
              <w:tc>
                <w:tcPr>
                  <w:tcW w:w="1958" w:type="dxa"/>
                  <w:noWrap w:val="0"/>
                  <w:vAlign w:val="center"/>
                </w:tcPr>
                <w:p w14:paraId="51AD9B2E">
                  <w:pPr>
                    <w:jc w:val="center"/>
                    <w:rPr>
                      <w:rFonts w:hint="default" w:ascii="Times New Roman" w:hAnsi="Times New Roman"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颗粒物</w:t>
                  </w:r>
                </w:p>
              </w:tc>
              <w:tc>
                <w:tcPr>
                  <w:tcW w:w="2819" w:type="dxa"/>
                  <w:vMerge w:val="continue"/>
                  <w:noWrap w:val="0"/>
                  <w:vAlign w:val="center"/>
                </w:tcPr>
                <w:p w14:paraId="65324F53">
                  <w:pPr>
                    <w:jc w:val="center"/>
                    <w:rPr>
                      <w:rFonts w:hint="default" w:ascii="Times New Roman" w:hAnsi="Times New Roman" w:cs="Times New Roman"/>
                      <w:color w:val="auto"/>
                      <w:sz w:val="18"/>
                      <w:szCs w:val="18"/>
                      <w:highlight w:val="none"/>
                    </w:rPr>
                  </w:pPr>
                </w:p>
              </w:tc>
            </w:tr>
            <w:tr w14:paraId="2B1B7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607" w:type="dxa"/>
                  <w:vMerge w:val="continue"/>
                  <w:noWrap w:val="0"/>
                  <w:vAlign w:val="center"/>
                </w:tcPr>
                <w:p w14:paraId="5F17BF6D">
                  <w:pPr>
                    <w:jc w:val="center"/>
                    <w:rPr>
                      <w:rFonts w:hint="default" w:ascii="Times New Roman" w:hAnsi="Times New Roman" w:cs="Times New Roman"/>
                      <w:color w:val="auto"/>
                      <w:sz w:val="18"/>
                      <w:szCs w:val="18"/>
                      <w:highlight w:val="none"/>
                    </w:rPr>
                  </w:pPr>
                </w:p>
              </w:tc>
              <w:tc>
                <w:tcPr>
                  <w:tcW w:w="803" w:type="dxa"/>
                  <w:vMerge w:val="continue"/>
                  <w:noWrap w:val="0"/>
                  <w:vAlign w:val="center"/>
                </w:tcPr>
                <w:p w14:paraId="6DACCF42">
                  <w:pPr>
                    <w:jc w:val="center"/>
                    <w:rPr>
                      <w:rFonts w:hint="default" w:ascii="Times New Roman" w:hAnsi="Times New Roman" w:cs="Times New Roman"/>
                      <w:color w:val="auto"/>
                      <w:sz w:val="18"/>
                      <w:szCs w:val="18"/>
                      <w:highlight w:val="none"/>
                    </w:rPr>
                  </w:pPr>
                </w:p>
              </w:tc>
              <w:tc>
                <w:tcPr>
                  <w:tcW w:w="1972" w:type="dxa"/>
                  <w:noWrap w:val="0"/>
                  <w:vAlign w:val="center"/>
                </w:tcPr>
                <w:p w14:paraId="0C325137">
                  <w:pPr>
                    <w:jc w:val="center"/>
                    <w:rPr>
                      <w:rFonts w:hint="default" w:ascii="Times New Roman" w:hAnsi="Times New Roman" w:cs="Times New Roman"/>
                      <w:color w:val="auto"/>
                      <w:sz w:val="18"/>
                      <w:szCs w:val="18"/>
                      <w:highlight w:val="none"/>
                      <w:lang w:val="en-US"/>
                    </w:rPr>
                  </w:pPr>
                  <w:r>
                    <w:rPr>
                      <w:rFonts w:hint="eastAsia" w:cs="Times New Roman"/>
                      <w:color w:val="auto"/>
                      <w:sz w:val="18"/>
                      <w:szCs w:val="18"/>
                      <w:highlight w:val="none"/>
                      <w:lang w:val="en-US" w:eastAsia="zh-CN"/>
                    </w:rPr>
                    <w:t>卸料、堆存过程G15</w:t>
                  </w:r>
                </w:p>
              </w:tc>
              <w:tc>
                <w:tcPr>
                  <w:tcW w:w="1958" w:type="dxa"/>
                  <w:noWrap w:val="0"/>
                  <w:vAlign w:val="center"/>
                </w:tcPr>
                <w:p w14:paraId="6143817C">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颗粒物、氨气、臭气浓度</w:t>
                  </w:r>
                </w:p>
              </w:tc>
              <w:tc>
                <w:tcPr>
                  <w:tcW w:w="2819" w:type="dxa"/>
                  <w:noWrap w:val="0"/>
                  <w:vAlign w:val="center"/>
                </w:tcPr>
                <w:p w14:paraId="7E1BA7A1">
                  <w:pPr>
                    <w:jc w:val="center"/>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加强管理</w:t>
                  </w:r>
                </w:p>
              </w:tc>
            </w:tr>
            <w:tr w14:paraId="10AF5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vMerge w:val="continue"/>
                  <w:noWrap w:val="0"/>
                  <w:vAlign w:val="center"/>
                </w:tcPr>
                <w:p w14:paraId="01CAFD74">
                  <w:pPr>
                    <w:jc w:val="center"/>
                    <w:rPr>
                      <w:rFonts w:hint="default" w:ascii="Times New Roman" w:hAnsi="Times New Roman" w:cs="Times New Roman"/>
                      <w:color w:val="auto"/>
                      <w:sz w:val="18"/>
                      <w:szCs w:val="18"/>
                      <w:highlight w:val="none"/>
                    </w:rPr>
                  </w:pPr>
                </w:p>
              </w:tc>
              <w:tc>
                <w:tcPr>
                  <w:tcW w:w="803" w:type="dxa"/>
                  <w:vMerge w:val="continue"/>
                  <w:noWrap w:val="0"/>
                  <w:vAlign w:val="center"/>
                </w:tcPr>
                <w:p w14:paraId="70198BE5">
                  <w:pPr>
                    <w:jc w:val="center"/>
                    <w:rPr>
                      <w:rFonts w:hint="default" w:ascii="Times New Roman" w:hAnsi="Times New Roman" w:cs="Times New Roman"/>
                      <w:color w:val="auto"/>
                      <w:sz w:val="18"/>
                      <w:szCs w:val="18"/>
                      <w:highlight w:val="none"/>
                    </w:rPr>
                  </w:pPr>
                </w:p>
              </w:tc>
              <w:tc>
                <w:tcPr>
                  <w:tcW w:w="1972" w:type="dxa"/>
                  <w:noWrap w:val="0"/>
                  <w:vAlign w:val="center"/>
                </w:tcPr>
                <w:p w14:paraId="4B50C526">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车辆运输过程</w:t>
                  </w:r>
                  <w:r>
                    <w:rPr>
                      <w:rFonts w:hint="eastAsia" w:cs="Times New Roman"/>
                      <w:color w:val="auto"/>
                      <w:sz w:val="18"/>
                      <w:szCs w:val="18"/>
                      <w:highlight w:val="none"/>
                      <w:lang w:val="en-US" w:eastAsia="zh-CN"/>
                    </w:rPr>
                    <w:t>G16</w:t>
                  </w:r>
                </w:p>
              </w:tc>
              <w:tc>
                <w:tcPr>
                  <w:tcW w:w="1958" w:type="dxa"/>
                  <w:noWrap w:val="0"/>
                  <w:vAlign w:val="center"/>
                </w:tcPr>
                <w:p w14:paraId="305C170A">
                  <w:pPr>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颗粒物</w:t>
                  </w:r>
                </w:p>
              </w:tc>
              <w:tc>
                <w:tcPr>
                  <w:tcW w:w="2819" w:type="dxa"/>
                  <w:noWrap w:val="0"/>
                  <w:vAlign w:val="center"/>
                </w:tcPr>
                <w:p w14:paraId="2601464A">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加强管理</w:t>
                  </w:r>
                </w:p>
              </w:tc>
            </w:tr>
            <w:tr w14:paraId="364AD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vMerge w:val="continue"/>
                  <w:noWrap w:val="0"/>
                  <w:vAlign w:val="center"/>
                </w:tcPr>
                <w:p w14:paraId="59E3AD4D">
                  <w:pPr>
                    <w:jc w:val="center"/>
                    <w:rPr>
                      <w:rFonts w:hint="default" w:ascii="Times New Roman" w:hAnsi="Times New Roman" w:cs="Times New Roman"/>
                      <w:color w:val="auto"/>
                      <w:sz w:val="18"/>
                      <w:szCs w:val="18"/>
                      <w:highlight w:val="none"/>
                    </w:rPr>
                  </w:pPr>
                </w:p>
              </w:tc>
              <w:tc>
                <w:tcPr>
                  <w:tcW w:w="803" w:type="dxa"/>
                  <w:vMerge w:val="continue"/>
                  <w:noWrap w:val="0"/>
                  <w:vAlign w:val="center"/>
                </w:tcPr>
                <w:p w14:paraId="3F9055EA">
                  <w:pPr>
                    <w:jc w:val="center"/>
                    <w:rPr>
                      <w:rFonts w:hint="default" w:ascii="Times New Roman" w:hAnsi="Times New Roman" w:cs="Times New Roman"/>
                      <w:color w:val="auto"/>
                      <w:sz w:val="18"/>
                      <w:szCs w:val="18"/>
                      <w:highlight w:val="none"/>
                    </w:rPr>
                  </w:pPr>
                </w:p>
              </w:tc>
              <w:tc>
                <w:tcPr>
                  <w:tcW w:w="1972" w:type="dxa"/>
                  <w:noWrap w:val="0"/>
                  <w:vAlign w:val="center"/>
                </w:tcPr>
                <w:p w14:paraId="6FF477B2">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食堂油烟</w:t>
                  </w:r>
                  <w:r>
                    <w:rPr>
                      <w:rFonts w:hint="eastAsia" w:cs="Times New Roman"/>
                      <w:color w:val="auto"/>
                      <w:sz w:val="18"/>
                      <w:szCs w:val="18"/>
                      <w:highlight w:val="none"/>
                      <w:lang w:val="en-US" w:eastAsia="zh-CN"/>
                    </w:rPr>
                    <w:t>G17</w:t>
                  </w:r>
                </w:p>
              </w:tc>
              <w:tc>
                <w:tcPr>
                  <w:tcW w:w="1958" w:type="dxa"/>
                  <w:noWrap w:val="0"/>
                  <w:vAlign w:val="center"/>
                </w:tcPr>
                <w:p w14:paraId="7FBE3239">
                  <w:pPr>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油烟</w:t>
                  </w:r>
                </w:p>
              </w:tc>
              <w:tc>
                <w:tcPr>
                  <w:tcW w:w="2819" w:type="dxa"/>
                  <w:noWrap w:val="0"/>
                  <w:vAlign w:val="center"/>
                </w:tcPr>
                <w:p w14:paraId="561AFC4D">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经油烟净化器处理后经高于建筑物1.5m排气筒有组织排放</w:t>
                  </w:r>
                </w:p>
              </w:tc>
            </w:tr>
            <w:tr w14:paraId="4CA70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vMerge w:val="continue"/>
                  <w:noWrap w:val="0"/>
                  <w:vAlign w:val="center"/>
                </w:tcPr>
                <w:p w14:paraId="25703BF8">
                  <w:pPr>
                    <w:jc w:val="center"/>
                    <w:rPr>
                      <w:rFonts w:hint="default" w:ascii="Times New Roman" w:hAnsi="Times New Roman" w:cs="Times New Roman"/>
                      <w:color w:val="auto"/>
                      <w:sz w:val="18"/>
                      <w:szCs w:val="18"/>
                      <w:highlight w:val="none"/>
                    </w:rPr>
                  </w:pPr>
                </w:p>
              </w:tc>
              <w:tc>
                <w:tcPr>
                  <w:tcW w:w="803" w:type="dxa"/>
                  <w:vMerge w:val="continue"/>
                  <w:noWrap w:val="0"/>
                  <w:vAlign w:val="center"/>
                </w:tcPr>
                <w:p w14:paraId="252E33DD">
                  <w:pPr>
                    <w:jc w:val="center"/>
                    <w:rPr>
                      <w:rFonts w:hint="default" w:ascii="Times New Roman" w:hAnsi="Times New Roman" w:cs="Times New Roman"/>
                      <w:color w:val="auto"/>
                      <w:sz w:val="18"/>
                      <w:szCs w:val="18"/>
                      <w:highlight w:val="none"/>
                    </w:rPr>
                  </w:pPr>
                </w:p>
              </w:tc>
              <w:tc>
                <w:tcPr>
                  <w:tcW w:w="1972" w:type="dxa"/>
                  <w:noWrap w:val="0"/>
                  <w:vAlign w:val="center"/>
                </w:tcPr>
                <w:p w14:paraId="16969A8D">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集气罩未收集废气G</w:t>
                  </w:r>
                  <w:r>
                    <w:rPr>
                      <w:rFonts w:hint="eastAsia" w:cs="Times New Roman"/>
                      <w:color w:val="auto"/>
                      <w:sz w:val="18"/>
                      <w:szCs w:val="18"/>
                      <w:highlight w:val="none"/>
                      <w:lang w:val="en-US" w:eastAsia="zh-CN"/>
                    </w:rPr>
                    <w:t>18</w:t>
                  </w:r>
                </w:p>
              </w:tc>
              <w:tc>
                <w:tcPr>
                  <w:tcW w:w="1958" w:type="dxa"/>
                  <w:noWrap w:val="0"/>
                  <w:vAlign w:val="center"/>
                </w:tcPr>
                <w:p w14:paraId="0B04138B">
                  <w:pPr>
                    <w:jc w:val="center"/>
                    <w:rPr>
                      <w:rFonts w:hint="default" w:ascii="Times New Roman" w:hAnsi="Times New Roman" w:eastAsia="宋体" w:cs="Times New Roman"/>
                      <w:color w:val="auto"/>
                      <w:sz w:val="18"/>
                      <w:szCs w:val="18"/>
                      <w:highlight w:val="none"/>
                      <w:lang w:eastAsia="zh-CN"/>
                    </w:rPr>
                  </w:pPr>
                  <w:r>
                    <w:rPr>
                      <w:rFonts w:hint="eastAsia" w:ascii="Times New Roman" w:hAnsi="Times New Roman" w:cs="Times New Roman"/>
                      <w:color w:val="auto"/>
                      <w:sz w:val="18"/>
                      <w:szCs w:val="18"/>
                      <w:highlight w:val="none"/>
                      <w:lang w:val="en-US" w:eastAsia="zh-CN"/>
                    </w:rPr>
                    <w:t>颗粒物</w:t>
                  </w:r>
                </w:p>
              </w:tc>
              <w:tc>
                <w:tcPr>
                  <w:tcW w:w="2819" w:type="dxa"/>
                  <w:noWrap w:val="0"/>
                  <w:vAlign w:val="center"/>
                </w:tcPr>
                <w:p w14:paraId="49EE678D">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加强管理，无组织排放</w:t>
                  </w:r>
                </w:p>
              </w:tc>
            </w:tr>
            <w:tr w14:paraId="6D57C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noWrap w:val="0"/>
                  <w:vAlign w:val="center"/>
                </w:tcPr>
                <w:p w14:paraId="5955515D">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废水</w:t>
                  </w:r>
                </w:p>
              </w:tc>
              <w:tc>
                <w:tcPr>
                  <w:tcW w:w="803" w:type="dxa"/>
                  <w:noWrap w:val="0"/>
                  <w:vAlign w:val="center"/>
                </w:tcPr>
                <w:p w14:paraId="27A2496D">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运营期</w:t>
                  </w:r>
                </w:p>
              </w:tc>
              <w:tc>
                <w:tcPr>
                  <w:tcW w:w="1972" w:type="dxa"/>
                  <w:noWrap w:val="0"/>
                  <w:vAlign w:val="center"/>
                </w:tcPr>
                <w:p w14:paraId="6E95F5C3">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生活污水W1</w:t>
                  </w:r>
                </w:p>
              </w:tc>
              <w:tc>
                <w:tcPr>
                  <w:tcW w:w="1958" w:type="dxa"/>
                  <w:noWrap w:val="0"/>
                  <w:vAlign w:val="center"/>
                </w:tcPr>
                <w:p w14:paraId="2F534B23">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COD、氨氮</w:t>
                  </w:r>
                </w:p>
              </w:tc>
              <w:tc>
                <w:tcPr>
                  <w:tcW w:w="2819" w:type="dxa"/>
                  <w:noWrap w:val="0"/>
                  <w:vAlign w:val="center"/>
                </w:tcPr>
                <w:p w14:paraId="674F4963">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化粪池处理后环卫清运</w:t>
                  </w:r>
                </w:p>
              </w:tc>
            </w:tr>
            <w:tr w14:paraId="5B606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vMerge w:val="restart"/>
                  <w:noWrap w:val="0"/>
                  <w:vAlign w:val="center"/>
                </w:tcPr>
                <w:p w14:paraId="455CAA14">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固废</w:t>
                  </w:r>
                </w:p>
              </w:tc>
              <w:tc>
                <w:tcPr>
                  <w:tcW w:w="803" w:type="dxa"/>
                  <w:vMerge w:val="restart"/>
                  <w:noWrap w:val="0"/>
                  <w:vAlign w:val="center"/>
                </w:tcPr>
                <w:p w14:paraId="5A2E318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运营期</w:t>
                  </w:r>
                </w:p>
              </w:tc>
              <w:tc>
                <w:tcPr>
                  <w:tcW w:w="1972" w:type="dxa"/>
                  <w:noWrap w:val="0"/>
                  <w:vAlign w:val="center"/>
                </w:tcPr>
                <w:p w14:paraId="5B90A208">
                  <w:pPr>
                    <w:jc w:val="center"/>
                    <w:rPr>
                      <w:rFonts w:hint="default" w:ascii="Times New Roman" w:hAnsi="Times New Roman"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废</w:t>
                  </w:r>
                  <w:r>
                    <w:rPr>
                      <w:rFonts w:hint="eastAsia" w:ascii="Times New Roman" w:hAnsi="Times New Roman" w:cs="Times New Roman"/>
                      <w:color w:val="auto"/>
                      <w:sz w:val="18"/>
                      <w:szCs w:val="18"/>
                      <w:highlight w:val="none"/>
                      <w:lang w:val="en-US" w:eastAsia="zh-CN"/>
                    </w:rPr>
                    <w:t>包装袋S1、S2</w:t>
                  </w:r>
                </w:p>
              </w:tc>
              <w:tc>
                <w:tcPr>
                  <w:tcW w:w="1958" w:type="dxa"/>
                  <w:noWrap w:val="0"/>
                  <w:vAlign w:val="center"/>
                </w:tcPr>
                <w:p w14:paraId="4460C14C">
                  <w:pPr>
                    <w:jc w:val="center"/>
                    <w:rPr>
                      <w:rFonts w:hint="default" w:ascii="Times New Roman" w:hAnsi="Times New Roman"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矿物油</w:t>
                  </w:r>
                </w:p>
              </w:tc>
              <w:tc>
                <w:tcPr>
                  <w:tcW w:w="2819" w:type="dxa"/>
                  <w:noWrap w:val="0"/>
                  <w:vAlign w:val="center"/>
                </w:tcPr>
                <w:p w14:paraId="0BE33DD1">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暂存在一般固废暂存间，定期外卖</w:t>
                  </w:r>
                </w:p>
              </w:tc>
            </w:tr>
            <w:tr w14:paraId="1C6A3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07" w:type="dxa"/>
                  <w:vMerge w:val="continue"/>
                  <w:noWrap w:val="0"/>
                  <w:vAlign w:val="center"/>
                </w:tcPr>
                <w:p w14:paraId="581A7A4B">
                  <w:pPr>
                    <w:jc w:val="center"/>
                    <w:rPr>
                      <w:rFonts w:hint="default" w:ascii="Times New Roman" w:hAnsi="Times New Roman" w:cs="Times New Roman"/>
                      <w:color w:val="auto"/>
                      <w:highlight w:val="none"/>
                    </w:rPr>
                  </w:pPr>
                </w:p>
              </w:tc>
              <w:tc>
                <w:tcPr>
                  <w:tcW w:w="803" w:type="dxa"/>
                  <w:vMerge w:val="continue"/>
                  <w:noWrap w:val="0"/>
                  <w:vAlign w:val="center"/>
                </w:tcPr>
                <w:p w14:paraId="3D32D552">
                  <w:pPr>
                    <w:jc w:val="center"/>
                    <w:rPr>
                      <w:rFonts w:hint="default" w:ascii="Times New Roman" w:hAnsi="Times New Roman" w:cs="Times New Roman"/>
                      <w:color w:val="auto"/>
                      <w:highlight w:val="none"/>
                    </w:rPr>
                  </w:pPr>
                </w:p>
              </w:tc>
              <w:tc>
                <w:tcPr>
                  <w:tcW w:w="1972" w:type="dxa"/>
                  <w:noWrap w:val="0"/>
                  <w:vAlign w:val="center"/>
                </w:tcPr>
                <w:p w14:paraId="644DB5AC">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废布袋S</w:t>
                  </w:r>
                  <w:r>
                    <w:rPr>
                      <w:rFonts w:hint="eastAsia" w:ascii="Times New Roman" w:hAnsi="Times New Roman" w:cs="Times New Roman"/>
                      <w:color w:val="auto"/>
                      <w:sz w:val="18"/>
                      <w:szCs w:val="18"/>
                      <w:highlight w:val="none"/>
                      <w:lang w:val="en-US" w:eastAsia="zh-CN"/>
                    </w:rPr>
                    <w:t>3</w:t>
                  </w:r>
                </w:p>
              </w:tc>
              <w:tc>
                <w:tcPr>
                  <w:tcW w:w="1958" w:type="dxa"/>
                  <w:noWrap w:val="0"/>
                  <w:vAlign w:val="center"/>
                </w:tcPr>
                <w:p w14:paraId="614AB6F3">
                  <w:pPr>
                    <w:jc w:val="center"/>
                    <w:rPr>
                      <w:rFonts w:hint="default" w:ascii="Times New Roman" w:hAnsi="Times New Roman"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沾染物料</w:t>
                  </w:r>
                </w:p>
              </w:tc>
              <w:tc>
                <w:tcPr>
                  <w:tcW w:w="2819" w:type="dxa"/>
                  <w:noWrap w:val="0"/>
                  <w:vAlign w:val="center"/>
                </w:tcPr>
                <w:p w14:paraId="298E96C8">
                  <w:pPr>
                    <w:jc w:val="center"/>
                    <w:rPr>
                      <w:rFonts w:hint="default" w:ascii="Times New Roman" w:hAnsi="Times New Roman"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暂存在一般固废暂存间，定期外卖</w:t>
                  </w:r>
                </w:p>
              </w:tc>
            </w:tr>
            <w:tr w14:paraId="2AB01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vMerge w:val="continue"/>
                  <w:noWrap w:val="0"/>
                  <w:vAlign w:val="center"/>
                </w:tcPr>
                <w:p w14:paraId="36C8CA00">
                  <w:pPr>
                    <w:jc w:val="center"/>
                    <w:rPr>
                      <w:rFonts w:hint="default" w:ascii="Times New Roman" w:hAnsi="Times New Roman" w:cs="Times New Roman"/>
                      <w:color w:val="auto"/>
                      <w:highlight w:val="none"/>
                    </w:rPr>
                  </w:pPr>
                </w:p>
              </w:tc>
              <w:tc>
                <w:tcPr>
                  <w:tcW w:w="803" w:type="dxa"/>
                  <w:vMerge w:val="continue"/>
                  <w:noWrap w:val="0"/>
                  <w:vAlign w:val="center"/>
                </w:tcPr>
                <w:p w14:paraId="76979D13">
                  <w:pPr>
                    <w:jc w:val="center"/>
                    <w:rPr>
                      <w:rFonts w:hint="default" w:ascii="Times New Roman" w:hAnsi="Times New Roman" w:cs="Times New Roman"/>
                      <w:color w:val="auto"/>
                      <w:highlight w:val="none"/>
                    </w:rPr>
                  </w:pPr>
                </w:p>
              </w:tc>
              <w:tc>
                <w:tcPr>
                  <w:tcW w:w="1972" w:type="dxa"/>
                  <w:noWrap w:val="0"/>
                  <w:vAlign w:val="center"/>
                </w:tcPr>
                <w:p w14:paraId="0E7E1362">
                  <w:pPr>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车</w:t>
                  </w:r>
                  <w:r>
                    <w:rPr>
                      <w:rFonts w:hint="default" w:ascii="Times New Roman" w:hAnsi="Times New Roman" w:cs="Times New Roman"/>
                      <w:color w:val="auto"/>
                      <w:sz w:val="18"/>
                      <w:szCs w:val="18"/>
                      <w:highlight w:val="none"/>
                      <w:lang w:val="en-US" w:eastAsia="zh-CN"/>
                    </w:rPr>
                    <w:t>间沉降颗粒物清扫粉尘S</w:t>
                  </w:r>
                  <w:r>
                    <w:rPr>
                      <w:rFonts w:hint="eastAsia" w:cs="Times New Roman"/>
                      <w:color w:val="auto"/>
                      <w:sz w:val="18"/>
                      <w:szCs w:val="18"/>
                      <w:highlight w:val="none"/>
                      <w:lang w:val="en-US" w:eastAsia="zh-CN"/>
                    </w:rPr>
                    <w:t>4</w:t>
                  </w:r>
                </w:p>
              </w:tc>
              <w:tc>
                <w:tcPr>
                  <w:tcW w:w="1958" w:type="dxa"/>
                  <w:noWrap w:val="0"/>
                  <w:vAlign w:val="center"/>
                </w:tcPr>
                <w:p w14:paraId="54DD6ADC">
                  <w:pPr>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沾染原料</w:t>
                  </w:r>
                </w:p>
              </w:tc>
              <w:tc>
                <w:tcPr>
                  <w:tcW w:w="2819" w:type="dxa"/>
                  <w:noWrap w:val="0"/>
                  <w:vAlign w:val="center"/>
                </w:tcPr>
                <w:p w14:paraId="0ECEAE6A">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暂存在一般固废暂存间，定期外卖</w:t>
                  </w:r>
                </w:p>
              </w:tc>
            </w:tr>
            <w:tr w14:paraId="38842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vMerge w:val="continue"/>
                  <w:noWrap w:val="0"/>
                  <w:vAlign w:val="center"/>
                </w:tcPr>
                <w:p w14:paraId="24E72CF0">
                  <w:pPr>
                    <w:jc w:val="center"/>
                    <w:rPr>
                      <w:rFonts w:hint="default" w:ascii="Times New Roman" w:hAnsi="Times New Roman" w:cs="Times New Roman"/>
                      <w:color w:val="auto"/>
                      <w:highlight w:val="none"/>
                    </w:rPr>
                  </w:pPr>
                </w:p>
              </w:tc>
              <w:tc>
                <w:tcPr>
                  <w:tcW w:w="803" w:type="dxa"/>
                  <w:vMerge w:val="continue"/>
                  <w:noWrap w:val="0"/>
                  <w:vAlign w:val="center"/>
                </w:tcPr>
                <w:p w14:paraId="3A247350">
                  <w:pPr>
                    <w:jc w:val="center"/>
                    <w:rPr>
                      <w:rFonts w:hint="default" w:ascii="Times New Roman" w:hAnsi="Times New Roman" w:cs="Times New Roman"/>
                      <w:color w:val="auto"/>
                      <w:highlight w:val="none"/>
                    </w:rPr>
                  </w:pPr>
                </w:p>
              </w:tc>
              <w:tc>
                <w:tcPr>
                  <w:tcW w:w="1972" w:type="dxa"/>
                  <w:noWrap w:val="0"/>
                  <w:vAlign w:val="center"/>
                </w:tcPr>
                <w:p w14:paraId="77FF7166">
                  <w:pPr>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生活垃圾</w:t>
                  </w:r>
                  <w:r>
                    <w:rPr>
                      <w:rFonts w:hint="default" w:ascii="Times New Roman" w:hAnsi="Times New Roman" w:cs="Times New Roman"/>
                      <w:color w:val="auto"/>
                      <w:sz w:val="18"/>
                      <w:szCs w:val="18"/>
                      <w:highlight w:val="none"/>
                      <w:lang w:eastAsia="zh-CN"/>
                    </w:rPr>
                    <w:t>S</w:t>
                  </w:r>
                  <w:r>
                    <w:rPr>
                      <w:rFonts w:hint="eastAsia" w:cs="Times New Roman"/>
                      <w:color w:val="auto"/>
                      <w:sz w:val="18"/>
                      <w:szCs w:val="18"/>
                      <w:highlight w:val="none"/>
                      <w:lang w:val="en-US" w:eastAsia="zh-CN"/>
                    </w:rPr>
                    <w:t>5</w:t>
                  </w:r>
                </w:p>
              </w:tc>
              <w:tc>
                <w:tcPr>
                  <w:tcW w:w="1958" w:type="dxa"/>
                  <w:noWrap w:val="0"/>
                  <w:vAlign w:val="center"/>
                </w:tcPr>
                <w:p w14:paraId="5B41DD52">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纸屑等</w:t>
                  </w:r>
                </w:p>
              </w:tc>
              <w:tc>
                <w:tcPr>
                  <w:tcW w:w="2819" w:type="dxa"/>
                  <w:noWrap w:val="0"/>
                  <w:vAlign w:val="center"/>
                </w:tcPr>
                <w:p w14:paraId="0A59793E">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全部交由当地环卫部门统一收集处理</w:t>
                  </w:r>
                </w:p>
              </w:tc>
            </w:tr>
            <w:tr w14:paraId="4D668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7" w:type="dxa"/>
                  <w:noWrap w:val="0"/>
                  <w:vAlign w:val="center"/>
                </w:tcPr>
                <w:p w14:paraId="0EA17D75">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w:t>
                  </w:r>
                </w:p>
              </w:tc>
              <w:tc>
                <w:tcPr>
                  <w:tcW w:w="803" w:type="dxa"/>
                  <w:noWrap w:val="0"/>
                  <w:vAlign w:val="center"/>
                </w:tcPr>
                <w:p w14:paraId="45E2D72C">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运营期</w:t>
                  </w:r>
                </w:p>
              </w:tc>
              <w:tc>
                <w:tcPr>
                  <w:tcW w:w="1972" w:type="dxa"/>
                  <w:noWrap w:val="0"/>
                  <w:vAlign w:val="center"/>
                </w:tcPr>
                <w:p w14:paraId="1B8A962D">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机械设备、风机噪声N</w:t>
                  </w:r>
                </w:p>
              </w:tc>
              <w:tc>
                <w:tcPr>
                  <w:tcW w:w="1958" w:type="dxa"/>
                  <w:noWrap w:val="0"/>
                  <w:vAlign w:val="center"/>
                </w:tcPr>
                <w:p w14:paraId="0A97209A">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w:t>
                  </w:r>
                </w:p>
              </w:tc>
              <w:tc>
                <w:tcPr>
                  <w:tcW w:w="2819" w:type="dxa"/>
                  <w:noWrap w:val="0"/>
                  <w:vAlign w:val="center"/>
                </w:tcPr>
                <w:p w14:paraId="11DD2147">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选用低噪声设备，减震、隔音</w:t>
                  </w:r>
                </w:p>
              </w:tc>
            </w:tr>
          </w:tbl>
          <w:p w14:paraId="14F92885">
            <w:pPr>
              <w:keepNext w:val="0"/>
              <w:keepLines w:val="0"/>
              <w:pageBreakBefore w:val="0"/>
              <w:widowControl w:val="0"/>
              <w:kinsoku/>
              <w:wordWrap/>
              <w:overflowPunct/>
              <w:topLinePunct w:val="0"/>
              <w:autoSpaceDE/>
              <w:autoSpaceDN/>
              <w:bidi w:val="0"/>
              <w:adjustRightInd w:val="0"/>
              <w:snapToGrid w:val="0"/>
              <w:spacing w:line="400" w:lineRule="exact"/>
              <w:ind w:firstLine="420" w:firstLineChars="200"/>
              <w:jc w:val="both"/>
              <w:textAlignment w:val="auto"/>
              <w:outlineLvl w:val="9"/>
              <w:rPr>
                <w:rFonts w:hint="default" w:ascii="Times New Roman" w:hAnsi="Times New Roman" w:eastAsia="宋体" w:cs="Times New Roman"/>
                <w:color w:val="FF0000"/>
                <w:lang w:eastAsia="zh-CN"/>
              </w:rPr>
            </w:pPr>
          </w:p>
        </w:tc>
      </w:tr>
      <w:tr w14:paraId="4B5A97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37" w:hRule="atLeast"/>
          <w:jc w:val="center"/>
        </w:trPr>
        <w:tc>
          <w:tcPr>
            <w:tcW w:w="716" w:type="dxa"/>
            <w:vAlign w:val="center"/>
          </w:tcPr>
          <w:p w14:paraId="4A23C608">
            <w:pPr>
              <w:pStyle w:val="75"/>
              <w:adjustRightInd w:val="0"/>
              <w:snapToGrid w:val="0"/>
              <w:spacing w:before="0" w:beforeAutospacing="0" w:after="0" w:afterAutospacing="0" w:line="420" w:lineRule="exact"/>
              <w:jc w:val="center"/>
              <w:rPr>
                <w:rFonts w:hint="default" w:ascii="Times New Roman" w:hAnsi="Times New Roman" w:cs="Times New Roman"/>
                <w:color w:val="auto"/>
                <w:sz w:val="21"/>
                <w:szCs w:val="21"/>
              </w:rPr>
            </w:pPr>
            <w:r>
              <w:rPr>
                <w:rFonts w:hint="default" w:ascii="Times New Roman" w:hAnsi="Times New Roman" w:cs="Times New Roman"/>
                <w:bCs/>
                <w:color w:val="auto"/>
                <w:kern w:val="2"/>
                <w:sz w:val="21"/>
                <w:szCs w:val="21"/>
              </w:rPr>
              <w:t>与项目有关的原有环境污染问题</w:t>
            </w:r>
          </w:p>
        </w:tc>
        <w:tc>
          <w:tcPr>
            <w:tcW w:w="8426" w:type="dxa"/>
            <w:vAlign w:val="center"/>
          </w:tcPr>
          <w:p w14:paraId="41D180EF">
            <w:pPr>
              <w:pStyle w:val="381"/>
              <w:ind w:firstLine="42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本</w:t>
            </w:r>
            <w:r>
              <w:rPr>
                <w:rFonts w:hint="eastAsia" w:cs="Times New Roman"/>
                <w:color w:val="auto"/>
                <w:sz w:val="21"/>
                <w:szCs w:val="21"/>
                <w:highlight w:val="none"/>
                <w:lang w:eastAsia="zh-CN"/>
              </w:rPr>
              <w:t>项目</w:t>
            </w:r>
            <w:r>
              <w:rPr>
                <w:rFonts w:hint="default" w:ascii="Times New Roman" w:hAnsi="Times New Roman" w:cs="Times New Roman"/>
                <w:color w:val="auto"/>
                <w:sz w:val="21"/>
                <w:szCs w:val="21"/>
                <w:highlight w:val="none"/>
              </w:rPr>
              <w:t>为新建项目，不存在与</w:t>
            </w:r>
            <w:r>
              <w:rPr>
                <w:rFonts w:hint="eastAsia" w:cs="Times New Roman"/>
                <w:color w:val="auto"/>
                <w:sz w:val="21"/>
                <w:szCs w:val="21"/>
                <w:highlight w:val="none"/>
                <w:lang w:eastAsia="zh-CN"/>
              </w:rPr>
              <w:t>项目</w:t>
            </w:r>
            <w:r>
              <w:rPr>
                <w:rFonts w:hint="default" w:ascii="Times New Roman" w:hAnsi="Times New Roman" w:cs="Times New Roman"/>
                <w:color w:val="auto"/>
                <w:sz w:val="21"/>
                <w:szCs w:val="21"/>
                <w:highlight w:val="none"/>
              </w:rPr>
              <w:t>有关的原有污染及主要环境问题。</w:t>
            </w:r>
          </w:p>
          <w:p w14:paraId="29E2304D">
            <w:pPr>
              <w:adjustRightInd w:val="0"/>
              <w:snapToGrid w:val="0"/>
              <w:spacing w:line="360" w:lineRule="auto"/>
              <w:jc w:val="center"/>
              <w:rPr>
                <w:rFonts w:hint="eastAsia" w:ascii="Times New Roman" w:hAnsi="Times New Roman" w:eastAsia="宋体" w:cs="Times New Roman"/>
                <w:color w:val="auto"/>
                <w:lang w:eastAsia="zh-CN"/>
              </w:rPr>
            </w:pPr>
          </w:p>
        </w:tc>
      </w:tr>
    </w:tbl>
    <w:p w14:paraId="7378B7E4">
      <w:pPr>
        <w:pStyle w:val="75"/>
        <w:spacing w:line="420" w:lineRule="exact"/>
        <w:jc w:val="center"/>
        <w:rPr>
          <w:rFonts w:hint="default" w:ascii="Times New Roman" w:hAnsi="Times New Roman" w:eastAsia="黑体" w:cs="Times New Roman"/>
          <w:snapToGrid w:val="0"/>
          <w:color w:val="FF0000"/>
          <w:sz w:val="36"/>
          <w:szCs w:val="36"/>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05073E9F">
      <w:pPr>
        <w:pStyle w:val="75"/>
        <w:spacing w:line="420" w:lineRule="exact"/>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三、区域环境质量现状、环境保护目标及评价标准</w:t>
      </w:r>
    </w:p>
    <w:tbl>
      <w:tblPr>
        <w:tblStyle w:val="8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190"/>
      </w:tblGrid>
      <w:tr w14:paraId="2679E6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00" w:type="dxa"/>
            <w:vAlign w:val="center"/>
          </w:tcPr>
          <w:p w14:paraId="40B137CC">
            <w:pPr>
              <w:adjustRightInd w:val="0"/>
              <w:snapToGrid w:val="0"/>
              <w:spacing w:line="420" w:lineRule="exact"/>
              <w:jc w:val="center"/>
              <w:rPr>
                <w:rFonts w:hint="default" w:ascii="Times New Roman" w:hAnsi="Times New Roman" w:cs="Times New Roman"/>
                <w:color w:val="auto"/>
                <w:kern w:val="0"/>
              </w:rPr>
            </w:pPr>
            <w:r>
              <w:rPr>
                <w:rFonts w:hint="default" w:ascii="Times New Roman" w:hAnsi="Times New Roman" w:cs="Times New Roman"/>
                <w:color w:val="auto"/>
                <w:kern w:val="0"/>
              </w:rPr>
              <w:t>区域</w:t>
            </w:r>
          </w:p>
          <w:p w14:paraId="5C04F7DE">
            <w:pPr>
              <w:adjustRightInd w:val="0"/>
              <w:snapToGrid w:val="0"/>
              <w:spacing w:line="420" w:lineRule="exact"/>
              <w:jc w:val="center"/>
              <w:rPr>
                <w:rFonts w:hint="default" w:ascii="Times New Roman" w:hAnsi="Times New Roman" w:cs="Times New Roman"/>
                <w:color w:val="auto"/>
                <w:kern w:val="0"/>
              </w:rPr>
            </w:pPr>
            <w:r>
              <w:rPr>
                <w:rFonts w:hint="default" w:ascii="Times New Roman" w:hAnsi="Times New Roman" w:cs="Times New Roman"/>
                <w:color w:val="auto"/>
                <w:kern w:val="0"/>
              </w:rPr>
              <w:t>环境</w:t>
            </w:r>
          </w:p>
          <w:p w14:paraId="0F2723B9">
            <w:pPr>
              <w:adjustRightInd w:val="0"/>
              <w:snapToGrid w:val="0"/>
              <w:spacing w:line="420" w:lineRule="exact"/>
              <w:jc w:val="center"/>
              <w:rPr>
                <w:rFonts w:hint="default" w:ascii="Times New Roman" w:hAnsi="Times New Roman" w:cs="Times New Roman"/>
                <w:color w:val="auto"/>
                <w:kern w:val="0"/>
              </w:rPr>
            </w:pPr>
            <w:r>
              <w:rPr>
                <w:rFonts w:hint="default" w:ascii="Times New Roman" w:hAnsi="Times New Roman" w:cs="Times New Roman"/>
                <w:color w:val="auto"/>
                <w:kern w:val="0"/>
              </w:rPr>
              <w:t>质量</w:t>
            </w:r>
          </w:p>
          <w:p w14:paraId="549BAEFC">
            <w:pPr>
              <w:adjustRightInd w:val="0"/>
              <w:snapToGrid w:val="0"/>
              <w:spacing w:line="420" w:lineRule="exact"/>
              <w:jc w:val="center"/>
              <w:rPr>
                <w:rFonts w:hint="default" w:ascii="Times New Roman" w:hAnsi="Times New Roman" w:cs="Times New Roman"/>
                <w:color w:val="FF0000"/>
                <w:kern w:val="0"/>
              </w:rPr>
            </w:pPr>
            <w:r>
              <w:rPr>
                <w:rFonts w:hint="default" w:ascii="Times New Roman" w:hAnsi="Times New Roman" w:cs="Times New Roman"/>
                <w:color w:val="auto"/>
                <w:kern w:val="0"/>
              </w:rPr>
              <w:t>现状</w:t>
            </w:r>
          </w:p>
        </w:tc>
        <w:tc>
          <w:tcPr>
            <w:tcW w:w="8190" w:type="dxa"/>
            <w:vAlign w:val="center"/>
          </w:tcPr>
          <w:p w14:paraId="5774D84B">
            <w:pPr>
              <w:pStyle w:val="4"/>
              <w:pageBreakBefore w:val="0"/>
              <w:widowControl w:val="0"/>
              <w:kinsoku/>
              <w:wordWrap/>
              <w:overflowPunct/>
              <w:topLinePunct w:val="0"/>
              <w:autoSpaceDE/>
              <w:autoSpaceDN/>
              <w:bidi w:val="0"/>
              <w:adjustRightInd w:val="0"/>
              <w:snapToGrid w:val="0"/>
              <w:spacing w:before="0" w:after="0" w:line="360" w:lineRule="auto"/>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一、环境功能区划</w:t>
            </w:r>
          </w:p>
          <w:p w14:paraId="7F900882">
            <w:pPr>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根据《淄博市城区环境空气质量功能区管理规定的通知》（淄政发[1999]113号）、关于印发《淄博市城区噪声标准适用区域划分及管理规定》的通知（淄政办字[2019]43号）及淄博市水资源管理办公室、淄博市水文局发布的《淄博市水功能区划》（2012.2），项目所在区域属于《环境空气质量标准》（GB3095-2012）及其修改单二级标准适用区；区域噪声执行《声环境质量标准》（GB3096-2008）的2类标准；根据《淄博市地下水功能区划分及保护现状评价》，项目所在区的地下水环境执行《地下水质量标准》（GB/T14848-2017）Ⅲ类标准；区域地表水孝妇河执行《地表水环境质量标准》（GB3838-2002）V类标准。</w:t>
            </w:r>
          </w:p>
          <w:p w14:paraId="27C766D6">
            <w:pPr>
              <w:pStyle w:val="4"/>
              <w:pageBreakBefore w:val="0"/>
              <w:widowControl w:val="0"/>
              <w:kinsoku/>
              <w:wordWrap/>
              <w:overflowPunct/>
              <w:topLinePunct w:val="0"/>
              <w:autoSpaceDE/>
              <w:autoSpaceDN/>
              <w:bidi w:val="0"/>
              <w:adjustRightInd w:val="0"/>
              <w:snapToGrid w:val="0"/>
              <w:spacing w:before="0" w:after="0" w:line="360" w:lineRule="auto"/>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二、环境质量现状</w:t>
            </w:r>
          </w:p>
          <w:p w14:paraId="7D14845A">
            <w:pPr>
              <w:pStyle w:val="6"/>
              <w:adjustRightInd w:val="0"/>
              <w:snapToGrid w:val="0"/>
              <w:spacing w:before="0" w:after="0" w:line="360" w:lineRule="auto"/>
              <w:ind w:firstLine="422" w:firstLineChars="200"/>
              <w:rPr>
                <w:rFonts w:ascii="Times New Roman" w:hAnsi="Times New Roman"/>
                <w:color w:val="auto"/>
                <w:sz w:val="21"/>
                <w:szCs w:val="21"/>
              </w:rPr>
            </w:pPr>
            <w:bookmarkStart w:id="19" w:name="_Hlk88550716"/>
            <w:r>
              <w:rPr>
                <w:rFonts w:ascii="Times New Roman" w:hAnsi="Times New Roman"/>
                <w:color w:val="auto"/>
                <w:sz w:val="21"/>
                <w:szCs w:val="21"/>
              </w:rPr>
              <w:t>1、环境空气质量</w:t>
            </w:r>
          </w:p>
          <w:p w14:paraId="4A4DE9F7">
            <w:pPr>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根据淄博市生态环境局网站公布的《202</w:t>
            </w:r>
            <w:r>
              <w:rPr>
                <w:rFonts w:hint="default" w:ascii="Times New Roman" w:hAnsi="Times New Roman" w:cs="Times New Roman"/>
                <w:color w:val="auto"/>
                <w:lang w:val="en-US" w:eastAsia="zh-CN"/>
              </w:rPr>
              <w:t>3</w:t>
            </w:r>
            <w:r>
              <w:rPr>
                <w:rFonts w:hint="default" w:ascii="Times New Roman" w:hAnsi="Times New Roman" w:cs="Times New Roman"/>
                <w:color w:val="auto"/>
              </w:rPr>
              <w:t>年12月份及全年环境空气质量情况通报》（202</w:t>
            </w:r>
            <w:r>
              <w:rPr>
                <w:rFonts w:hint="default" w:ascii="Times New Roman" w:hAnsi="Times New Roman" w:cs="Times New Roman"/>
                <w:color w:val="auto"/>
                <w:lang w:val="en-US" w:eastAsia="zh-CN"/>
              </w:rPr>
              <w:t>4</w:t>
            </w:r>
            <w:r>
              <w:rPr>
                <w:rFonts w:hint="default" w:ascii="Times New Roman" w:hAnsi="Times New Roman" w:cs="Times New Roman"/>
                <w:color w:val="auto"/>
              </w:rPr>
              <w:t>年第1期）：2023年，全市良好天数219天（国控），同比减少17天。重污染天数8天，同比增加2天。其中，二氧化硫（SO</w:t>
            </w:r>
            <w:r>
              <w:rPr>
                <w:rFonts w:hint="default" w:ascii="Times New Roman" w:hAnsi="Times New Roman" w:cs="Times New Roman"/>
                <w:color w:val="auto"/>
                <w:vertAlign w:val="subscript"/>
              </w:rPr>
              <w:t>2</w:t>
            </w:r>
            <w:r>
              <w:rPr>
                <w:rFonts w:hint="default" w:ascii="Times New Roman" w:hAnsi="Times New Roman" w:cs="Times New Roman"/>
                <w:color w:val="auto"/>
              </w:rPr>
              <w:t>）12微克/立方米，同比改善14.3%；二氧化氮（NO</w:t>
            </w:r>
            <w:r>
              <w:rPr>
                <w:rFonts w:hint="default" w:ascii="Times New Roman" w:hAnsi="Times New Roman" w:cs="Times New Roman"/>
                <w:color w:val="auto"/>
                <w:vertAlign w:val="subscript"/>
              </w:rPr>
              <w:t>2</w:t>
            </w:r>
            <w:r>
              <w:rPr>
                <w:rFonts w:hint="default" w:ascii="Times New Roman" w:hAnsi="Times New Roman" w:cs="Times New Roman"/>
                <w:color w:val="auto"/>
              </w:rPr>
              <w:t>）34微克/立方米，同比恶化3.0%；可吸入颗粒物（PM</w:t>
            </w:r>
            <w:r>
              <w:rPr>
                <w:rFonts w:hint="default" w:ascii="Times New Roman" w:hAnsi="Times New Roman" w:cs="Times New Roman"/>
                <w:color w:val="auto"/>
                <w:vertAlign w:val="subscript"/>
              </w:rPr>
              <w:t>10</w:t>
            </w:r>
            <w:r>
              <w:rPr>
                <w:rFonts w:hint="default" w:ascii="Times New Roman" w:hAnsi="Times New Roman" w:cs="Times New Roman"/>
                <w:color w:val="auto"/>
              </w:rPr>
              <w:t>）75微克/立方米，同比持平；细颗粒物（PM</w:t>
            </w:r>
            <w:r>
              <w:rPr>
                <w:rFonts w:hint="default" w:ascii="Times New Roman" w:hAnsi="Times New Roman" w:cs="Times New Roman"/>
                <w:color w:val="auto"/>
                <w:vertAlign w:val="subscript"/>
              </w:rPr>
              <w:t>2.5</w:t>
            </w:r>
            <w:r>
              <w:rPr>
                <w:rFonts w:hint="default" w:ascii="Times New Roman" w:hAnsi="Times New Roman" w:cs="Times New Roman"/>
                <w:color w:val="auto"/>
              </w:rPr>
              <w:t>）41微克/立方米，同比改善4.7%；一氧化碳（CO）1.1毫克/立方米，同比改善15.4%；臭氧（O</w:t>
            </w:r>
            <w:r>
              <w:rPr>
                <w:rFonts w:hint="default" w:ascii="Times New Roman" w:hAnsi="Times New Roman" w:cs="Times New Roman"/>
                <w:color w:val="auto"/>
                <w:vertAlign w:val="subscript"/>
              </w:rPr>
              <w:t>3</w:t>
            </w:r>
            <w:r>
              <w:rPr>
                <w:rFonts w:hint="default" w:ascii="Times New Roman" w:hAnsi="Times New Roman" w:cs="Times New Roman"/>
                <w:color w:val="auto"/>
              </w:rPr>
              <w:t>）198微克/立方米，同比恶化3.1%。全市综合指数为4.81，同比改善1.2%。</w:t>
            </w:r>
          </w:p>
          <w:p w14:paraId="1B37D545">
            <w:pPr>
              <w:spacing w:line="360" w:lineRule="auto"/>
              <w:ind w:firstLine="420" w:firstLineChars="200"/>
              <w:rPr>
                <w:color w:val="auto"/>
              </w:rPr>
            </w:pPr>
            <w:r>
              <w:rPr>
                <w:color w:val="auto"/>
              </w:rPr>
              <w:t>其中，淄川区空气环境质量指标如下：</w:t>
            </w:r>
          </w:p>
          <w:p w14:paraId="5F3B8441">
            <w:pPr>
              <w:ind w:right="34" w:firstLine="422" w:firstLineChars="200"/>
              <w:jc w:val="center"/>
              <w:rPr>
                <w:b/>
                <w:color w:val="auto"/>
              </w:rPr>
            </w:pPr>
            <w:r>
              <w:rPr>
                <w:b/>
                <w:color w:val="auto"/>
              </w:rPr>
              <w:t>表3-1 环境空气质量状况一览表</w:t>
            </w:r>
          </w:p>
          <w:tbl>
            <w:tblPr>
              <w:tblStyle w:val="81"/>
              <w:tblW w:w="4998" w:type="pct"/>
              <w:tblInd w:w="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7"/>
              <w:gridCol w:w="895"/>
              <w:gridCol w:w="2184"/>
              <w:gridCol w:w="905"/>
              <w:gridCol w:w="938"/>
              <w:gridCol w:w="994"/>
              <w:gridCol w:w="1178"/>
            </w:tblGrid>
            <w:tr w14:paraId="65F82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66" w:type="dxa"/>
                  <w:tcBorders>
                    <w:top w:val="single" w:color="auto" w:sz="2" w:space="0"/>
                    <w:left w:val="single" w:color="auto" w:sz="2" w:space="0"/>
                    <w:bottom w:val="single" w:color="auto" w:sz="2" w:space="0"/>
                    <w:right w:val="single" w:color="auto" w:sz="2" w:space="0"/>
                  </w:tcBorders>
                  <w:noWrap w:val="0"/>
                  <w:vAlign w:val="center"/>
                </w:tcPr>
                <w:p w14:paraId="7AA0CE8F">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w:t>
                  </w:r>
                </w:p>
              </w:tc>
              <w:tc>
                <w:tcPr>
                  <w:tcW w:w="894" w:type="dxa"/>
                  <w:tcBorders>
                    <w:top w:val="single" w:color="auto" w:sz="2" w:space="0"/>
                    <w:left w:val="single" w:color="auto" w:sz="2" w:space="0"/>
                    <w:bottom w:val="single" w:color="auto" w:sz="2" w:space="0"/>
                    <w:right w:val="single" w:color="auto" w:sz="2" w:space="0"/>
                  </w:tcBorders>
                  <w:noWrap w:val="0"/>
                  <w:vAlign w:val="center"/>
                </w:tcPr>
                <w:p w14:paraId="3ABE808D">
                  <w:pPr>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lang w:val="en-US" w:eastAsia="zh-CN"/>
                    </w:rPr>
                    <w:t>单位</w:t>
                  </w:r>
                </w:p>
              </w:tc>
              <w:tc>
                <w:tcPr>
                  <w:tcW w:w="2182" w:type="dxa"/>
                  <w:tcBorders>
                    <w:top w:val="single" w:color="auto" w:sz="2" w:space="0"/>
                    <w:left w:val="single" w:color="auto" w:sz="2" w:space="0"/>
                    <w:bottom w:val="single" w:color="auto" w:sz="2" w:space="0"/>
                    <w:right w:val="single" w:color="auto" w:sz="2" w:space="0"/>
                  </w:tcBorders>
                  <w:noWrap w:val="0"/>
                  <w:vAlign w:val="center"/>
                </w:tcPr>
                <w:p w14:paraId="29E4DB59">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年评价指标</w:t>
                  </w:r>
                </w:p>
              </w:tc>
              <w:tc>
                <w:tcPr>
                  <w:tcW w:w="904" w:type="dxa"/>
                  <w:tcBorders>
                    <w:top w:val="single" w:color="auto" w:sz="2" w:space="0"/>
                    <w:left w:val="single" w:color="auto" w:sz="2" w:space="0"/>
                    <w:bottom w:val="single" w:color="auto" w:sz="2" w:space="0"/>
                    <w:right w:val="single" w:color="auto" w:sz="2" w:space="0"/>
                  </w:tcBorders>
                  <w:noWrap w:val="0"/>
                  <w:vAlign w:val="center"/>
                </w:tcPr>
                <w:p w14:paraId="4430CE00">
                  <w:pPr>
                    <w:widowControl/>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lang w:val="en-US" w:eastAsia="zh-CN"/>
                    </w:rPr>
                    <w:t>现状</w:t>
                  </w:r>
                  <w:r>
                    <w:rPr>
                      <w:rFonts w:hint="default" w:ascii="Times New Roman" w:hAnsi="Times New Roman" w:cs="Times New Roman"/>
                      <w:b/>
                      <w:bCs/>
                      <w:color w:val="auto"/>
                      <w:sz w:val="18"/>
                      <w:szCs w:val="18"/>
                      <w:highlight w:val="none"/>
                    </w:rPr>
                    <w:t>浓度</w:t>
                  </w:r>
                </w:p>
              </w:tc>
              <w:tc>
                <w:tcPr>
                  <w:tcW w:w="937" w:type="dxa"/>
                  <w:tcBorders>
                    <w:top w:val="single" w:color="auto" w:sz="2" w:space="0"/>
                    <w:left w:val="single" w:color="auto" w:sz="2" w:space="0"/>
                    <w:bottom w:val="single" w:color="auto" w:sz="2" w:space="0"/>
                    <w:right w:val="single" w:color="auto" w:sz="2" w:space="0"/>
                  </w:tcBorders>
                  <w:noWrap w:val="0"/>
                  <w:vAlign w:val="center"/>
                </w:tcPr>
                <w:p w14:paraId="47AA627A">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标准值</w:t>
                  </w:r>
                </w:p>
              </w:tc>
              <w:tc>
                <w:tcPr>
                  <w:tcW w:w="993" w:type="dxa"/>
                  <w:tcBorders>
                    <w:top w:val="single" w:color="auto" w:sz="2" w:space="0"/>
                    <w:left w:val="single" w:color="auto" w:sz="2" w:space="0"/>
                    <w:bottom w:val="single" w:color="auto" w:sz="2" w:space="0"/>
                    <w:right w:val="single" w:color="auto" w:sz="2" w:space="0"/>
                  </w:tcBorders>
                  <w:noWrap w:val="0"/>
                  <w:vAlign w:val="center"/>
                </w:tcPr>
                <w:p w14:paraId="75809676">
                  <w:pPr>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占标率</w:t>
                  </w:r>
                  <w:r>
                    <w:rPr>
                      <w:rFonts w:hint="default" w:ascii="Times New Roman" w:hAnsi="Times New Roman" w:cs="Times New Roman"/>
                      <w:b/>
                      <w:bCs/>
                      <w:color w:val="auto"/>
                      <w:sz w:val="18"/>
                      <w:szCs w:val="18"/>
                      <w:highlight w:val="none"/>
                      <w:lang w:val="en-US" w:eastAsia="zh-CN"/>
                    </w:rPr>
                    <w:t>%</w:t>
                  </w:r>
                </w:p>
              </w:tc>
              <w:tc>
                <w:tcPr>
                  <w:tcW w:w="1177" w:type="dxa"/>
                  <w:tcBorders>
                    <w:top w:val="single" w:color="auto" w:sz="2" w:space="0"/>
                    <w:left w:val="single" w:color="auto" w:sz="2" w:space="0"/>
                    <w:bottom w:val="single" w:color="auto" w:sz="2" w:space="0"/>
                    <w:right w:val="single" w:color="auto" w:sz="2" w:space="0"/>
                  </w:tcBorders>
                  <w:noWrap w:val="0"/>
                  <w:vAlign w:val="center"/>
                </w:tcPr>
                <w:p w14:paraId="40B115EC">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达标情况</w:t>
                  </w:r>
                </w:p>
              </w:tc>
            </w:tr>
            <w:tr w14:paraId="0245C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66" w:type="dxa"/>
                  <w:tcBorders>
                    <w:top w:val="single" w:color="auto" w:sz="2" w:space="0"/>
                    <w:left w:val="single" w:color="auto" w:sz="2" w:space="0"/>
                    <w:bottom w:val="single" w:color="auto" w:sz="2" w:space="0"/>
                    <w:right w:val="single" w:color="auto" w:sz="2" w:space="0"/>
                  </w:tcBorders>
                  <w:noWrap w:val="0"/>
                  <w:vAlign w:val="center"/>
                </w:tcPr>
                <w:p w14:paraId="1B233B00">
                  <w:pPr>
                    <w:widowControl/>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lang w:bidi="ar"/>
                    </w:rPr>
                    <w:t>SO</w:t>
                  </w:r>
                  <w:r>
                    <w:rPr>
                      <w:rFonts w:hint="default" w:ascii="Times New Roman" w:hAnsi="Times New Roman" w:cs="Times New Roman"/>
                      <w:color w:val="auto"/>
                      <w:kern w:val="0"/>
                      <w:sz w:val="18"/>
                      <w:szCs w:val="18"/>
                      <w:highlight w:val="none"/>
                      <w:vertAlign w:val="subscript"/>
                      <w:lang w:bidi="ar"/>
                    </w:rPr>
                    <w:t>2</w:t>
                  </w:r>
                </w:p>
              </w:tc>
              <w:tc>
                <w:tcPr>
                  <w:tcW w:w="894" w:type="dxa"/>
                  <w:tcBorders>
                    <w:top w:val="single" w:color="auto" w:sz="2" w:space="0"/>
                    <w:left w:val="single" w:color="auto" w:sz="2" w:space="0"/>
                    <w:bottom w:val="single" w:color="auto" w:sz="2" w:space="0"/>
                    <w:right w:val="single" w:color="auto" w:sz="2" w:space="0"/>
                  </w:tcBorders>
                  <w:noWrap w:val="0"/>
                  <w:vAlign w:val="center"/>
                </w:tcPr>
                <w:p w14:paraId="4E972781">
                  <w:pPr>
                    <w:widowControl/>
                    <w:jc w:val="center"/>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μg/m</w:t>
                  </w:r>
                  <w:r>
                    <w:rPr>
                      <w:rFonts w:hint="default" w:ascii="Times New Roman" w:hAnsi="Times New Roman" w:cs="Times New Roman"/>
                      <w:color w:val="auto"/>
                      <w:kern w:val="0"/>
                      <w:sz w:val="18"/>
                      <w:szCs w:val="18"/>
                      <w:highlight w:val="none"/>
                      <w:vertAlign w:val="superscript"/>
                      <w:lang w:bidi="ar"/>
                    </w:rPr>
                    <w:t>3</w:t>
                  </w:r>
                </w:p>
              </w:tc>
              <w:tc>
                <w:tcPr>
                  <w:tcW w:w="2182" w:type="dxa"/>
                  <w:tcBorders>
                    <w:top w:val="single" w:color="auto" w:sz="2" w:space="0"/>
                    <w:left w:val="single" w:color="auto" w:sz="2" w:space="0"/>
                    <w:bottom w:val="single" w:color="auto" w:sz="2" w:space="0"/>
                    <w:right w:val="single" w:color="auto" w:sz="2" w:space="0"/>
                  </w:tcBorders>
                  <w:noWrap w:val="0"/>
                  <w:vAlign w:val="center"/>
                </w:tcPr>
                <w:p w14:paraId="4A159F34">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年平均质量浓度</w:t>
                  </w:r>
                </w:p>
              </w:tc>
              <w:tc>
                <w:tcPr>
                  <w:tcW w:w="904" w:type="dxa"/>
                  <w:tcBorders>
                    <w:top w:val="single" w:color="auto" w:sz="2" w:space="0"/>
                    <w:left w:val="single" w:color="auto" w:sz="2" w:space="0"/>
                    <w:bottom w:val="single" w:color="auto" w:sz="2" w:space="0"/>
                    <w:right w:val="single" w:color="auto" w:sz="2" w:space="0"/>
                  </w:tcBorders>
                  <w:noWrap w:val="0"/>
                  <w:vAlign w:val="center"/>
                </w:tcPr>
                <w:p w14:paraId="253CA082">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11</w:t>
                  </w:r>
                </w:p>
              </w:tc>
              <w:tc>
                <w:tcPr>
                  <w:tcW w:w="937" w:type="dxa"/>
                  <w:tcBorders>
                    <w:top w:val="single" w:color="auto" w:sz="2" w:space="0"/>
                    <w:left w:val="single" w:color="auto" w:sz="2" w:space="0"/>
                    <w:bottom w:val="single" w:color="auto" w:sz="2" w:space="0"/>
                    <w:right w:val="single" w:color="auto" w:sz="2" w:space="0"/>
                  </w:tcBorders>
                  <w:noWrap w:val="0"/>
                  <w:vAlign w:val="center"/>
                </w:tcPr>
                <w:p w14:paraId="22CFCD9D">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60</w:t>
                  </w:r>
                </w:p>
              </w:tc>
              <w:tc>
                <w:tcPr>
                  <w:tcW w:w="993" w:type="dxa"/>
                  <w:tcBorders>
                    <w:top w:val="single" w:color="auto" w:sz="2" w:space="0"/>
                    <w:left w:val="single" w:color="auto" w:sz="2" w:space="0"/>
                    <w:bottom w:val="single" w:color="auto" w:sz="2" w:space="0"/>
                    <w:right w:val="single" w:color="auto" w:sz="2" w:space="0"/>
                  </w:tcBorders>
                  <w:noWrap w:val="0"/>
                  <w:vAlign w:val="center"/>
                </w:tcPr>
                <w:p w14:paraId="7191F3D0">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18.3</w:t>
                  </w:r>
                </w:p>
              </w:tc>
              <w:tc>
                <w:tcPr>
                  <w:tcW w:w="1177" w:type="dxa"/>
                  <w:tcBorders>
                    <w:top w:val="single" w:color="auto" w:sz="2" w:space="0"/>
                    <w:left w:val="single" w:color="auto" w:sz="2" w:space="0"/>
                    <w:bottom w:val="single" w:color="auto" w:sz="2" w:space="0"/>
                    <w:right w:val="single" w:color="auto" w:sz="2" w:space="0"/>
                  </w:tcBorders>
                  <w:noWrap w:val="0"/>
                  <w:vAlign w:val="center"/>
                </w:tcPr>
                <w:p w14:paraId="17E98816">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r w14:paraId="09683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66" w:type="dxa"/>
                  <w:tcBorders>
                    <w:top w:val="single" w:color="auto" w:sz="2" w:space="0"/>
                    <w:left w:val="single" w:color="auto" w:sz="2" w:space="0"/>
                    <w:bottom w:val="single" w:color="auto" w:sz="2" w:space="0"/>
                    <w:right w:val="single" w:color="auto" w:sz="2" w:space="0"/>
                  </w:tcBorders>
                  <w:noWrap w:val="0"/>
                  <w:vAlign w:val="center"/>
                </w:tcPr>
                <w:p w14:paraId="3B0A7453">
                  <w:pPr>
                    <w:widowControl/>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lang w:bidi="ar"/>
                    </w:rPr>
                    <w:t>NO</w:t>
                  </w:r>
                  <w:r>
                    <w:rPr>
                      <w:rFonts w:hint="default" w:ascii="Times New Roman" w:hAnsi="Times New Roman" w:cs="Times New Roman"/>
                      <w:color w:val="auto"/>
                      <w:kern w:val="0"/>
                      <w:sz w:val="18"/>
                      <w:szCs w:val="18"/>
                      <w:highlight w:val="none"/>
                      <w:vertAlign w:val="subscript"/>
                      <w:lang w:bidi="ar"/>
                    </w:rPr>
                    <w:t>2</w:t>
                  </w:r>
                </w:p>
              </w:tc>
              <w:tc>
                <w:tcPr>
                  <w:tcW w:w="894" w:type="dxa"/>
                  <w:tcBorders>
                    <w:top w:val="single" w:color="auto" w:sz="2" w:space="0"/>
                    <w:left w:val="single" w:color="auto" w:sz="2" w:space="0"/>
                    <w:bottom w:val="single" w:color="auto" w:sz="2" w:space="0"/>
                    <w:right w:val="single" w:color="auto" w:sz="2" w:space="0"/>
                  </w:tcBorders>
                  <w:noWrap w:val="0"/>
                  <w:vAlign w:val="center"/>
                </w:tcPr>
                <w:p w14:paraId="2352EED8">
                  <w:pPr>
                    <w:widowControl/>
                    <w:jc w:val="center"/>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μg/m</w:t>
                  </w:r>
                  <w:r>
                    <w:rPr>
                      <w:rFonts w:hint="default" w:ascii="Times New Roman" w:hAnsi="Times New Roman" w:cs="Times New Roman"/>
                      <w:color w:val="auto"/>
                      <w:kern w:val="0"/>
                      <w:sz w:val="18"/>
                      <w:szCs w:val="18"/>
                      <w:highlight w:val="none"/>
                      <w:vertAlign w:val="superscript"/>
                      <w:lang w:bidi="ar"/>
                    </w:rPr>
                    <w:t>3</w:t>
                  </w:r>
                </w:p>
              </w:tc>
              <w:tc>
                <w:tcPr>
                  <w:tcW w:w="2182" w:type="dxa"/>
                  <w:tcBorders>
                    <w:top w:val="single" w:color="auto" w:sz="2" w:space="0"/>
                    <w:left w:val="single" w:color="auto" w:sz="2" w:space="0"/>
                    <w:bottom w:val="single" w:color="auto" w:sz="2" w:space="0"/>
                    <w:right w:val="single" w:color="auto" w:sz="2" w:space="0"/>
                  </w:tcBorders>
                  <w:noWrap w:val="0"/>
                  <w:vAlign w:val="center"/>
                </w:tcPr>
                <w:p w14:paraId="2DF748FD">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年平均质量浓度</w:t>
                  </w:r>
                </w:p>
              </w:tc>
              <w:tc>
                <w:tcPr>
                  <w:tcW w:w="904" w:type="dxa"/>
                  <w:tcBorders>
                    <w:top w:val="single" w:color="auto" w:sz="2" w:space="0"/>
                    <w:left w:val="single" w:color="auto" w:sz="2" w:space="0"/>
                    <w:bottom w:val="single" w:color="auto" w:sz="2" w:space="0"/>
                    <w:right w:val="single" w:color="auto" w:sz="2" w:space="0"/>
                  </w:tcBorders>
                  <w:noWrap w:val="0"/>
                  <w:vAlign w:val="center"/>
                </w:tcPr>
                <w:p w14:paraId="5A66AC80">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29</w:t>
                  </w:r>
                </w:p>
              </w:tc>
              <w:tc>
                <w:tcPr>
                  <w:tcW w:w="937" w:type="dxa"/>
                  <w:tcBorders>
                    <w:top w:val="single" w:color="auto" w:sz="2" w:space="0"/>
                    <w:left w:val="single" w:color="auto" w:sz="2" w:space="0"/>
                    <w:bottom w:val="single" w:color="auto" w:sz="2" w:space="0"/>
                    <w:right w:val="single" w:color="auto" w:sz="2" w:space="0"/>
                  </w:tcBorders>
                  <w:noWrap w:val="0"/>
                  <w:vAlign w:val="center"/>
                </w:tcPr>
                <w:p w14:paraId="6E6A223B">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40</w:t>
                  </w:r>
                </w:p>
              </w:tc>
              <w:tc>
                <w:tcPr>
                  <w:tcW w:w="993" w:type="dxa"/>
                  <w:tcBorders>
                    <w:top w:val="single" w:color="auto" w:sz="2" w:space="0"/>
                    <w:left w:val="single" w:color="auto" w:sz="2" w:space="0"/>
                    <w:bottom w:val="single" w:color="auto" w:sz="2" w:space="0"/>
                    <w:right w:val="single" w:color="auto" w:sz="2" w:space="0"/>
                  </w:tcBorders>
                  <w:noWrap w:val="0"/>
                  <w:vAlign w:val="center"/>
                </w:tcPr>
                <w:p w14:paraId="2BE1C9A5">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72.5</w:t>
                  </w:r>
                </w:p>
              </w:tc>
              <w:tc>
                <w:tcPr>
                  <w:tcW w:w="1177" w:type="dxa"/>
                  <w:tcBorders>
                    <w:top w:val="single" w:color="auto" w:sz="2" w:space="0"/>
                    <w:left w:val="single" w:color="auto" w:sz="2" w:space="0"/>
                    <w:bottom w:val="single" w:color="auto" w:sz="2" w:space="0"/>
                    <w:right w:val="single" w:color="auto" w:sz="2" w:space="0"/>
                  </w:tcBorders>
                  <w:noWrap w:val="0"/>
                  <w:vAlign w:val="center"/>
                </w:tcPr>
                <w:p w14:paraId="7C0452B2">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r w14:paraId="2A5BF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66" w:type="dxa"/>
                  <w:tcBorders>
                    <w:top w:val="single" w:color="auto" w:sz="2" w:space="0"/>
                    <w:left w:val="single" w:color="auto" w:sz="2" w:space="0"/>
                    <w:bottom w:val="single" w:color="auto" w:sz="2" w:space="0"/>
                    <w:right w:val="single" w:color="auto" w:sz="2" w:space="0"/>
                  </w:tcBorders>
                  <w:noWrap w:val="0"/>
                  <w:vAlign w:val="center"/>
                </w:tcPr>
                <w:p w14:paraId="1D7FE1CA">
                  <w:pPr>
                    <w:widowControl/>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lang w:bidi="ar"/>
                    </w:rPr>
                    <w:t>PM</w:t>
                  </w:r>
                  <w:r>
                    <w:rPr>
                      <w:rFonts w:hint="default" w:ascii="Times New Roman" w:hAnsi="Times New Roman" w:cs="Times New Roman"/>
                      <w:color w:val="auto"/>
                      <w:kern w:val="0"/>
                      <w:sz w:val="18"/>
                      <w:szCs w:val="18"/>
                      <w:highlight w:val="none"/>
                      <w:vertAlign w:val="subscript"/>
                      <w:lang w:bidi="ar"/>
                    </w:rPr>
                    <w:t>10</w:t>
                  </w:r>
                </w:p>
              </w:tc>
              <w:tc>
                <w:tcPr>
                  <w:tcW w:w="894" w:type="dxa"/>
                  <w:tcBorders>
                    <w:top w:val="single" w:color="auto" w:sz="2" w:space="0"/>
                    <w:left w:val="single" w:color="auto" w:sz="2" w:space="0"/>
                    <w:bottom w:val="single" w:color="auto" w:sz="2" w:space="0"/>
                    <w:right w:val="single" w:color="auto" w:sz="2" w:space="0"/>
                  </w:tcBorders>
                  <w:noWrap w:val="0"/>
                  <w:vAlign w:val="center"/>
                </w:tcPr>
                <w:p w14:paraId="4653AC66">
                  <w:pPr>
                    <w:widowControl/>
                    <w:jc w:val="center"/>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μg/m</w:t>
                  </w:r>
                  <w:r>
                    <w:rPr>
                      <w:rFonts w:hint="default" w:ascii="Times New Roman" w:hAnsi="Times New Roman" w:cs="Times New Roman"/>
                      <w:color w:val="auto"/>
                      <w:kern w:val="0"/>
                      <w:sz w:val="18"/>
                      <w:szCs w:val="18"/>
                      <w:highlight w:val="none"/>
                      <w:vertAlign w:val="superscript"/>
                      <w:lang w:bidi="ar"/>
                    </w:rPr>
                    <w:t>3</w:t>
                  </w:r>
                </w:p>
              </w:tc>
              <w:tc>
                <w:tcPr>
                  <w:tcW w:w="2182" w:type="dxa"/>
                  <w:tcBorders>
                    <w:top w:val="single" w:color="auto" w:sz="2" w:space="0"/>
                    <w:left w:val="single" w:color="auto" w:sz="2" w:space="0"/>
                    <w:bottom w:val="single" w:color="auto" w:sz="2" w:space="0"/>
                    <w:right w:val="single" w:color="auto" w:sz="2" w:space="0"/>
                  </w:tcBorders>
                  <w:noWrap w:val="0"/>
                  <w:vAlign w:val="center"/>
                </w:tcPr>
                <w:p w14:paraId="1CBB01ED">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年平均质量浓度</w:t>
                  </w:r>
                </w:p>
              </w:tc>
              <w:tc>
                <w:tcPr>
                  <w:tcW w:w="904" w:type="dxa"/>
                  <w:tcBorders>
                    <w:top w:val="single" w:color="auto" w:sz="2" w:space="0"/>
                    <w:left w:val="single" w:color="auto" w:sz="2" w:space="0"/>
                    <w:bottom w:val="single" w:color="auto" w:sz="2" w:space="0"/>
                    <w:right w:val="single" w:color="auto" w:sz="2" w:space="0"/>
                  </w:tcBorders>
                  <w:noWrap w:val="0"/>
                  <w:vAlign w:val="center"/>
                </w:tcPr>
                <w:p w14:paraId="0ABDA0BC">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75</w:t>
                  </w:r>
                </w:p>
              </w:tc>
              <w:tc>
                <w:tcPr>
                  <w:tcW w:w="937" w:type="dxa"/>
                  <w:tcBorders>
                    <w:top w:val="single" w:color="auto" w:sz="2" w:space="0"/>
                    <w:left w:val="single" w:color="auto" w:sz="2" w:space="0"/>
                    <w:bottom w:val="single" w:color="auto" w:sz="2" w:space="0"/>
                    <w:right w:val="single" w:color="auto" w:sz="2" w:space="0"/>
                  </w:tcBorders>
                  <w:noWrap w:val="0"/>
                  <w:vAlign w:val="center"/>
                </w:tcPr>
                <w:p w14:paraId="583DB717">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70</w:t>
                  </w:r>
                </w:p>
              </w:tc>
              <w:tc>
                <w:tcPr>
                  <w:tcW w:w="993" w:type="dxa"/>
                  <w:tcBorders>
                    <w:top w:val="single" w:color="auto" w:sz="2" w:space="0"/>
                    <w:left w:val="single" w:color="auto" w:sz="2" w:space="0"/>
                    <w:bottom w:val="single" w:color="auto" w:sz="2" w:space="0"/>
                    <w:right w:val="single" w:color="auto" w:sz="2" w:space="0"/>
                  </w:tcBorders>
                  <w:noWrap w:val="0"/>
                  <w:vAlign w:val="center"/>
                </w:tcPr>
                <w:p w14:paraId="1124F6B3">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107.1</w:t>
                  </w:r>
                </w:p>
              </w:tc>
              <w:tc>
                <w:tcPr>
                  <w:tcW w:w="1177" w:type="dxa"/>
                  <w:tcBorders>
                    <w:top w:val="single" w:color="auto" w:sz="2" w:space="0"/>
                    <w:left w:val="single" w:color="auto" w:sz="2" w:space="0"/>
                    <w:bottom w:val="single" w:color="auto" w:sz="2" w:space="0"/>
                    <w:right w:val="single" w:color="auto" w:sz="2" w:space="0"/>
                  </w:tcBorders>
                  <w:noWrap w:val="0"/>
                  <w:vAlign w:val="center"/>
                </w:tcPr>
                <w:p w14:paraId="5E4E0511">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不</w:t>
                  </w:r>
                  <w:r>
                    <w:rPr>
                      <w:rFonts w:hint="default" w:ascii="Times New Roman" w:hAnsi="Times New Roman" w:cs="Times New Roman"/>
                      <w:color w:val="auto"/>
                      <w:sz w:val="18"/>
                      <w:szCs w:val="18"/>
                      <w:highlight w:val="none"/>
                    </w:rPr>
                    <w:t>达标</w:t>
                  </w:r>
                </w:p>
              </w:tc>
            </w:tr>
            <w:tr w14:paraId="03C02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66" w:type="dxa"/>
                  <w:tcBorders>
                    <w:top w:val="single" w:color="auto" w:sz="2" w:space="0"/>
                    <w:left w:val="single" w:color="auto" w:sz="2" w:space="0"/>
                    <w:bottom w:val="single" w:color="auto" w:sz="2" w:space="0"/>
                    <w:right w:val="single" w:color="auto" w:sz="2" w:space="0"/>
                  </w:tcBorders>
                  <w:noWrap w:val="0"/>
                  <w:vAlign w:val="center"/>
                </w:tcPr>
                <w:p w14:paraId="58AA54C1">
                  <w:pPr>
                    <w:widowControl/>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lang w:bidi="ar"/>
                    </w:rPr>
                    <w:t>PM</w:t>
                  </w:r>
                  <w:r>
                    <w:rPr>
                      <w:rFonts w:hint="default" w:ascii="Times New Roman" w:hAnsi="Times New Roman" w:cs="Times New Roman"/>
                      <w:color w:val="auto"/>
                      <w:kern w:val="0"/>
                      <w:sz w:val="18"/>
                      <w:szCs w:val="18"/>
                      <w:highlight w:val="none"/>
                      <w:vertAlign w:val="subscript"/>
                      <w:lang w:bidi="ar"/>
                    </w:rPr>
                    <w:t>2.5</w:t>
                  </w:r>
                </w:p>
              </w:tc>
              <w:tc>
                <w:tcPr>
                  <w:tcW w:w="894" w:type="dxa"/>
                  <w:tcBorders>
                    <w:top w:val="single" w:color="auto" w:sz="2" w:space="0"/>
                    <w:left w:val="single" w:color="auto" w:sz="2" w:space="0"/>
                    <w:bottom w:val="single" w:color="auto" w:sz="2" w:space="0"/>
                    <w:right w:val="single" w:color="auto" w:sz="2" w:space="0"/>
                  </w:tcBorders>
                  <w:noWrap w:val="0"/>
                  <w:vAlign w:val="center"/>
                </w:tcPr>
                <w:p w14:paraId="5596C565">
                  <w:pPr>
                    <w:widowControl/>
                    <w:jc w:val="center"/>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μg/m</w:t>
                  </w:r>
                  <w:r>
                    <w:rPr>
                      <w:rFonts w:hint="default" w:ascii="Times New Roman" w:hAnsi="Times New Roman" w:cs="Times New Roman"/>
                      <w:color w:val="auto"/>
                      <w:kern w:val="0"/>
                      <w:sz w:val="18"/>
                      <w:szCs w:val="18"/>
                      <w:highlight w:val="none"/>
                      <w:vertAlign w:val="superscript"/>
                      <w:lang w:bidi="ar"/>
                    </w:rPr>
                    <w:t>3</w:t>
                  </w:r>
                </w:p>
              </w:tc>
              <w:tc>
                <w:tcPr>
                  <w:tcW w:w="2182" w:type="dxa"/>
                  <w:tcBorders>
                    <w:top w:val="single" w:color="auto" w:sz="2" w:space="0"/>
                    <w:left w:val="single" w:color="auto" w:sz="2" w:space="0"/>
                    <w:bottom w:val="single" w:color="auto" w:sz="2" w:space="0"/>
                    <w:right w:val="single" w:color="auto" w:sz="2" w:space="0"/>
                  </w:tcBorders>
                  <w:noWrap w:val="0"/>
                  <w:vAlign w:val="center"/>
                </w:tcPr>
                <w:p w14:paraId="5EE6E99D">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年平均质量浓度</w:t>
                  </w:r>
                </w:p>
              </w:tc>
              <w:tc>
                <w:tcPr>
                  <w:tcW w:w="904" w:type="dxa"/>
                  <w:tcBorders>
                    <w:top w:val="single" w:color="auto" w:sz="2" w:space="0"/>
                    <w:left w:val="single" w:color="auto" w:sz="2" w:space="0"/>
                    <w:bottom w:val="single" w:color="auto" w:sz="2" w:space="0"/>
                    <w:right w:val="single" w:color="auto" w:sz="2" w:space="0"/>
                  </w:tcBorders>
                  <w:noWrap w:val="0"/>
                  <w:vAlign w:val="center"/>
                </w:tcPr>
                <w:p w14:paraId="48A1C38E">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42</w:t>
                  </w:r>
                </w:p>
              </w:tc>
              <w:tc>
                <w:tcPr>
                  <w:tcW w:w="937" w:type="dxa"/>
                  <w:tcBorders>
                    <w:top w:val="single" w:color="auto" w:sz="2" w:space="0"/>
                    <w:left w:val="single" w:color="auto" w:sz="2" w:space="0"/>
                    <w:bottom w:val="single" w:color="auto" w:sz="2" w:space="0"/>
                    <w:right w:val="single" w:color="auto" w:sz="2" w:space="0"/>
                  </w:tcBorders>
                  <w:noWrap w:val="0"/>
                  <w:vAlign w:val="center"/>
                </w:tcPr>
                <w:p w14:paraId="7090F5D5">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35</w:t>
                  </w:r>
                </w:p>
              </w:tc>
              <w:tc>
                <w:tcPr>
                  <w:tcW w:w="993" w:type="dxa"/>
                  <w:tcBorders>
                    <w:top w:val="single" w:color="auto" w:sz="2" w:space="0"/>
                    <w:left w:val="single" w:color="auto" w:sz="2" w:space="0"/>
                    <w:bottom w:val="single" w:color="auto" w:sz="2" w:space="0"/>
                    <w:right w:val="single" w:color="auto" w:sz="2" w:space="0"/>
                  </w:tcBorders>
                  <w:noWrap w:val="0"/>
                  <w:vAlign w:val="center"/>
                </w:tcPr>
                <w:p w14:paraId="132F36EF">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120</w:t>
                  </w:r>
                </w:p>
              </w:tc>
              <w:tc>
                <w:tcPr>
                  <w:tcW w:w="1177" w:type="dxa"/>
                  <w:tcBorders>
                    <w:top w:val="single" w:color="auto" w:sz="2" w:space="0"/>
                    <w:left w:val="single" w:color="auto" w:sz="2" w:space="0"/>
                    <w:bottom w:val="single" w:color="auto" w:sz="2" w:space="0"/>
                    <w:right w:val="single" w:color="auto" w:sz="2" w:space="0"/>
                  </w:tcBorders>
                  <w:noWrap w:val="0"/>
                  <w:vAlign w:val="center"/>
                </w:tcPr>
                <w:p w14:paraId="6899ED1F">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不达标</w:t>
                  </w:r>
                </w:p>
              </w:tc>
            </w:tr>
            <w:tr w14:paraId="19601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66" w:type="dxa"/>
                  <w:tcBorders>
                    <w:top w:val="single" w:color="auto" w:sz="2" w:space="0"/>
                    <w:left w:val="single" w:color="auto" w:sz="2" w:space="0"/>
                    <w:bottom w:val="single" w:color="auto" w:sz="2" w:space="0"/>
                    <w:right w:val="single" w:color="auto" w:sz="2" w:space="0"/>
                  </w:tcBorders>
                  <w:noWrap w:val="0"/>
                  <w:vAlign w:val="center"/>
                </w:tcPr>
                <w:p w14:paraId="16436E71">
                  <w:pPr>
                    <w:widowControl/>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lang w:bidi="ar"/>
                    </w:rPr>
                    <w:t>CO</w:t>
                  </w:r>
                </w:p>
              </w:tc>
              <w:tc>
                <w:tcPr>
                  <w:tcW w:w="894" w:type="dxa"/>
                  <w:tcBorders>
                    <w:top w:val="single" w:color="auto" w:sz="2" w:space="0"/>
                    <w:left w:val="single" w:color="auto" w:sz="2" w:space="0"/>
                    <w:bottom w:val="single" w:color="auto" w:sz="2" w:space="0"/>
                    <w:right w:val="single" w:color="auto" w:sz="2" w:space="0"/>
                  </w:tcBorders>
                  <w:noWrap w:val="0"/>
                  <w:vAlign w:val="center"/>
                </w:tcPr>
                <w:p w14:paraId="4D0E2863">
                  <w:pPr>
                    <w:widowControl/>
                    <w:jc w:val="center"/>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val="en-US" w:eastAsia="zh-CN" w:bidi="ar"/>
                    </w:rPr>
                    <w:t>m</w:t>
                  </w:r>
                  <w:r>
                    <w:rPr>
                      <w:rFonts w:hint="default" w:ascii="Times New Roman" w:hAnsi="Times New Roman" w:cs="Times New Roman"/>
                      <w:color w:val="auto"/>
                      <w:kern w:val="0"/>
                      <w:sz w:val="18"/>
                      <w:szCs w:val="18"/>
                      <w:highlight w:val="none"/>
                      <w:lang w:bidi="ar"/>
                    </w:rPr>
                    <w:t>g/m</w:t>
                  </w:r>
                  <w:r>
                    <w:rPr>
                      <w:rFonts w:hint="default" w:ascii="Times New Roman" w:hAnsi="Times New Roman" w:cs="Times New Roman"/>
                      <w:color w:val="auto"/>
                      <w:kern w:val="0"/>
                      <w:sz w:val="18"/>
                      <w:szCs w:val="18"/>
                      <w:highlight w:val="none"/>
                      <w:vertAlign w:val="superscript"/>
                      <w:lang w:bidi="ar"/>
                    </w:rPr>
                    <w:t>3</w:t>
                  </w:r>
                </w:p>
              </w:tc>
              <w:tc>
                <w:tcPr>
                  <w:tcW w:w="2182" w:type="dxa"/>
                  <w:tcBorders>
                    <w:top w:val="single" w:color="auto" w:sz="2" w:space="0"/>
                    <w:left w:val="single" w:color="auto" w:sz="2" w:space="0"/>
                    <w:bottom w:val="single" w:color="auto" w:sz="2" w:space="0"/>
                    <w:right w:val="single" w:color="auto" w:sz="2" w:space="0"/>
                  </w:tcBorders>
                  <w:noWrap w:val="0"/>
                  <w:vAlign w:val="center"/>
                </w:tcPr>
                <w:p w14:paraId="3D1F1C67">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24小时平均第95百分位数质量浓度</w:t>
                  </w:r>
                </w:p>
              </w:tc>
              <w:tc>
                <w:tcPr>
                  <w:tcW w:w="904" w:type="dxa"/>
                  <w:tcBorders>
                    <w:top w:val="single" w:color="auto" w:sz="2" w:space="0"/>
                    <w:left w:val="single" w:color="auto" w:sz="2" w:space="0"/>
                    <w:bottom w:val="single" w:color="auto" w:sz="2" w:space="0"/>
                    <w:right w:val="single" w:color="auto" w:sz="2" w:space="0"/>
                  </w:tcBorders>
                  <w:noWrap w:val="0"/>
                  <w:vAlign w:val="center"/>
                </w:tcPr>
                <w:p w14:paraId="40C524FC">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1.0</w:t>
                  </w:r>
                </w:p>
              </w:tc>
              <w:tc>
                <w:tcPr>
                  <w:tcW w:w="937" w:type="dxa"/>
                  <w:tcBorders>
                    <w:top w:val="single" w:color="auto" w:sz="2" w:space="0"/>
                    <w:left w:val="single" w:color="auto" w:sz="2" w:space="0"/>
                    <w:bottom w:val="single" w:color="auto" w:sz="2" w:space="0"/>
                    <w:right w:val="single" w:color="auto" w:sz="2" w:space="0"/>
                  </w:tcBorders>
                  <w:noWrap w:val="0"/>
                  <w:vAlign w:val="center"/>
                </w:tcPr>
                <w:p w14:paraId="1DDF6FE8">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w:t>
                  </w:r>
                </w:p>
              </w:tc>
              <w:tc>
                <w:tcPr>
                  <w:tcW w:w="993" w:type="dxa"/>
                  <w:tcBorders>
                    <w:top w:val="single" w:color="auto" w:sz="2" w:space="0"/>
                    <w:left w:val="single" w:color="auto" w:sz="2" w:space="0"/>
                    <w:bottom w:val="single" w:color="auto" w:sz="2" w:space="0"/>
                    <w:right w:val="single" w:color="auto" w:sz="2" w:space="0"/>
                  </w:tcBorders>
                  <w:noWrap w:val="0"/>
                  <w:vAlign w:val="center"/>
                </w:tcPr>
                <w:p w14:paraId="3FA51793">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25</w:t>
                  </w:r>
                </w:p>
              </w:tc>
              <w:tc>
                <w:tcPr>
                  <w:tcW w:w="1177" w:type="dxa"/>
                  <w:tcBorders>
                    <w:top w:val="single" w:color="auto" w:sz="2" w:space="0"/>
                    <w:left w:val="single" w:color="auto" w:sz="2" w:space="0"/>
                    <w:bottom w:val="single" w:color="auto" w:sz="2" w:space="0"/>
                    <w:right w:val="single" w:color="auto" w:sz="2" w:space="0"/>
                  </w:tcBorders>
                  <w:noWrap w:val="0"/>
                  <w:vAlign w:val="center"/>
                </w:tcPr>
                <w:p w14:paraId="20ACADD7">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r w14:paraId="432D6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66" w:type="dxa"/>
                  <w:tcBorders>
                    <w:top w:val="single" w:color="auto" w:sz="2" w:space="0"/>
                    <w:left w:val="single" w:color="auto" w:sz="2" w:space="0"/>
                    <w:bottom w:val="single" w:color="auto" w:sz="2" w:space="0"/>
                    <w:right w:val="single" w:color="auto" w:sz="2" w:space="0"/>
                  </w:tcBorders>
                  <w:noWrap w:val="0"/>
                  <w:vAlign w:val="center"/>
                </w:tcPr>
                <w:p w14:paraId="1D60ED28">
                  <w:pPr>
                    <w:widowControl/>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lang w:bidi="ar"/>
                    </w:rPr>
                    <w:t>O</w:t>
                  </w:r>
                  <w:r>
                    <w:rPr>
                      <w:rFonts w:hint="default" w:ascii="Times New Roman" w:hAnsi="Times New Roman" w:cs="Times New Roman"/>
                      <w:color w:val="auto"/>
                      <w:kern w:val="0"/>
                      <w:sz w:val="18"/>
                      <w:szCs w:val="18"/>
                      <w:highlight w:val="none"/>
                      <w:vertAlign w:val="subscript"/>
                      <w:lang w:bidi="ar"/>
                    </w:rPr>
                    <w:t>3</w:t>
                  </w:r>
                </w:p>
              </w:tc>
              <w:tc>
                <w:tcPr>
                  <w:tcW w:w="894" w:type="dxa"/>
                  <w:tcBorders>
                    <w:top w:val="single" w:color="auto" w:sz="2" w:space="0"/>
                    <w:left w:val="single" w:color="auto" w:sz="2" w:space="0"/>
                    <w:bottom w:val="single" w:color="auto" w:sz="2" w:space="0"/>
                    <w:right w:val="single" w:color="auto" w:sz="2" w:space="0"/>
                  </w:tcBorders>
                  <w:noWrap w:val="0"/>
                  <w:vAlign w:val="center"/>
                </w:tcPr>
                <w:p w14:paraId="0B4FF626">
                  <w:pPr>
                    <w:widowControl/>
                    <w:jc w:val="center"/>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μg/m</w:t>
                  </w:r>
                  <w:r>
                    <w:rPr>
                      <w:rFonts w:hint="default" w:ascii="Times New Roman" w:hAnsi="Times New Roman" w:cs="Times New Roman"/>
                      <w:color w:val="auto"/>
                      <w:kern w:val="0"/>
                      <w:sz w:val="18"/>
                      <w:szCs w:val="18"/>
                      <w:highlight w:val="none"/>
                      <w:vertAlign w:val="superscript"/>
                      <w:lang w:bidi="ar"/>
                    </w:rPr>
                    <w:t>3</w:t>
                  </w:r>
                </w:p>
              </w:tc>
              <w:tc>
                <w:tcPr>
                  <w:tcW w:w="2182" w:type="dxa"/>
                  <w:tcBorders>
                    <w:top w:val="single" w:color="auto" w:sz="2" w:space="0"/>
                    <w:left w:val="single" w:color="auto" w:sz="2" w:space="0"/>
                    <w:bottom w:val="single" w:color="auto" w:sz="2" w:space="0"/>
                    <w:right w:val="single" w:color="auto" w:sz="2" w:space="0"/>
                  </w:tcBorders>
                  <w:noWrap w:val="0"/>
                  <w:vAlign w:val="center"/>
                </w:tcPr>
                <w:p w14:paraId="19ACB35D">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日常最大8h滑动平均值的第90百分位数质量浓度</w:t>
                  </w:r>
                </w:p>
              </w:tc>
              <w:tc>
                <w:tcPr>
                  <w:tcW w:w="904" w:type="dxa"/>
                  <w:tcBorders>
                    <w:top w:val="single" w:color="auto" w:sz="2" w:space="0"/>
                    <w:left w:val="single" w:color="auto" w:sz="2" w:space="0"/>
                    <w:bottom w:val="single" w:color="auto" w:sz="2" w:space="0"/>
                    <w:right w:val="single" w:color="auto" w:sz="2" w:space="0"/>
                  </w:tcBorders>
                  <w:noWrap w:val="0"/>
                  <w:vAlign w:val="center"/>
                </w:tcPr>
                <w:p w14:paraId="336207D0">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192</w:t>
                  </w:r>
                </w:p>
              </w:tc>
              <w:tc>
                <w:tcPr>
                  <w:tcW w:w="937" w:type="dxa"/>
                  <w:tcBorders>
                    <w:top w:val="single" w:color="auto" w:sz="2" w:space="0"/>
                    <w:left w:val="single" w:color="auto" w:sz="2" w:space="0"/>
                    <w:bottom w:val="single" w:color="auto" w:sz="2" w:space="0"/>
                    <w:right w:val="single" w:color="auto" w:sz="2" w:space="0"/>
                  </w:tcBorders>
                  <w:noWrap w:val="0"/>
                  <w:vAlign w:val="center"/>
                </w:tcPr>
                <w:p w14:paraId="0A479ACA">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160</w:t>
                  </w:r>
                </w:p>
              </w:tc>
              <w:tc>
                <w:tcPr>
                  <w:tcW w:w="993" w:type="dxa"/>
                  <w:tcBorders>
                    <w:top w:val="single" w:color="auto" w:sz="2" w:space="0"/>
                    <w:left w:val="single" w:color="auto" w:sz="2" w:space="0"/>
                    <w:bottom w:val="single" w:color="auto" w:sz="2" w:space="0"/>
                    <w:right w:val="single" w:color="auto" w:sz="2" w:space="0"/>
                  </w:tcBorders>
                  <w:noWrap w:val="0"/>
                  <w:vAlign w:val="center"/>
                </w:tcPr>
                <w:p w14:paraId="2B2DE2BC">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120</w:t>
                  </w:r>
                </w:p>
              </w:tc>
              <w:tc>
                <w:tcPr>
                  <w:tcW w:w="1177" w:type="dxa"/>
                  <w:tcBorders>
                    <w:top w:val="single" w:color="auto" w:sz="2" w:space="0"/>
                    <w:left w:val="single" w:color="auto" w:sz="2" w:space="0"/>
                    <w:bottom w:val="single" w:color="auto" w:sz="2" w:space="0"/>
                    <w:right w:val="single" w:color="auto" w:sz="2" w:space="0"/>
                  </w:tcBorders>
                  <w:noWrap w:val="0"/>
                  <w:vAlign w:val="center"/>
                </w:tcPr>
                <w:p w14:paraId="25094EEC">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不达标</w:t>
                  </w:r>
                </w:p>
              </w:tc>
            </w:tr>
          </w:tbl>
          <w:p w14:paraId="6B795798">
            <w:pPr>
              <w:spacing w:line="360" w:lineRule="auto"/>
              <w:ind w:firstLine="420" w:firstLineChars="200"/>
              <w:rPr>
                <w:rFonts w:hint="default" w:ascii="Times New Roman" w:hAnsi="Times New Roman" w:cs="Times New Roman"/>
                <w:color w:val="FF0000"/>
                <w:szCs w:val="21"/>
              </w:rPr>
            </w:pPr>
            <w:r>
              <w:rPr>
                <w:color w:val="auto"/>
                <w:kern w:val="0"/>
              </w:rPr>
              <w:t>根据上表，</w:t>
            </w:r>
            <w:r>
              <w:rPr>
                <w:color w:val="auto"/>
              </w:rPr>
              <w:t>PM</w:t>
            </w:r>
            <w:r>
              <w:rPr>
                <w:color w:val="auto"/>
                <w:vertAlign w:val="subscript"/>
              </w:rPr>
              <w:t>2.5</w:t>
            </w:r>
            <w:r>
              <w:rPr>
                <w:rFonts w:hint="default"/>
                <w:color w:val="auto"/>
                <w:vertAlign w:val="baseline"/>
                <w:lang w:val="en-US" w:eastAsia="zh-CN"/>
              </w:rPr>
              <w:t>、</w:t>
            </w:r>
            <w:r>
              <w:rPr>
                <w:color w:val="auto"/>
              </w:rPr>
              <w:t>PM</w:t>
            </w:r>
            <w:r>
              <w:rPr>
                <w:color w:val="auto"/>
                <w:vertAlign w:val="subscript"/>
              </w:rPr>
              <w:t>10</w:t>
            </w:r>
            <w:r>
              <w:rPr>
                <w:color w:val="auto"/>
              </w:rPr>
              <w:t>和</w:t>
            </w:r>
            <w:r>
              <w:rPr>
                <w:rFonts w:hint="default"/>
                <w:color w:val="auto"/>
                <w:vertAlign w:val="baseline"/>
                <w:lang w:val="en-US" w:eastAsia="zh-CN"/>
              </w:rPr>
              <w:t>O</w:t>
            </w:r>
            <w:r>
              <w:rPr>
                <w:rFonts w:hint="default"/>
                <w:color w:val="auto"/>
                <w:vertAlign w:val="subscript"/>
                <w:lang w:val="en-US" w:eastAsia="zh-CN"/>
              </w:rPr>
              <w:t>3</w:t>
            </w:r>
            <w:r>
              <w:rPr>
                <w:color w:val="auto"/>
              </w:rPr>
              <w:t>年均浓度不</w:t>
            </w:r>
            <w:r>
              <w:rPr>
                <w:color w:val="auto"/>
                <w:kern w:val="0"/>
              </w:rPr>
              <w:t>满足《环境空气质量标准》</w:t>
            </w:r>
            <w:r>
              <w:rPr>
                <w:rFonts w:hint="eastAsia"/>
                <w:color w:val="auto"/>
                <w:kern w:val="0"/>
                <w:lang w:eastAsia="zh-CN"/>
              </w:rPr>
              <w:t>（</w:t>
            </w:r>
            <w:r>
              <w:rPr>
                <w:color w:val="auto"/>
                <w:kern w:val="0"/>
              </w:rPr>
              <w:t>GB3095-2012</w:t>
            </w:r>
            <w:r>
              <w:rPr>
                <w:rFonts w:hint="eastAsia"/>
                <w:color w:val="auto"/>
                <w:kern w:val="0"/>
                <w:lang w:eastAsia="zh-CN"/>
              </w:rPr>
              <w:t>）</w:t>
            </w:r>
            <w:r>
              <w:rPr>
                <w:color w:val="auto"/>
              </w:rPr>
              <w:t>及其修改单二级标准限值要求</w:t>
            </w:r>
            <w:r>
              <w:rPr>
                <w:color w:val="auto"/>
                <w:kern w:val="0"/>
              </w:rPr>
              <w:t>。</w:t>
            </w:r>
            <w:r>
              <w:rPr>
                <w:rFonts w:hint="eastAsia"/>
                <w:color w:val="auto"/>
              </w:rPr>
              <w:t>根据《淄博市“十四五”生态环境保护规划》（淄政字〔2021〕107号），淄博市将开展一系列大气污染治理工程改善区域环境，推动NOx深度治理工程、VOCs综合治理工程、O</w:t>
            </w:r>
            <w:r>
              <w:rPr>
                <w:rFonts w:hint="eastAsia"/>
                <w:color w:val="auto"/>
                <w:vertAlign w:val="subscript"/>
              </w:rPr>
              <w:t>3</w:t>
            </w:r>
            <w:r>
              <w:rPr>
                <w:rFonts w:hint="eastAsia"/>
                <w:color w:val="auto"/>
              </w:rPr>
              <w:t>和PM</w:t>
            </w:r>
            <w:r>
              <w:rPr>
                <w:rFonts w:hint="eastAsia"/>
                <w:color w:val="auto"/>
                <w:vertAlign w:val="subscript"/>
              </w:rPr>
              <w:t>2.5</w:t>
            </w:r>
            <w:r>
              <w:rPr>
                <w:rFonts w:hint="eastAsia"/>
                <w:color w:val="auto"/>
              </w:rPr>
              <w:t>协同管控体系，到2025年，PM</w:t>
            </w:r>
            <w:r>
              <w:rPr>
                <w:rFonts w:hint="eastAsia"/>
                <w:color w:val="auto"/>
                <w:vertAlign w:val="subscript"/>
              </w:rPr>
              <w:t>2.5</w:t>
            </w:r>
            <w:r>
              <w:rPr>
                <w:rFonts w:hint="eastAsia"/>
                <w:color w:val="auto"/>
              </w:rPr>
              <w:t>浓度达到全省中游水平，空气质量优良率达到全省中游水平，综合指数排名摆脱全国后20名、全省后3名。区域环境空气质量将持续改善</w:t>
            </w:r>
            <w:r>
              <w:rPr>
                <w:rFonts w:hint="default" w:ascii="Times New Roman" w:hAnsi="Times New Roman" w:cs="Times New Roman"/>
                <w:color w:val="FF0000"/>
              </w:rPr>
              <w:t>。</w:t>
            </w:r>
          </w:p>
          <w:bookmarkEnd w:id="19"/>
          <w:p w14:paraId="6A5C7EB0">
            <w:pPr>
              <w:spacing w:line="360" w:lineRule="auto"/>
              <w:ind w:firstLine="420" w:firstLineChars="200"/>
              <w:rPr>
                <w:rFonts w:hint="default" w:ascii="Times New Roman" w:hAnsi="Times New Roman" w:eastAsia="黑体" w:cs="Times New Roman"/>
                <w:color w:val="auto"/>
                <w:szCs w:val="21"/>
              </w:rPr>
            </w:pPr>
            <w:r>
              <w:rPr>
                <w:rFonts w:hint="default" w:ascii="Times New Roman" w:hAnsi="Times New Roman" w:eastAsia="黑体" w:cs="Times New Roman"/>
                <w:color w:val="auto"/>
                <w:szCs w:val="21"/>
              </w:rPr>
              <w:t>2、地表水环境质量</w:t>
            </w:r>
          </w:p>
          <w:p w14:paraId="4C58C859">
            <w:pPr>
              <w:spacing w:line="360" w:lineRule="auto"/>
              <w:ind w:firstLine="420" w:firstLineChars="200"/>
              <w:rPr>
                <w:rFonts w:hint="default" w:ascii="Times New Roman" w:hAnsi="Times New Roman" w:cs="Times New Roman"/>
                <w:bCs/>
                <w:color w:val="auto"/>
                <w:lang w:bidi="ar"/>
              </w:rPr>
            </w:pPr>
            <w:r>
              <w:rPr>
                <w:rFonts w:hint="default" w:ascii="Times New Roman" w:hAnsi="Times New Roman" w:cs="Times New Roman"/>
                <w:color w:val="auto"/>
              </w:rPr>
              <w:t>项目所在区域最近地表水体为孝妇河，</w:t>
            </w:r>
            <w:r>
              <w:rPr>
                <w:rFonts w:hint="default" w:ascii="Times New Roman" w:hAnsi="Times New Roman" w:cs="Times New Roman"/>
                <w:bCs/>
                <w:color w:val="auto"/>
                <w:szCs w:val="21"/>
                <w:lang w:bidi="ar"/>
              </w:rPr>
              <w:t>该段功能区划分为地表水V类。</w:t>
            </w:r>
            <w:r>
              <w:rPr>
                <w:bCs/>
                <w:color w:val="auto"/>
                <w:highlight w:val="none"/>
                <w:lang w:bidi="ar"/>
              </w:rPr>
              <w:t>本次环评收集了淄川南外环监控断面202</w:t>
            </w:r>
            <w:r>
              <w:rPr>
                <w:rFonts w:hint="eastAsia"/>
                <w:bCs/>
                <w:color w:val="auto"/>
                <w:highlight w:val="none"/>
                <w:lang w:val="en-US" w:eastAsia="zh-CN" w:bidi="ar"/>
              </w:rPr>
              <w:t>4</w:t>
            </w:r>
            <w:r>
              <w:rPr>
                <w:bCs/>
                <w:color w:val="auto"/>
                <w:highlight w:val="none"/>
                <w:lang w:bidi="ar"/>
              </w:rPr>
              <w:t>年</w:t>
            </w:r>
            <w:r>
              <w:rPr>
                <w:rFonts w:hint="eastAsia"/>
                <w:bCs/>
                <w:color w:val="auto"/>
                <w:highlight w:val="none"/>
                <w:lang w:val="en-US" w:eastAsia="zh-CN" w:bidi="ar"/>
              </w:rPr>
              <w:t>1月-6月</w:t>
            </w:r>
            <w:r>
              <w:rPr>
                <w:bCs/>
                <w:color w:val="auto"/>
                <w:highlight w:val="none"/>
                <w:lang w:bidi="ar"/>
              </w:rPr>
              <w:t>在线监测的信息，详细监测结果如下</w:t>
            </w:r>
            <w:r>
              <w:rPr>
                <w:rFonts w:hint="default" w:ascii="Times New Roman" w:hAnsi="Times New Roman" w:cs="Times New Roman"/>
                <w:bCs/>
                <w:color w:val="auto"/>
                <w:lang w:bidi="ar"/>
              </w:rPr>
              <w:t>：</w:t>
            </w:r>
          </w:p>
          <w:p w14:paraId="6A5DC82E">
            <w:pPr>
              <w:ind w:right="34" w:firstLine="422" w:firstLineChars="200"/>
              <w:jc w:val="center"/>
              <w:rPr>
                <w:rFonts w:hint="default" w:ascii="Times New Roman" w:hAnsi="Times New Roman" w:eastAsia="宋体" w:cs="Times New Roman"/>
                <w:b/>
                <w:bCs w:val="0"/>
                <w:color w:val="auto"/>
              </w:rPr>
            </w:pPr>
            <w:r>
              <w:rPr>
                <w:rFonts w:hint="default" w:ascii="Times New Roman" w:hAnsi="Times New Roman" w:eastAsia="宋体" w:cs="Times New Roman"/>
                <w:b/>
                <w:bCs w:val="0"/>
                <w:color w:val="auto"/>
              </w:rPr>
              <w:t>表3-</w:t>
            </w:r>
            <w:r>
              <w:rPr>
                <w:rFonts w:hint="default" w:ascii="Times New Roman" w:hAnsi="Times New Roman" w:eastAsia="宋体" w:cs="Times New Roman"/>
                <w:b/>
                <w:bCs w:val="0"/>
                <w:color w:val="auto"/>
                <w:lang w:val="en-US" w:eastAsia="zh-CN"/>
              </w:rPr>
              <w:t>2</w:t>
            </w:r>
            <w:r>
              <w:rPr>
                <w:rFonts w:hint="eastAsia" w:ascii="Times New Roman" w:hAnsi="Times New Roman" w:cs="Times New Roman"/>
                <w:b/>
                <w:bCs w:val="0"/>
                <w:color w:val="auto"/>
                <w:lang w:val="en-US" w:eastAsia="zh-CN"/>
              </w:rPr>
              <w:t xml:space="preserve"> </w:t>
            </w:r>
            <w:r>
              <w:rPr>
                <w:b/>
                <w:bCs/>
                <w:color w:val="auto"/>
                <w:highlight w:val="none"/>
              </w:rPr>
              <w:t>202</w:t>
            </w:r>
            <w:r>
              <w:rPr>
                <w:rFonts w:hint="eastAsia" w:ascii="Times New Roman" w:eastAsia="宋体"/>
                <w:b/>
                <w:bCs/>
                <w:color w:val="auto"/>
                <w:highlight w:val="none"/>
                <w:lang w:val="en-US" w:eastAsia="zh-CN"/>
              </w:rPr>
              <w:t>4</w:t>
            </w:r>
            <w:r>
              <w:rPr>
                <w:b/>
                <w:bCs/>
                <w:color w:val="auto"/>
                <w:highlight w:val="none"/>
              </w:rPr>
              <w:t>年</w:t>
            </w:r>
            <w:r>
              <w:rPr>
                <w:rFonts w:hint="eastAsia" w:ascii="Times New Roman" w:eastAsia="宋体"/>
                <w:b/>
                <w:bCs/>
                <w:color w:val="auto"/>
                <w:highlight w:val="none"/>
                <w:lang w:val="en-US" w:eastAsia="zh-CN"/>
              </w:rPr>
              <w:t>1月-6月</w:t>
            </w:r>
            <w:r>
              <w:rPr>
                <w:b/>
                <w:bCs/>
                <w:color w:val="auto"/>
                <w:highlight w:val="none"/>
              </w:rPr>
              <w:t>淄川南外环断面监测数据</w:t>
            </w:r>
            <w:r>
              <w:rPr>
                <w:rFonts w:hint="default" w:ascii="Times New Roman" w:hAnsi="Times New Roman" w:eastAsia="宋体" w:cs="Times New Roman"/>
                <w:b/>
                <w:bCs w:val="0"/>
                <w:color w:val="auto"/>
              </w:rPr>
              <w:t>（月代表值）</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45"/>
              <w:gridCol w:w="1141"/>
              <w:gridCol w:w="1138"/>
              <w:gridCol w:w="1138"/>
              <w:gridCol w:w="1189"/>
              <w:gridCol w:w="1198"/>
              <w:gridCol w:w="1012"/>
            </w:tblGrid>
            <w:tr w14:paraId="0930F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9" w:type="pct"/>
                  <w:noWrap w:val="0"/>
                  <w:vAlign w:val="center"/>
                </w:tcPr>
                <w:p w14:paraId="69E3CA2B">
                  <w:pPr>
                    <w:pStyle w:val="80"/>
                    <w:spacing w:after="0"/>
                    <w:ind w:left="0" w:leftChars="0" w:firstLine="0" w:firstLineChars="0"/>
                    <w:jc w:val="center"/>
                    <w:rPr>
                      <w:color w:val="auto"/>
                      <w:sz w:val="18"/>
                      <w:szCs w:val="18"/>
                      <w:highlight w:val="none"/>
                    </w:rPr>
                  </w:pPr>
                  <w:r>
                    <w:rPr>
                      <w:color w:val="auto"/>
                      <w:sz w:val="18"/>
                      <w:szCs w:val="18"/>
                      <w:highlight w:val="none"/>
                    </w:rPr>
                    <w:t>时间</w:t>
                  </w:r>
                </w:p>
              </w:tc>
              <w:tc>
                <w:tcPr>
                  <w:tcW w:w="717" w:type="pct"/>
                  <w:noWrap w:val="0"/>
                  <w:vAlign w:val="center"/>
                </w:tcPr>
                <w:p w14:paraId="17EAC5AC">
                  <w:pPr>
                    <w:pStyle w:val="80"/>
                    <w:spacing w:after="0"/>
                    <w:ind w:left="0" w:leftChars="0" w:firstLine="0" w:firstLineChars="0"/>
                    <w:jc w:val="center"/>
                    <w:rPr>
                      <w:color w:val="auto"/>
                      <w:sz w:val="18"/>
                      <w:szCs w:val="18"/>
                      <w:highlight w:val="none"/>
                    </w:rPr>
                  </w:pPr>
                  <w:r>
                    <w:rPr>
                      <w:color w:val="auto"/>
                      <w:sz w:val="18"/>
                      <w:szCs w:val="18"/>
                      <w:highlight w:val="none"/>
                    </w:rPr>
                    <w:t>COD</w:t>
                  </w:r>
                </w:p>
                <w:p w14:paraId="23155EC2">
                  <w:pPr>
                    <w:jc w:val="center"/>
                    <w:rPr>
                      <w:color w:val="auto"/>
                      <w:sz w:val="18"/>
                      <w:szCs w:val="18"/>
                      <w:highlight w:val="none"/>
                    </w:rPr>
                  </w:pPr>
                  <w:r>
                    <w:rPr>
                      <w:color w:val="auto"/>
                      <w:sz w:val="18"/>
                      <w:szCs w:val="18"/>
                      <w:highlight w:val="none"/>
                    </w:rPr>
                    <w:t>（mg/L）</w:t>
                  </w:r>
                </w:p>
              </w:tc>
              <w:tc>
                <w:tcPr>
                  <w:tcW w:w="714" w:type="pct"/>
                  <w:noWrap w:val="0"/>
                  <w:vAlign w:val="center"/>
                </w:tcPr>
                <w:p w14:paraId="161A0357">
                  <w:pPr>
                    <w:pStyle w:val="80"/>
                    <w:spacing w:after="0"/>
                    <w:ind w:left="0" w:leftChars="0" w:firstLine="0" w:firstLineChars="0"/>
                    <w:jc w:val="center"/>
                    <w:rPr>
                      <w:color w:val="auto"/>
                      <w:sz w:val="18"/>
                      <w:szCs w:val="18"/>
                      <w:highlight w:val="none"/>
                    </w:rPr>
                  </w:pPr>
                  <w:r>
                    <w:rPr>
                      <w:color w:val="auto"/>
                      <w:sz w:val="18"/>
                      <w:szCs w:val="18"/>
                      <w:highlight w:val="none"/>
                    </w:rPr>
                    <w:t>氨氮（mg/L）</w:t>
                  </w:r>
                </w:p>
              </w:tc>
              <w:tc>
                <w:tcPr>
                  <w:tcW w:w="714" w:type="pct"/>
                  <w:noWrap w:val="0"/>
                  <w:vAlign w:val="center"/>
                </w:tcPr>
                <w:p w14:paraId="0AEDB8AE">
                  <w:pPr>
                    <w:pStyle w:val="80"/>
                    <w:spacing w:after="0"/>
                    <w:ind w:left="0" w:leftChars="0" w:firstLine="0" w:firstLineChars="0"/>
                    <w:jc w:val="center"/>
                    <w:rPr>
                      <w:color w:val="auto"/>
                      <w:sz w:val="18"/>
                      <w:szCs w:val="18"/>
                      <w:highlight w:val="none"/>
                    </w:rPr>
                  </w:pPr>
                  <w:r>
                    <w:rPr>
                      <w:color w:val="auto"/>
                      <w:sz w:val="18"/>
                      <w:szCs w:val="18"/>
                      <w:highlight w:val="none"/>
                    </w:rPr>
                    <w:t>高锰酸盐指数（mg/L））</w:t>
                  </w:r>
                </w:p>
              </w:tc>
              <w:tc>
                <w:tcPr>
                  <w:tcW w:w="746" w:type="pct"/>
                  <w:noWrap w:val="0"/>
                  <w:vAlign w:val="center"/>
                </w:tcPr>
                <w:p w14:paraId="70129D55">
                  <w:pPr>
                    <w:pStyle w:val="80"/>
                    <w:spacing w:after="0"/>
                    <w:ind w:left="0" w:leftChars="0" w:firstLine="0" w:firstLineChars="0"/>
                    <w:jc w:val="center"/>
                    <w:rPr>
                      <w:color w:val="auto"/>
                      <w:sz w:val="18"/>
                      <w:szCs w:val="18"/>
                      <w:highlight w:val="none"/>
                    </w:rPr>
                  </w:pPr>
                  <w:r>
                    <w:rPr>
                      <w:rFonts w:hint="eastAsia"/>
                      <w:color w:val="auto"/>
                      <w:sz w:val="18"/>
                      <w:szCs w:val="18"/>
                      <w:highlight w:val="none"/>
                    </w:rPr>
                    <w:t>溶解氧</w:t>
                  </w:r>
                  <w:r>
                    <w:rPr>
                      <w:color w:val="auto"/>
                      <w:sz w:val="18"/>
                      <w:szCs w:val="18"/>
                      <w:highlight w:val="none"/>
                    </w:rPr>
                    <w:t>（mg/L）</w:t>
                  </w:r>
                </w:p>
              </w:tc>
              <w:tc>
                <w:tcPr>
                  <w:tcW w:w="752" w:type="pct"/>
                  <w:noWrap w:val="0"/>
                  <w:vAlign w:val="center"/>
                </w:tcPr>
                <w:p w14:paraId="269246D9">
                  <w:pPr>
                    <w:pStyle w:val="80"/>
                    <w:spacing w:after="0"/>
                    <w:ind w:left="0" w:leftChars="0" w:firstLine="0" w:firstLineChars="0"/>
                    <w:jc w:val="center"/>
                    <w:rPr>
                      <w:color w:val="auto"/>
                      <w:sz w:val="18"/>
                      <w:szCs w:val="18"/>
                      <w:highlight w:val="none"/>
                    </w:rPr>
                  </w:pPr>
                  <w:r>
                    <w:rPr>
                      <w:rFonts w:hint="eastAsia"/>
                      <w:color w:val="auto"/>
                      <w:sz w:val="18"/>
                      <w:szCs w:val="18"/>
                      <w:highlight w:val="none"/>
                    </w:rPr>
                    <w:t>总磷</w:t>
                  </w:r>
                  <w:r>
                    <w:rPr>
                      <w:color w:val="auto"/>
                      <w:sz w:val="18"/>
                      <w:szCs w:val="18"/>
                      <w:highlight w:val="none"/>
                    </w:rPr>
                    <w:t>（mg/L）</w:t>
                  </w:r>
                </w:p>
              </w:tc>
              <w:tc>
                <w:tcPr>
                  <w:tcW w:w="635" w:type="pct"/>
                  <w:noWrap w:val="0"/>
                  <w:vAlign w:val="center"/>
                </w:tcPr>
                <w:p w14:paraId="31A50992">
                  <w:pPr>
                    <w:pStyle w:val="80"/>
                    <w:spacing w:after="0"/>
                    <w:ind w:left="0" w:leftChars="0" w:firstLine="0" w:firstLineChars="0"/>
                    <w:jc w:val="center"/>
                    <w:rPr>
                      <w:color w:val="auto"/>
                      <w:sz w:val="18"/>
                      <w:szCs w:val="18"/>
                      <w:highlight w:val="none"/>
                    </w:rPr>
                  </w:pPr>
                  <w:r>
                    <w:rPr>
                      <w:color w:val="auto"/>
                      <w:sz w:val="18"/>
                      <w:szCs w:val="18"/>
                      <w:highlight w:val="none"/>
                    </w:rPr>
                    <w:t>pH</w:t>
                  </w:r>
                </w:p>
              </w:tc>
            </w:tr>
            <w:tr w14:paraId="43677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9" w:type="pct"/>
                  <w:noWrap w:val="0"/>
                  <w:vAlign w:val="center"/>
                </w:tcPr>
                <w:p w14:paraId="730AE530">
                  <w:pPr>
                    <w:pStyle w:val="80"/>
                    <w:spacing w:after="0"/>
                    <w:ind w:left="0" w:leftChars="0" w:firstLine="0" w:firstLineChars="0"/>
                    <w:jc w:val="center"/>
                    <w:rPr>
                      <w:color w:val="auto"/>
                      <w:sz w:val="18"/>
                      <w:szCs w:val="18"/>
                      <w:highlight w:val="none"/>
                    </w:rPr>
                  </w:pPr>
                  <w:r>
                    <w:rPr>
                      <w:color w:val="auto"/>
                      <w:sz w:val="18"/>
                      <w:szCs w:val="18"/>
                      <w:highlight w:val="none"/>
                    </w:rPr>
                    <w:t>202</w:t>
                  </w:r>
                  <w:r>
                    <w:rPr>
                      <w:rFonts w:hint="eastAsia"/>
                      <w:color w:val="auto"/>
                      <w:sz w:val="18"/>
                      <w:szCs w:val="18"/>
                      <w:highlight w:val="none"/>
                      <w:lang w:val="en-US" w:eastAsia="zh-CN"/>
                    </w:rPr>
                    <w:t>4</w:t>
                  </w:r>
                  <w:r>
                    <w:rPr>
                      <w:color w:val="auto"/>
                      <w:sz w:val="18"/>
                      <w:szCs w:val="18"/>
                      <w:highlight w:val="none"/>
                    </w:rPr>
                    <w:t>.1</w:t>
                  </w:r>
                </w:p>
              </w:tc>
              <w:tc>
                <w:tcPr>
                  <w:tcW w:w="717" w:type="pct"/>
                  <w:noWrap w:val="0"/>
                  <w:vAlign w:val="center"/>
                </w:tcPr>
                <w:p w14:paraId="1735CC78">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6.08~14</w:t>
                  </w:r>
                </w:p>
              </w:tc>
              <w:tc>
                <w:tcPr>
                  <w:tcW w:w="714" w:type="pct"/>
                  <w:noWrap w:val="0"/>
                  <w:vAlign w:val="center"/>
                </w:tcPr>
                <w:p w14:paraId="3BC3ECAB">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1.33~9.5</w:t>
                  </w:r>
                </w:p>
              </w:tc>
              <w:tc>
                <w:tcPr>
                  <w:tcW w:w="714" w:type="pct"/>
                  <w:noWrap w:val="0"/>
                  <w:vAlign w:val="center"/>
                </w:tcPr>
                <w:p w14:paraId="17F9839C">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3.33~5.97</w:t>
                  </w:r>
                </w:p>
              </w:tc>
              <w:tc>
                <w:tcPr>
                  <w:tcW w:w="746" w:type="pct"/>
                  <w:noWrap w:val="0"/>
                  <w:vAlign w:val="center"/>
                </w:tcPr>
                <w:p w14:paraId="6859E607">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11~13.5</w:t>
                  </w:r>
                </w:p>
              </w:tc>
              <w:tc>
                <w:tcPr>
                  <w:tcW w:w="752" w:type="pct"/>
                  <w:noWrap w:val="0"/>
                  <w:vAlign w:val="center"/>
                </w:tcPr>
                <w:p w14:paraId="33C0841C">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0.0733~0.165</w:t>
                  </w:r>
                </w:p>
              </w:tc>
              <w:tc>
                <w:tcPr>
                  <w:tcW w:w="635" w:type="pct"/>
                  <w:noWrap w:val="0"/>
                  <w:vAlign w:val="center"/>
                </w:tcPr>
                <w:p w14:paraId="157A3668">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7.79~8.14</w:t>
                  </w:r>
                </w:p>
              </w:tc>
            </w:tr>
            <w:tr w14:paraId="758FD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9" w:type="pct"/>
                  <w:noWrap w:val="0"/>
                  <w:vAlign w:val="center"/>
                </w:tcPr>
                <w:p w14:paraId="0066D83F">
                  <w:pPr>
                    <w:pStyle w:val="80"/>
                    <w:spacing w:after="0"/>
                    <w:ind w:left="0" w:leftChars="0" w:firstLine="0" w:firstLineChars="0"/>
                    <w:jc w:val="center"/>
                    <w:rPr>
                      <w:color w:val="auto"/>
                      <w:sz w:val="18"/>
                      <w:szCs w:val="18"/>
                      <w:highlight w:val="none"/>
                    </w:rPr>
                  </w:pPr>
                  <w:r>
                    <w:rPr>
                      <w:color w:val="auto"/>
                      <w:sz w:val="18"/>
                      <w:szCs w:val="18"/>
                      <w:highlight w:val="none"/>
                    </w:rPr>
                    <w:t>202</w:t>
                  </w:r>
                  <w:r>
                    <w:rPr>
                      <w:rFonts w:hint="eastAsia"/>
                      <w:color w:val="auto"/>
                      <w:sz w:val="18"/>
                      <w:szCs w:val="18"/>
                      <w:highlight w:val="none"/>
                      <w:lang w:val="en-US" w:eastAsia="zh-CN"/>
                    </w:rPr>
                    <w:t>4</w:t>
                  </w:r>
                  <w:r>
                    <w:rPr>
                      <w:color w:val="auto"/>
                      <w:sz w:val="18"/>
                      <w:szCs w:val="18"/>
                      <w:highlight w:val="none"/>
                    </w:rPr>
                    <w:t>.2</w:t>
                  </w:r>
                </w:p>
              </w:tc>
              <w:tc>
                <w:tcPr>
                  <w:tcW w:w="717" w:type="pct"/>
                  <w:noWrap w:val="0"/>
                  <w:vAlign w:val="center"/>
                </w:tcPr>
                <w:p w14:paraId="42732858">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11.6~14.9</w:t>
                  </w:r>
                </w:p>
              </w:tc>
              <w:tc>
                <w:tcPr>
                  <w:tcW w:w="714" w:type="pct"/>
                  <w:noWrap w:val="0"/>
                  <w:vAlign w:val="center"/>
                </w:tcPr>
                <w:p w14:paraId="3BFC5D3C">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0.591~2.73</w:t>
                  </w:r>
                </w:p>
              </w:tc>
              <w:tc>
                <w:tcPr>
                  <w:tcW w:w="714" w:type="pct"/>
                  <w:noWrap w:val="0"/>
                  <w:vAlign w:val="center"/>
                </w:tcPr>
                <w:p w14:paraId="61A972DA">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3.28~4.56</w:t>
                  </w:r>
                </w:p>
              </w:tc>
              <w:tc>
                <w:tcPr>
                  <w:tcW w:w="746" w:type="pct"/>
                  <w:noWrap w:val="0"/>
                  <w:vAlign w:val="center"/>
                </w:tcPr>
                <w:p w14:paraId="1251F0FC">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9.35~14.4</w:t>
                  </w:r>
                </w:p>
              </w:tc>
              <w:tc>
                <w:tcPr>
                  <w:tcW w:w="752" w:type="pct"/>
                  <w:noWrap w:val="0"/>
                  <w:vAlign w:val="center"/>
                </w:tcPr>
                <w:p w14:paraId="1061ECA5">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0.648~0.0871</w:t>
                  </w:r>
                </w:p>
              </w:tc>
              <w:tc>
                <w:tcPr>
                  <w:tcW w:w="635" w:type="pct"/>
                  <w:noWrap w:val="0"/>
                  <w:vAlign w:val="center"/>
                </w:tcPr>
                <w:p w14:paraId="66CBC9C0">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7.95~8.26</w:t>
                  </w:r>
                </w:p>
              </w:tc>
            </w:tr>
            <w:tr w14:paraId="63F7E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9" w:type="pct"/>
                  <w:noWrap w:val="0"/>
                  <w:vAlign w:val="center"/>
                </w:tcPr>
                <w:p w14:paraId="47F1D061">
                  <w:pPr>
                    <w:pStyle w:val="80"/>
                    <w:spacing w:after="0"/>
                    <w:ind w:left="0" w:leftChars="0" w:firstLine="0" w:firstLineChars="0"/>
                    <w:jc w:val="center"/>
                    <w:rPr>
                      <w:color w:val="auto"/>
                      <w:sz w:val="18"/>
                      <w:szCs w:val="18"/>
                      <w:highlight w:val="none"/>
                    </w:rPr>
                  </w:pPr>
                  <w:r>
                    <w:rPr>
                      <w:color w:val="auto"/>
                      <w:sz w:val="18"/>
                      <w:szCs w:val="18"/>
                      <w:highlight w:val="none"/>
                    </w:rPr>
                    <w:t>202</w:t>
                  </w:r>
                  <w:r>
                    <w:rPr>
                      <w:rFonts w:hint="eastAsia"/>
                      <w:color w:val="auto"/>
                      <w:sz w:val="18"/>
                      <w:szCs w:val="18"/>
                      <w:highlight w:val="none"/>
                      <w:lang w:val="en-US" w:eastAsia="zh-CN"/>
                    </w:rPr>
                    <w:t>4</w:t>
                  </w:r>
                  <w:r>
                    <w:rPr>
                      <w:color w:val="auto"/>
                      <w:sz w:val="18"/>
                      <w:szCs w:val="18"/>
                      <w:highlight w:val="none"/>
                    </w:rPr>
                    <w:t>.3</w:t>
                  </w:r>
                </w:p>
              </w:tc>
              <w:tc>
                <w:tcPr>
                  <w:tcW w:w="717" w:type="pct"/>
                  <w:noWrap w:val="0"/>
                  <w:vAlign w:val="center"/>
                </w:tcPr>
                <w:p w14:paraId="7049A851">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11.8~21</w:t>
                  </w:r>
                </w:p>
              </w:tc>
              <w:tc>
                <w:tcPr>
                  <w:tcW w:w="714" w:type="pct"/>
                  <w:noWrap w:val="0"/>
                  <w:vAlign w:val="center"/>
                </w:tcPr>
                <w:p w14:paraId="0D9655BB">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0.67~5.29</w:t>
                  </w:r>
                </w:p>
              </w:tc>
              <w:tc>
                <w:tcPr>
                  <w:tcW w:w="714" w:type="pct"/>
                  <w:noWrap w:val="0"/>
                  <w:vAlign w:val="center"/>
                </w:tcPr>
                <w:p w14:paraId="23DD85FE">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3.87~6.84</w:t>
                  </w:r>
                </w:p>
              </w:tc>
              <w:tc>
                <w:tcPr>
                  <w:tcW w:w="746" w:type="pct"/>
                  <w:noWrap w:val="0"/>
                  <w:vAlign w:val="center"/>
                </w:tcPr>
                <w:p w14:paraId="3D4D2188">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5.72~13</w:t>
                  </w:r>
                </w:p>
              </w:tc>
              <w:tc>
                <w:tcPr>
                  <w:tcW w:w="752" w:type="pct"/>
                  <w:noWrap w:val="0"/>
                  <w:vAlign w:val="center"/>
                </w:tcPr>
                <w:p w14:paraId="65BC375C">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0.0628~0.145</w:t>
                  </w:r>
                </w:p>
              </w:tc>
              <w:tc>
                <w:tcPr>
                  <w:tcW w:w="635" w:type="pct"/>
                  <w:noWrap w:val="0"/>
                  <w:vAlign w:val="center"/>
                </w:tcPr>
                <w:p w14:paraId="36F657D8">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7.68~8.13</w:t>
                  </w:r>
                </w:p>
              </w:tc>
            </w:tr>
            <w:tr w14:paraId="6C35A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9" w:type="pct"/>
                  <w:noWrap w:val="0"/>
                  <w:vAlign w:val="center"/>
                </w:tcPr>
                <w:p w14:paraId="087F819F">
                  <w:pPr>
                    <w:pStyle w:val="80"/>
                    <w:spacing w:after="0"/>
                    <w:ind w:left="0" w:leftChars="0" w:firstLine="0" w:firstLineChars="0"/>
                    <w:jc w:val="center"/>
                    <w:rPr>
                      <w:color w:val="auto"/>
                      <w:sz w:val="18"/>
                      <w:szCs w:val="18"/>
                      <w:highlight w:val="none"/>
                    </w:rPr>
                  </w:pPr>
                  <w:r>
                    <w:rPr>
                      <w:color w:val="auto"/>
                      <w:sz w:val="18"/>
                      <w:szCs w:val="18"/>
                      <w:highlight w:val="none"/>
                    </w:rPr>
                    <w:t>202</w:t>
                  </w:r>
                  <w:r>
                    <w:rPr>
                      <w:rFonts w:hint="eastAsia"/>
                      <w:color w:val="auto"/>
                      <w:sz w:val="18"/>
                      <w:szCs w:val="18"/>
                      <w:highlight w:val="none"/>
                      <w:lang w:val="en-US" w:eastAsia="zh-CN"/>
                    </w:rPr>
                    <w:t>4</w:t>
                  </w:r>
                  <w:r>
                    <w:rPr>
                      <w:color w:val="auto"/>
                      <w:sz w:val="18"/>
                      <w:szCs w:val="18"/>
                      <w:highlight w:val="none"/>
                    </w:rPr>
                    <w:t>.4</w:t>
                  </w:r>
                </w:p>
              </w:tc>
              <w:tc>
                <w:tcPr>
                  <w:tcW w:w="717" w:type="pct"/>
                  <w:noWrap w:val="0"/>
                  <w:vAlign w:val="center"/>
                </w:tcPr>
                <w:p w14:paraId="333BDE9A">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13.2~21</w:t>
                  </w:r>
                </w:p>
              </w:tc>
              <w:tc>
                <w:tcPr>
                  <w:tcW w:w="714" w:type="pct"/>
                  <w:noWrap w:val="0"/>
                  <w:vAlign w:val="center"/>
                </w:tcPr>
                <w:p w14:paraId="0E755AB2">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1.69~11.6</w:t>
                  </w:r>
                </w:p>
              </w:tc>
              <w:tc>
                <w:tcPr>
                  <w:tcW w:w="714" w:type="pct"/>
                  <w:noWrap w:val="0"/>
                  <w:vAlign w:val="center"/>
                </w:tcPr>
                <w:p w14:paraId="354267A4">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5.59~7.23</w:t>
                  </w:r>
                </w:p>
              </w:tc>
              <w:tc>
                <w:tcPr>
                  <w:tcW w:w="746" w:type="pct"/>
                  <w:noWrap w:val="0"/>
                  <w:vAlign w:val="center"/>
                </w:tcPr>
                <w:p w14:paraId="703415E4">
                  <w:pPr>
                    <w:pStyle w:val="80"/>
                    <w:spacing w:after="0"/>
                    <w:ind w:left="0" w:leftChars="0" w:firstLine="0" w:firstLineChars="0"/>
                    <w:jc w:val="center"/>
                    <w:rPr>
                      <w:color w:val="auto"/>
                      <w:sz w:val="18"/>
                      <w:szCs w:val="18"/>
                      <w:highlight w:val="none"/>
                    </w:rPr>
                  </w:pPr>
                  <w:r>
                    <w:rPr>
                      <w:rFonts w:hint="eastAsia"/>
                      <w:color w:val="auto"/>
                      <w:sz w:val="18"/>
                      <w:szCs w:val="18"/>
                      <w:highlight w:val="none"/>
                      <w:lang w:val="en-US" w:eastAsia="zh-CN"/>
                    </w:rPr>
                    <w:t>4.37~12.3</w:t>
                  </w:r>
                </w:p>
              </w:tc>
              <w:tc>
                <w:tcPr>
                  <w:tcW w:w="752" w:type="pct"/>
                  <w:noWrap w:val="0"/>
                  <w:vAlign w:val="center"/>
                </w:tcPr>
                <w:p w14:paraId="25DA239C">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0.0842~0.172</w:t>
                  </w:r>
                </w:p>
              </w:tc>
              <w:tc>
                <w:tcPr>
                  <w:tcW w:w="635" w:type="pct"/>
                  <w:noWrap w:val="0"/>
                  <w:vAlign w:val="center"/>
                </w:tcPr>
                <w:p w14:paraId="73FACC53">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7.42~7.96</w:t>
                  </w:r>
                </w:p>
              </w:tc>
            </w:tr>
            <w:tr w14:paraId="6CA8D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9" w:type="pct"/>
                  <w:noWrap w:val="0"/>
                  <w:vAlign w:val="center"/>
                </w:tcPr>
                <w:p w14:paraId="6E659860">
                  <w:pPr>
                    <w:pStyle w:val="80"/>
                    <w:spacing w:after="0"/>
                    <w:ind w:left="0" w:leftChars="0" w:firstLine="0" w:firstLineChars="0"/>
                    <w:jc w:val="center"/>
                    <w:rPr>
                      <w:color w:val="auto"/>
                      <w:sz w:val="18"/>
                      <w:szCs w:val="18"/>
                      <w:highlight w:val="none"/>
                    </w:rPr>
                  </w:pPr>
                  <w:r>
                    <w:rPr>
                      <w:color w:val="auto"/>
                      <w:sz w:val="18"/>
                      <w:szCs w:val="18"/>
                      <w:highlight w:val="none"/>
                    </w:rPr>
                    <w:t>202</w:t>
                  </w:r>
                  <w:r>
                    <w:rPr>
                      <w:rFonts w:hint="eastAsia"/>
                      <w:color w:val="auto"/>
                      <w:sz w:val="18"/>
                      <w:szCs w:val="18"/>
                      <w:highlight w:val="none"/>
                      <w:lang w:val="en-US" w:eastAsia="zh-CN"/>
                    </w:rPr>
                    <w:t>4</w:t>
                  </w:r>
                  <w:r>
                    <w:rPr>
                      <w:color w:val="auto"/>
                      <w:sz w:val="18"/>
                      <w:szCs w:val="18"/>
                      <w:highlight w:val="none"/>
                    </w:rPr>
                    <w:t>.5</w:t>
                  </w:r>
                </w:p>
              </w:tc>
              <w:tc>
                <w:tcPr>
                  <w:tcW w:w="717" w:type="pct"/>
                  <w:noWrap w:val="0"/>
                  <w:vAlign w:val="center"/>
                </w:tcPr>
                <w:p w14:paraId="382475DA">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14.6~30.3</w:t>
                  </w:r>
                </w:p>
              </w:tc>
              <w:tc>
                <w:tcPr>
                  <w:tcW w:w="714" w:type="pct"/>
                  <w:noWrap w:val="0"/>
                  <w:vAlign w:val="center"/>
                </w:tcPr>
                <w:p w14:paraId="3BAA04B4">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0.702~6.31</w:t>
                  </w:r>
                </w:p>
              </w:tc>
              <w:tc>
                <w:tcPr>
                  <w:tcW w:w="714" w:type="pct"/>
                  <w:noWrap w:val="0"/>
                  <w:vAlign w:val="center"/>
                </w:tcPr>
                <w:p w14:paraId="75856E8C">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5.75~9.07</w:t>
                  </w:r>
                </w:p>
              </w:tc>
              <w:tc>
                <w:tcPr>
                  <w:tcW w:w="746" w:type="pct"/>
                  <w:noWrap w:val="0"/>
                  <w:vAlign w:val="center"/>
                </w:tcPr>
                <w:p w14:paraId="00BF12D7">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4.02~12.6</w:t>
                  </w:r>
                </w:p>
              </w:tc>
              <w:tc>
                <w:tcPr>
                  <w:tcW w:w="752" w:type="pct"/>
                  <w:noWrap w:val="0"/>
                  <w:vAlign w:val="center"/>
                </w:tcPr>
                <w:p w14:paraId="5E22D7AC">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0.0803~0.246</w:t>
                  </w:r>
                </w:p>
              </w:tc>
              <w:tc>
                <w:tcPr>
                  <w:tcW w:w="635" w:type="pct"/>
                  <w:noWrap w:val="0"/>
                  <w:vAlign w:val="center"/>
                </w:tcPr>
                <w:p w14:paraId="65B6E0AD">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7.51~8.05</w:t>
                  </w:r>
                </w:p>
              </w:tc>
            </w:tr>
            <w:tr w14:paraId="12683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9" w:type="pct"/>
                  <w:noWrap w:val="0"/>
                  <w:vAlign w:val="center"/>
                </w:tcPr>
                <w:p w14:paraId="64A629E8">
                  <w:pPr>
                    <w:pStyle w:val="80"/>
                    <w:spacing w:after="0"/>
                    <w:ind w:left="0" w:leftChars="0" w:firstLine="0" w:firstLineChars="0"/>
                    <w:jc w:val="center"/>
                    <w:rPr>
                      <w:color w:val="auto"/>
                      <w:sz w:val="18"/>
                      <w:szCs w:val="18"/>
                      <w:highlight w:val="none"/>
                    </w:rPr>
                  </w:pPr>
                  <w:r>
                    <w:rPr>
                      <w:color w:val="auto"/>
                      <w:sz w:val="18"/>
                      <w:szCs w:val="18"/>
                      <w:highlight w:val="none"/>
                    </w:rPr>
                    <w:t>202</w:t>
                  </w:r>
                  <w:r>
                    <w:rPr>
                      <w:rFonts w:hint="eastAsia"/>
                      <w:color w:val="auto"/>
                      <w:sz w:val="18"/>
                      <w:szCs w:val="18"/>
                      <w:highlight w:val="none"/>
                      <w:lang w:val="en-US" w:eastAsia="zh-CN"/>
                    </w:rPr>
                    <w:t>4</w:t>
                  </w:r>
                  <w:r>
                    <w:rPr>
                      <w:color w:val="auto"/>
                      <w:sz w:val="18"/>
                      <w:szCs w:val="18"/>
                      <w:highlight w:val="none"/>
                    </w:rPr>
                    <w:t>.6</w:t>
                  </w:r>
                </w:p>
              </w:tc>
              <w:tc>
                <w:tcPr>
                  <w:tcW w:w="717" w:type="pct"/>
                  <w:noWrap w:val="0"/>
                  <w:vAlign w:val="center"/>
                </w:tcPr>
                <w:p w14:paraId="1BF568CE">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16.3~23.6</w:t>
                  </w:r>
                </w:p>
              </w:tc>
              <w:tc>
                <w:tcPr>
                  <w:tcW w:w="714" w:type="pct"/>
                  <w:noWrap w:val="0"/>
                  <w:vAlign w:val="center"/>
                </w:tcPr>
                <w:p w14:paraId="0D92FF6B">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1.64~5.75</w:t>
                  </w:r>
                </w:p>
              </w:tc>
              <w:tc>
                <w:tcPr>
                  <w:tcW w:w="714" w:type="pct"/>
                  <w:noWrap w:val="0"/>
                  <w:vAlign w:val="center"/>
                </w:tcPr>
                <w:p w14:paraId="1FACC090">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6.73~8.85</w:t>
                  </w:r>
                </w:p>
              </w:tc>
              <w:tc>
                <w:tcPr>
                  <w:tcW w:w="746" w:type="pct"/>
                  <w:noWrap w:val="0"/>
                  <w:vAlign w:val="center"/>
                </w:tcPr>
                <w:p w14:paraId="03261C36">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4.33~13.8</w:t>
                  </w:r>
                </w:p>
              </w:tc>
              <w:tc>
                <w:tcPr>
                  <w:tcW w:w="752" w:type="pct"/>
                  <w:noWrap w:val="0"/>
                  <w:vAlign w:val="center"/>
                </w:tcPr>
                <w:p w14:paraId="3BF74788">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0.0831~0.115</w:t>
                  </w:r>
                </w:p>
              </w:tc>
              <w:tc>
                <w:tcPr>
                  <w:tcW w:w="635" w:type="pct"/>
                  <w:noWrap w:val="0"/>
                  <w:vAlign w:val="center"/>
                </w:tcPr>
                <w:p w14:paraId="2C67FBB4">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7.62~8.13</w:t>
                  </w:r>
                </w:p>
              </w:tc>
            </w:tr>
            <w:tr w14:paraId="6B73A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9" w:type="pct"/>
                  <w:noWrap w:val="0"/>
                  <w:vAlign w:val="center"/>
                </w:tcPr>
                <w:p w14:paraId="7D39ADB2">
                  <w:pPr>
                    <w:pStyle w:val="80"/>
                    <w:spacing w:after="0"/>
                    <w:ind w:left="0" w:leftChars="0" w:firstLine="0" w:firstLineChars="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标准值</w:t>
                  </w:r>
                </w:p>
              </w:tc>
              <w:tc>
                <w:tcPr>
                  <w:tcW w:w="717" w:type="pct"/>
                  <w:noWrap w:val="0"/>
                  <w:vAlign w:val="center"/>
                </w:tcPr>
                <w:p w14:paraId="5BC41FC6">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≤40</w:t>
                  </w:r>
                </w:p>
              </w:tc>
              <w:tc>
                <w:tcPr>
                  <w:tcW w:w="714" w:type="pct"/>
                  <w:noWrap w:val="0"/>
                  <w:vAlign w:val="center"/>
                </w:tcPr>
                <w:p w14:paraId="7F2C482F">
                  <w:pPr>
                    <w:pStyle w:val="80"/>
                    <w:spacing w:after="0"/>
                    <w:ind w:left="0" w:leftChars="0" w:firstLine="0" w:firstLineChars="0"/>
                    <w:jc w:val="center"/>
                    <w:rPr>
                      <w:rFonts w:hint="default"/>
                      <w:color w:val="auto"/>
                      <w:sz w:val="18"/>
                      <w:szCs w:val="18"/>
                      <w:highlight w:val="none"/>
                      <w:lang w:val="en-US"/>
                    </w:rPr>
                  </w:pPr>
                  <w:r>
                    <w:rPr>
                      <w:rFonts w:hint="eastAsia"/>
                      <w:color w:val="auto"/>
                      <w:sz w:val="18"/>
                      <w:szCs w:val="18"/>
                      <w:highlight w:val="none"/>
                      <w:lang w:val="en-US" w:eastAsia="zh-CN"/>
                    </w:rPr>
                    <w:t>≤2</w:t>
                  </w:r>
                </w:p>
              </w:tc>
              <w:tc>
                <w:tcPr>
                  <w:tcW w:w="714" w:type="pct"/>
                  <w:noWrap w:val="0"/>
                  <w:vAlign w:val="center"/>
                </w:tcPr>
                <w:p w14:paraId="6E3B5EB8">
                  <w:pPr>
                    <w:pStyle w:val="80"/>
                    <w:spacing w:after="0"/>
                    <w:ind w:left="0" w:leftChars="0" w:firstLine="0" w:firstLineChars="0"/>
                    <w:jc w:val="center"/>
                    <w:rPr>
                      <w:rFonts w:hint="default"/>
                      <w:color w:val="auto"/>
                      <w:sz w:val="18"/>
                      <w:szCs w:val="18"/>
                      <w:highlight w:val="none"/>
                      <w:lang w:val="en-US"/>
                    </w:rPr>
                  </w:pPr>
                  <w:r>
                    <w:rPr>
                      <w:rFonts w:hint="eastAsia"/>
                      <w:color w:val="auto"/>
                      <w:sz w:val="18"/>
                      <w:szCs w:val="18"/>
                      <w:highlight w:val="none"/>
                      <w:lang w:val="en-US" w:eastAsia="zh-CN"/>
                    </w:rPr>
                    <w:t>≤15</w:t>
                  </w:r>
                </w:p>
              </w:tc>
              <w:tc>
                <w:tcPr>
                  <w:tcW w:w="746" w:type="pct"/>
                  <w:noWrap w:val="0"/>
                  <w:vAlign w:val="center"/>
                </w:tcPr>
                <w:p w14:paraId="3718D2C0">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≥2</w:t>
                  </w:r>
                </w:p>
              </w:tc>
              <w:tc>
                <w:tcPr>
                  <w:tcW w:w="752" w:type="pct"/>
                  <w:noWrap w:val="0"/>
                  <w:vAlign w:val="center"/>
                </w:tcPr>
                <w:p w14:paraId="7CFB1AAB">
                  <w:pPr>
                    <w:pStyle w:val="80"/>
                    <w:spacing w:after="0"/>
                    <w:ind w:left="0" w:leftChars="0" w:firstLine="0" w:firstLineChars="0"/>
                    <w:jc w:val="center"/>
                    <w:rPr>
                      <w:rFonts w:hint="default"/>
                      <w:color w:val="auto"/>
                      <w:sz w:val="18"/>
                      <w:szCs w:val="18"/>
                      <w:highlight w:val="none"/>
                      <w:lang w:val="en-US"/>
                    </w:rPr>
                  </w:pPr>
                  <w:r>
                    <w:rPr>
                      <w:rFonts w:hint="eastAsia"/>
                      <w:color w:val="auto"/>
                      <w:sz w:val="18"/>
                      <w:szCs w:val="18"/>
                      <w:highlight w:val="none"/>
                      <w:lang w:val="en-US" w:eastAsia="zh-CN"/>
                    </w:rPr>
                    <w:t>≤0.4</w:t>
                  </w:r>
                </w:p>
              </w:tc>
              <w:tc>
                <w:tcPr>
                  <w:tcW w:w="635" w:type="pct"/>
                  <w:noWrap w:val="0"/>
                  <w:vAlign w:val="center"/>
                </w:tcPr>
                <w:p w14:paraId="06A204E9">
                  <w:pPr>
                    <w:pStyle w:val="80"/>
                    <w:spacing w:after="0"/>
                    <w:ind w:left="0" w:leftChars="0" w:firstLine="0" w:firstLine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6~9</w:t>
                  </w:r>
                </w:p>
              </w:tc>
            </w:tr>
          </w:tbl>
          <w:p w14:paraId="4A4BD489">
            <w:pPr>
              <w:tabs>
                <w:tab w:val="left" w:pos="600"/>
              </w:tabs>
              <w:adjustRightInd w:val="0"/>
              <w:snapToGrid w:val="0"/>
              <w:spacing w:line="360" w:lineRule="auto"/>
              <w:ind w:firstLine="420" w:firstLineChars="200"/>
              <w:rPr>
                <w:rFonts w:hint="default" w:eastAsia="宋体"/>
                <w:bCs/>
                <w:color w:val="auto"/>
                <w:highlight w:val="none"/>
                <w:lang w:val="en-US" w:eastAsia="zh-CN" w:bidi="ar"/>
              </w:rPr>
            </w:pPr>
            <w:r>
              <w:rPr>
                <w:rFonts w:hint="eastAsia"/>
                <w:bCs/>
                <w:color w:val="auto"/>
                <w:highlight w:val="none"/>
                <w:lang w:val="en-US" w:eastAsia="zh-CN" w:bidi="ar"/>
              </w:rPr>
              <w:t>备注：数据来源于淄博市环境自动监测监控系统</w:t>
            </w:r>
          </w:p>
          <w:p w14:paraId="1BA08C47">
            <w:pPr>
              <w:spacing w:line="360" w:lineRule="auto"/>
              <w:ind w:firstLine="420" w:firstLineChars="200"/>
              <w:rPr>
                <w:rFonts w:hint="default" w:ascii="Times New Roman" w:hAnsi="Times New Roman" w:cs="Times New Roman"/>
                <w:color w:val="auto"/>
              </w:rPr>
            </w:pPr>
            <w:r>
              <w:rPr>
                <w:rFonts w:hint="eastAsia"/>
                <w:bCs/>
                <w:color w:val="auto"/>
                <w:highlight w:val="none"/>
                <w:lang w:bidi="ar"/>
              </w:rPr>
              <w:t>根据断面例行监测数据，孝妇河南外环断面各例行监测因子浓度除氨氮外均能满足《地表水环境质量标准》(GB3838-2002)中的V类标准要求，氦氮超标主要与孝妇河河道治理工程有关</w:t>
            </w:r>
            <w:r>
              <w:rPr>
                <w:rFonts w:hint="default" w:ascii="Times New Roman" w:hAnsi="Times New Roman" w:cs="Times New Roman"/>
                <w:color w:val="auto"/>
              </w:rPr>
              <w:t>。</w:t>
            </w:r>
          </w:p>
          <w:p w14:paraId="3DE19048">
            <w:pPr>
              <w:spacing w:line="360" w:lineRule="auto"/>
              <w:ind w:firstLine="420" w:firstLineChars="200"/>
              <w:rPr>
                <w:rFonts w:hint="default" w:ascii="Times New Roman" w:hAnsi="Times New Roman" w:eastAsia="黑体" w:cs="Times New Roman"/>
                <w:color w:val="auto"/>
                <w:szCs w:val="21"/>
              </w:rPr>
            </w:pPr>
            <w:r>
              <w:rPr>
                <w:rFonts w:hint="default" w:ascii="Times New Roman" w:hAnsi="Times New Roman" w:eastAsia="黑体" w:cs="Times New Roman"/>
                <w:color w:val="auto"/>
                <w:szCs w:val="21"/>
              </w:rPr>
              <w:t>3、声环境质量</w:t>
            </w:r>
          </w:p>
          <w:p w14:paraId="3BD89992">
            <w:pPr>
              <w:widowControl/>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经现场勘查，项目区周围为</w:t>
            </w:r>
            <w:r>
              <w:rPr>
                <w:rFonts w:hint="eastAsia" w:cs="Times New Roman"/>
                <w:color w:val="auto"/>
                <w:szCs w:val="21"/>
                <w:lang w:val="en-US" w:eastAsia="zh-CN"/>
              </w:rPr>
              <w:t>企业</w:t>
            </w:r>
            <w:r>
              <w:rPr>
                <w:rFonts w:hint="default" w:ascii="Times New Roman" w:hAnsi="Times New Roman" w:cs="Times New Roman"/>
                <w:color w:val="auto"/>
                <w:szCs w:val="21"/>
                <w:lang w:val="en-US" w:eastAsia="zh-CN"/>
              </w:rPr>
              <w:t>和道路</w:t>
            </w:r>
            <w:r>
              <w:rPr>
                <w:rFonts w:hint="default" w:ascii="Times New Roman" w:hAnsi="Times New Roman" w:cs="Times New Roman"/>
                <w:color w:val="auto"/>
                <w:szCs w:val="21"/>
              </w:rPr>
              <w:t>，厂界外周边50米范围内无声环境保护目标。项目所在区域声环境质量满足</w:t>
            </w:r>
            <w:r>
              <w:rPr>
                <w:rFonts w:hint="default" w:ascii="Times New Roman" w:hAnsi="Times New Roman" w:cs="Times New Roman"/>
                <w:color w:val="auto"/>
              </w:rPr>
              <w:t>《声环境质量标准》（GB3096-2008）中的2类标准。</w:t>
            </w:r>
          </w:p>
          <w:p w14:paraId="74F47910">
            <w:pPr>
              <w:widowControl/>
              <w:spacing w:line="360" w:lineRule="auto"/>
              <w:ind w:firstLine="420" w:firstLineChars="200"/>
              <w:rPr>
                <w:rFonts w:hint="default" w:ascii="Times New Roman" w:hAnsi="Times New Roman" w:eastAsia="黑体" w:cs="Times New Roman"/>
                <w:color w:val="auto"/>
                <w:szCs w:val="21"/>
              </w:rPr>
            </w:pPr>
            <w:r>
              <w:rPr>
                <w:rFonts w:hint="default" w:ascii="Times New Roman" w:hAnsi="Times New Roman" w:eastAsia="黑体" w:cs="Times New Roman"/>
                <w:color w:val="auto"/>
                <w:szCs w:val="21"/>
              </w:rPr>
              <w:t>4、地下水、土壤</w:t>
            </w:r>
          </w:p>
          <w:p w14:paraId="2A2D2366">
            <w:pPr>
              <w:spacing w:line="360" w:lineRule="auto"/>
              <w:ind w:firstLine="420" w:firstLineChars="200"/>
              <w:rPr>
                <w:rFonts w:hint="default" w:ascii="Times New Roman" w:hAnsi="Times New Roman" w:cs="Times New Roman"/>
                <w:color w:val="auto"/>
                <w:szCs w:val="21"/>
                <w:highlight w:val="none"/>
              </w:rPr>
            </w:pPr>
            <w:r>
              <w:rPr>
                <w:rFonts w:hint="eastAsia"/>
                <w:color w:val="auto"/>
                <w:lang w:eastAsia="zh-CN"/>
              </w:rPr>
              <w:t>根据</w:t>
            </w:r>
            <w:r>
              <w:rPr>
                <w:color w:val="auto"/>
              </w:rPr>
              <w:t>现场勘查，项目厂界外周边500米范围内无集中式饮用水水源和热水、矿泉水、温泉等特殊地下水</w:t>
            </w:r>
            <w:r>
              <w:rPr>
                <w:color w:val="auto"/>
                <w:highlight w:val="none"/>
              </w:rPr>
              <w:t>资源。</w:t>
            </w:r>
            <w:r>
              <w:rPr>
                <w:rFonts w:hint="eastAsia"/>
                <w:color w:val="auto"/>
                <w:sz w:val="21"/>
                <w:highlight w:val="none"/>
                <w:lang w:eastAsia="zh-CN"/>
              </w:rPr>
              <w:t>一期项目</w:t>
            </w:r>
            <w:r>
              <w:rPr>
                <w:rFonts w:hint="eastAsia" w:ascii="Times New Roman" w:hAnsi="Times New Roman"/>
                <w:color w:val="auto"/>
                <w:sz w:val="21"/>
                <w:highlight w:val="none"/>
              </w:rPr>
              <w:t>主要污染途经的大气沉降，污染因子为颗粒物</w:t>
            </w:r>
            <w:r>
              <w:rPr>
                <w:rFonts w:hint="eastAsia" w:ascii="Times New Roman" w:hAnsi="Times New Roman"/>
                <w:color w:val="auto"/>
                <w:sz w:val="21"/>
                <w:highlight w:val="none"/>
                <w:lang w:eastAsia="zh-CN"/>
              </w:rPr>
              <w:t>、</w:t>
            </w:r>
            <w:r>
              <w:rPr>
                <w:rFonts w:hint="eastAsia" w:ascii="Times New Roman" w:hAnsi="Times New Roman"/>
                <w:color w:val="auto"/>
                <w:sz w:val="21"/>
                <w:highlight w:val="none"/>
                <w:lang w:val="en-US" w:eastAsia="zh-CN"/>
              </w:rPr>
              <w:t>SO</w:t>
            </w:r>
            <w:r>
              <w:rPr>
                <w:rFonts w:hint="eastAsia" w:ascii="Times New Roman" w:hAnsi="Times New Roman"/>
                <w:color w:val="auto"/>
                <w:sz w:val="21"/>
                <w:highlight w:val="none"/>
                <w:vertAlign w:val="subscript"/>
                <w:lang w:val="en-US" w:eastAsia="zh-CN"/>
              </w:rPr>
              <w:t>2</w:t>
            </w:r>
            <w:r>
              <w:rPr>
                <w:rFonts w:hint="eastAsia" w:ascii="Times New Roman" w:hAnsi="Times New Roman"/>
                <w:color w:val="auto"/>
                <w:sz w:val="21"/>
                <w:highlight w:val="none"/>
                <w:lang w:val="en-US" w:eastAsia="zh-CN"/>
              </w:rPr>
              <w:t>、NOx、氨气</w:t>
            </w:r>
            <w:r>
              <w:rPr>
                <w:rFonts w:hint="eastAsia" w:ascii="Times New Roman" w:hAnsi="Times New Roman"/>
                <w:color w:val="auto"/>
                <w:sz w:val="21"/>
                <w:highlight w:val="none"/>
              </w:rPr>
              <w:t>。在</w:t>
            </w:r>
            <w:r>
              <w:rPr>
                <w:rFonts w:hint="eastAsia"/>
                <w:color w:val="auto"/>
                <w:sz w:val="21"/>
                <w:highlight w:val="none"/>
                <w:lang w:eastAsia="zh-CN"/>
              </w:rPr>
              <w:t>一期项目</w:t>
            </w:r>
            <w:r>
              <w:rPr>
                <w:rFonts w:hint="eastAsia" w:ascii="Times New Roman" w:hAnsi="Times New Roman"/>
                <w:color w:val="auto"/>
                <w:sz w:val="21"/>
                <w:highlight w:val="none"/>
              </w:rPr>
              <w:t>采取污染治理和分区</w:t>
            </w:r>
            <w:r>
              <w:rPr>
                <w:rFonts w:hint="eastAsia" w:ascii="Times New Roman" w:hAnsi="Times New Roman"/>
                <w:color w:val="auto"/>
                <w:sz w:val="21"/>
                <w:highlight w:val="none"/>
                <w:lang w:eastAsia="zh-CN"/>
              </w:rPr>
              <w:t>防控措施后</w:t>
            </w:r>
            <w:r>
              <w:rPr>
                <w:rFonts w:hint="eastAsia" w:ascii="Times New Roman" w:hAnsi="Times New Roman"/>
                <w:color w:val="auto"/>
                <w:sz w:val="21"/>
                <w:highlight w:val="none"/>
              </w:rPr>
              <w:t>，营运期正常情况下几乎切断了垂直入渗和大气沉降的影响途径，</w:t>
            </w:r>
            <w:r>
              <w:rPr>
                <w:rFonts w:hint="eastAsia"/>
                <w:color w:val="auto"/>
                <w:sz w:val="21"/>
                <w:highlight w:val="none"/>
                <w:lang w:eastAsia="zh-CN"/>
              </w:rPr>
              <w:t>一期项目</w:t>
            </w:r>
            <w:r>
              <w:rPr>
                <w:rFonts w:hint="eastAsia" w:ascii="Times New Roman" w:hAnsi="Times New Roman"/>
                <w:color w:val="auto"/>
                <w:sz w:val="21"/>
                <w:highlight w:val="none"/>
              </w:rPr>
              <w:t>的建设对周围地下水和土壤影响较小，可不开展环境质量现状</w:t>
            </w:r>
            <w:r>
              <w:rPr>
                <w:rFonts w:hint="eastAsia" w:ascii="Times New Roman" w:hAnsi="Times New Roman"/>
                <w:color w:val="auto"/>
                <w:sz w:val="21"/>
                <w:highlight w:val="none"/>
                <w:lang w:val="en-US" w:eastAsia="zh-CN"/>
              </w:rPr>
              <w:t>调查</w:t>
            </w:r>
            <w:r>
              <w:rPr>
                <w:rFonts w:hint="default" w:ascii="Times New Roman" w:hAnsi="Times New Roman" w:cs="Times New Roman"/>
                <w:color w:val="auto"/>
                <w:highlight w:val="none"/>
              </w:rPr>
              <w:t>。</w:t>
            </w:r>
          </w:p>
          <w:p w14:paraId="3909D8D8">
            <w:pPr>
              <w:widowControl/>
              <w:spacing w:line="360" w:lineRule="auto"/>
              <w:ind w:firstLine="420" w:firstLineChars="200"/>
              <w:rPr>
                <w:rFonts w:hint="default" w:ascii="Times New Roman" w:hAnsi="Times New Roman" w:eastAsia="黑体" w:cs="Times New Roman"/>
                <w:color w:val="auto"/>
                <w:szCs w:val="21"/>
                <w:highlight w:val="none"/>
              </w:rPr>
            </w:pPr>
            <w:r>
              <w:rPr>
                <w:rFonts w:hint="default" w:ascii="Times New Roman" w:hAnsi="Times New Roman" w:eastAsia="黑体" w:cs="Times New Roman"/>
                <w:color w:val="auto"/>
                <w:szCs w:val="21"/>
                <w:highlight w:val="none"/>
              </w:rPr>
              <w:t>5、生态环境</w:t>
            </w:r>
          </w:p>
          <w:p w14:paraId="032613E1">
            <w:pPr>
              <w:adjustRightInd w:val="0"/>
              <w:snapToGrid w:val="0"/>
              <w:spacing w:line="360" w:lineRule="auto"/>
              <w:ind w:firstLine="420" w:firstLineChars="200"/>
              <w:rPr>
                <w:rFonts w:hint="default" w:ascii="Times New Roman" w:hAnsi="Times New Roman" w:cs="Times New Roman"/>
                <w:color w:val="auto"/>
                <w:highlight w:val="none"/>
              </w:rPr>
            </w:pPr>
            <w:r>
              <w:rPr>
                <w:rFonts w:hint="eastAsia" w:cs="Times New Roman"/>
                <w:color w:val="auto"/>
                <w:highlight w:val="none"/>
                <w:lang w:eastAsia="zh-CN"/>
              </w:rPr>
              <w:t>一期项目</w:t>
            </w:r>
            <w:r>
              <w:rPr>
                <w:rFonts w:hint="eastAsia" w:cs="Times New Roman"/>
                <w:color w:val="auto"/>
                <w:highlight w:val="none"/>
                <w:lang w:val="en-US" w:eastAsia="zh-CN"/>
              </w:rPr>
              <w:t>占地为工业用地，</w:t>
            </w:r>
            <w:r>
              <w:rPr>
                <w:rFonts w:hint="default" w:ascii="Times New Roman" w:hAnsi="Times New Roman" w:cs="Times New Roman"/>
                <w:color w:val="auto"/>
                <w:highlight w:val="none"/>
              </w:rPr>
              <w:t>用地范围内无生态环境保护目标，无需进行生态现状调查。</w:t>
            </w:r>
          </w:p>
          <w:p w14:paraId="3F31405D">
            <w:pPr>
              <w:widowControl/>
              <w:spacing w:line="360" w:lineRule="auto"/>
              <w:ind w:firstLine="420" w:firstLineChars="200"/>
              <w:rPr>
                <w:rFonts w:hint="default" w:ascii="Times New Roman" w:hAnsi="Times New Roman" w:eastAsia="黑体" w:cs="Times New Roman"/>
                <w:color w:val="auto"/>
                <w:szCs w:val="21"/>
                <w:highlight w:val="none"/>
              </w:rPr>
            </w:pPr>
            <w:r>
              <w:rPr>
                <w:rFonts w:hint="default" w:ascii="Times New Roman" w:hAnsi="Times New Roman" w:eastAsia="黑体" w:cs="Times New Roman"/>
                <w:color w:val="auto"/>
                <w:szCs w:val="21"/>
                <w:highlight w:val="none"/>
              </w:rPr>
              <w:t>6、电磁辐射</w:t>
            </w:r>
          </w:p>
          <w:p w14:paraId="18F80996">
            <w:pPr>
              <w:keepNext w:val="0"/>
              <w:keepLines w:val="0"/>
              <w:widowControl/>
              <w:suppressLineNumbers w:val="0"/>
              <w:spacing w:line="360" w:lineRule="auto"/>
              <w:ind w:firstLine="420" w:firstLineChars="200"/>
              <w:jc w:val="left"/>
              <w:rPr>
                <w:rFonts w:hint="eastAsia" w:ascii="Times New Roman" w:hAnsi="Times New Roman" w:eastAsia="宋体" w:cs="Times New Roman"/>
                <w:color w:val="FF0000"/>
                <w:lang w:eastAsia="zh-CN"/>
              </w:rPr>
            </w:pPr>
            <w:r>
              <w:rPr>
                <w:rFonts w:hint="default" w:ascii="Times New Roman" w:hAnsi="Times New Roman" w:cs="Times New Roman"/>
                <w:color w:val="auto"/>
                <w:szCs w:val="21"/>
                <w:highlight w:val="none"/>
              </w:rPr>
              <w:t>项目不属于新建或改建、扩建广播电台、差转台、电视塔台、卫星地球上行站、雷达等电磁辐射类项目，无需对电磁辐射现状开展监测与评价。</w:t>
            </w:r>
          </w:p>
        </w:tc>
      </w:tr>
      <w:tr w14:paraId="4AF15B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8" w:hRule="atLeast"/>
          <w:jc w:val="center"/>
        </w:trPr>
        <w:tc>
          <w:tcPr>
            <w:tcW w:w="800" w:type="dxa"/>
            <w:vAlign w:val="center"/>
          </w:tcPr>
          <w:p w14:paraId="21870981">
            <w:pPr>
              <w:adjustRightInd w:val="0"/>
              <w:snapToGrid w:val="0"/>
              <w:spacing w:line="420" w:lineRule="exact"/>
              <w:jc w:val="center"/>
              <w:rPr>
                <w:rFonts w:hint="default" w:ascii="Times New Roman" w:hAnsi="Times New Roman" w:cs="Times New Roman"/>
                <w:color w:val="auto"/>
                <w:kern w:val="0"/>
              </w:rPr>
            </w:pPr>
            <w:r>
              <w:rPr>
                <w:rFonts w:hint="default" w:ascii="Times New Roman" w:hAnsi="Times New Roman" w:cs="Times New Roman"/>
                <w:color w:val="auto"/>
                <w:kern w:val="0"/>
              </w:rPr>
              <w:t>环境</w:t>
            </w:r>
          </w:p>
          <w:p w14:paraId="5C48C50B">
            <w:pPr>
              <w:adjustRightInd w:val="0"/>
              <w:snapToGrid w:val="0"/>
              <w:spacing w:line="420" w:lineRule="exact"/>
              <w:jc w:val="center"/>
              <w:rPr>
                <w:rFonts w:hint="default" w:ascii="Times New Roman" w:hAnsi="Times New Roman" w:cs="Times New Roman"/>
                <w:color w:val="auto"/>
                <w:kern w:val="0"/>
              </w:rPr>
            </w:pPr>
            <w:r>
              <w:rPr>
                <w:rFonts w:hint="default" w:ascii="Times New Roman" w:hAnsi="Times New Roman" w:cs="Times New Roman"/>
                <w:color w:val="auto"/>
                <w:kern w:val="0"/>
              </w:rPr>
              <w:t>保护</w:t>
            </w:r>
          </w:p>
          <w:p w14:paraId="3EA3B3EA">
            <w:pPr>
              <w:adjustRightInd w:val="0"/>
              <w:snapToGrid w:val="0"/>
              <w:spacing w:line="420" w:lineRule="exact"/>
              <w:jc w:val="center"/>
              <w:rPr>
                <w:rFonts w:hint="default" w:ascii="Times New Roman" w:hAnsi="Times New Roman" w:cs="Times New Roman"/>
                <w:color w:val="FF0000"/>
                <w:kern w:val="0"/>
              </w:rPr>
            </w:pPr>
            <w:r>
              <w:rPr>
                <w:rFonts w:hint="default" w:ascii="Times New Roman" w:hAnsi="Times New Roman" w:cs="Times New Roman"/>
                <w:color w:val="auto"/>
                <w:kern w:val="0"/>
              </w:rPr>
              <w:t>目标</w:t>
            </w:r>
          </w:p>
        </w:tc>
        <w:tc>
          <w:tcPr>
            <w:tcW w:w="8190" w:type="dxa"/>
            <w:vAlign w:val="center"/>
          </w:tcPr>
          <w:p w14:paraId="5895E3BB">
            <w:pPr>
              <w:spacing w:line="420" w:lineRule="exact"/>
              <w:ind w:firstLine="420" w:firstLineChars="200"/>
              <w:rPr>
                <w:rFonts w:hint="default" w:ascii="Times New Roman" w:hAnsi="Times New Roman" w:cs="Times New Roman"/>
                <w:color w:val="auto"/>
              </w:rPr>
            </w:pPr>
            <w:r>
              <w:rPr>
                <w:rFonts w:hint="eastAsia" w:cs="Times New Roman"/>
                <w:color w:val="auto"/>
                <w:lang w:eastAsia="zh-CN"/>
              </w:rPr>
              <w:t>项目</w:t>
            </w:r>
            <w:r>
              <w:rPr>
                <w:rFonts w:hint="default" w:ascii="Times New Roman" w:hAnsi="Times New Roman" w:cs="Times New Roman"/>
                <w:color w:val="auto"/>
              </w:rPr>
              <w:t>厂界外500米范围内无自然保护区、风景名胜区，存在</w:t>
            </w:r>
            <w:r>
              <w:rPr>
                <w:rFonts w:hint="eastAsia" w:cs="Times New Roman"/>
                <w:color w:val="auto"/>
                <w:lang w:val="en-US" w:eastAsia="zh-CN"/>
              </w:rPr>
              <w:t>1处</w:t>
            </w:r>
            <w:r>
              <w:rPr>
                <w:rFonts w:hint="default" w:ascii="Times New Roman" w:hAnsi="Times New Roman" w:cs="Times New Roman"/>
                <w:color w:val="auto"/>
              </w:rPr>
              <w:t>居民区，无地下水集中式饮用水水源和热水、矿泉水、温泉等特殊地下水资源。</w:t>
            </w:r>
            <w:r>
              <w:rPr>
                <w:rFonts w:hint="eastAsia" w:cs="Times New Roman"/>
                <w:color w:val="auto"/>
                <w:lang w:eastAsia="zh-CN"/>
              </w:rPr>
              <w:t>项目</w:t>
            </w:r>
            <w:r>
              <w:rPr>
                <w:rFonts w:hint="default" w:ascii="Times New Roman" w:hAnsi="Times New Roman" w:cs="Times New Roman"/>
                <w:color w:val="auto"/>
              </w:rPr>
              <w:t>环境保护目标情况一览表如下。</w:t>
            </w:r>
          </w:p>
          <w:p w14:paraId="7B9FBA7D">
            <w:pPr>
              <w:pStyle w:val="1313"/>
              <w:adjustRightInd w:val="0"/>
              <w:snapToGrid w:val="0"/>
              <w:spacing w:before="120" w:beforeLines="50" w:line="240" w:lineRule="auto"/>
              <w:rPr>
                <w:rFonts w:hint="default" w:ascii="Times New Roman" w:hAnsi="Times New Roman" w:eastAsia="宋体" w:cs="Times New Roman"/>
                <w:b/>
                <w:bCs/>
                <w:color w:val="auto"/>
                <w:sz w:val="21"/>
              </w:rPr>
            </w:pPr>
            <w:r>
              <w:rPr>
                <w:rFonts w:hint="default" w:ascii="Times New Roman" w:hAnsi="Times New Roman" w:eastAsia="宋体" w:cs="Times New Roman"/>
                <w:b/>
                <w:bCs/>
                <w:color w:val="auto"/>
                <w:sz w:val="21"/>
              </w:rPr>
              <w:t>表3-</w:t>
            </w:r>
            <w:r>
              <w:rPr>
                <w:rFonts w:hint="default" w:ascii="Times New Roman" w:hAnsi="Times New Roman" w:eastAsia="宋体" w:cs="Times New Roman"/>
                <w:b/>
                <w:bCs/>
                <w:color w:val="auto"/>
                <w:sz w:val="21"/>
                <w:lang w:val="en-US" w:eastAsia="zh-CN"/>
              </w:rPr>
              <w:t>3</w:t>
            </w:r>
            <w:r>
              <w:rPr>
                <w:rFonts w:hint="default" w:ascii="Times New Roman" w:hAnsi="Times New Roman" w:eastAsia="宋体" w:cs="Times New Roman"/>
                <w:b/>
                <w:bCs/>
                <w:color w:val="auto"/>
                <w:sz w:val="21"/>
              </w:rPr>
              <w:t xml:space="preserve"> 主要环境保护目标一览表</w:t>
            </w:r>
          </w:p>
          <w:tbl>
            <w:tblPr>
              <w:tblStyle w:val="81"/>
              <w:tblW w:w="0" w:type="auto"/>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9"/>
              <w:gridCol w:w="1764"/>
              <w:gridCol w:w="1068"/>
              <w:gridCol w:w="1835"/>
              <w:gridCol w:w="915"/>
              <w:gridCol w:w="1213"/>
            </w:tblGrid>
            <w:tr w14:paraId="29587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089" w:type="dxa"/>
                  <w:vMerge w:val="restart"/>
                  <w:vAlign w:val="center"/>
                </w:tcPr>
                <w:p w14:paraId="406CA02A">
                  <w:pPr>
                    <w:pStyle w:val="1267"/>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名称</w:t>
                  </w:r>
                </w:p>
              </w:tc>
              <w:tc>
                <w:tcPr>
                  <w:tcW w:w="1764" w:type="dxa"/>
                  <w:vMerge w:val="restart"/>
                  <w:vAlign w:val="center"/>
                </w:tcPr>
                <w:p w14:paraId="770C6987">
                  <w:pPr>
                    <w:pStyle w:val="1267"/>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保护对象</w:t>
                  </w:r>
                </w:p>
              </w:tc>
              <w:tc>
                <w:tcPr>
                  <w:tcW w:w="1068" w:type="dxa"/>
                  <w:vMerge w:val="restart"/>
                  <w:vAlign w:val="center"/>
                </w:tcPr>
                <w:p w14:paraId="78977D7B">
                  <w:pPr>
                    <w:pStyle w:val="1267"/>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保护内容</w:t>
                  </w:r>
                </w:p>
              </w:tc>
              <w:tc>
                <w:tcPr>
                  <w:tcW w:w="1835" w:type="dxa"/>
                  <w:vMerge w:val="restart"/>
                  <w:vAlign w:val="center"/>
                </w:tcPr>
                <w:p w14:paraId="7CAD23EC">
                  <w:pPr>
                    <w:pStyle w:val="1267"/>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环境</w:t>
                  </w:r>
                </w:p>
                <w:p w14:paraId="783F1EA8">
                  <w:pPr>
                    <w:pStyle w:val="1267"/>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功能区</w:t>
                  </w:r>
                </w:p>
              </w:tc>
              <w:tc>
                <w:tcPr>
                  <w:tcW w:w="915" w:type="dxa"/>
                  <w:vMerge w:val="restart"/>
                  <w:vAlign w:val="center"/>
                </w:tcPr>
                <w:p w14:paraId="01EF4F41">
                  <w:pPr>
                    <w:pStyle w:val="1267"/>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相对厂</w:t>
                  </w:r>
                </w:p>
                <w:p w14:paraId="2DCBA5CC">
                  <w:pPr>
                    <w:pStyle w:val="1267"/>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址方位</w:t>
                  </w:r>
                </w:p>
              </w:tc>
              <w:tc>
                <w:tcPr>
                  <w:tcW w:w="1213" w:type="dxa"/>
                  <w:vMerge w:val="restart"/>
                  <w:vAlign w:val="center"/>
                </w:tcPr>
                <w:p w14:paraId="39FE65C6">
                  <w:pPr>
                    <w:pStyle w:val="1267"/>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相对厂</w:t>
                  </w:r>
                </w:p>
                <w:p w14:paraId="2AFF42AE">
                  <w:pPr>
                    <w:pStyle w:val="1267"/>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界距离/m</w:t>
                  </w:r>
                </w:p>
              </w:tc>
            </w:tr>
            <w:tr w14:paraId="7B2BF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1089" w:type="dxa"/>
                  <w:vMerge w:val="continue"/>
                  <w:vAlign w:val="center"/>
                </w:tcPr>
                <w:p w14:paraId="00F331AF">
                  <w:pPr>
                    <w:pStyle w:val="1267"/>
                    <w:adjustRightInd w:val="0"/>
                    <w:snapToGrid w:val="0"/>
                    <w:jc w:val="center"/>
                    <w:rPr>
                      <w:rFonts w:hint="default" w:ascii="Times New Roman" w:hAnsi="Times New Roman" w:cs="Times New Roman"/>
                      <w:color w:val="auto"/>
                      <w:sz w:val="18"/>
                      <w:szCs w:val="18"/>
                    </w:rPr>
                  </w:pPr>
                </w:p>
              </w:tc>
              <w:tc>
                <w:tcPr>
                  <w:tcW w:w="1764" w:type="dxa"/>
                  <w:vMerge w:val="continue"/>
                  <w:vAlign w:val="center"/>
                </w:tcPr>
                <w:p w14:paraId="4489B46D">
                  <w:pPr>
                    <w:pStyle w:val="1267"/>
                    <w:adjustRightInd w:val="0"/>
                    <w:snapToGrid w:val="0"/>
                    <w:jc w:val="center"/>
                    <w:rPr>
                      <w:rFonts w:hint="default" w:ascii="Times New Roman" w:hAnsi="Times New Roman" w:cs="Times New Roman"/>
                      <w:color w:val="auto"/>
                      <w:sz w:val="18"/>
                      <w:szCs w:val="18"/>
                    </w:rPr>
                  </w:pPr>
                </w:p>
              </w:tc>
              <w:tc>
                <w:tcPr>
                  <w:tcW w:w="1068" w:type="dxa"/>
                  <w:vMerge w:val="continue"/>
                  <w:vAlign w:val="center"/>
                </w:tcPr>
                <w:p w14:paraId="09B46205">
                  <w:pPr>
                    <w:pStyle w:val="1267"/>
                    <w:adjustRightInd w:val="0"/>
                    <w:snapToGrid w:val="0"/>
                    <w:jc w:val="center"/>
                    <w:rPr>
                      <w:rFonts w:hint="default" w:ascii="Times New Roman" w:hAnsi="Times New Roman" w:cs="Times New Roman"/>
                      <w:color w:val="auto"/>
                      <w:sz w:val="18"/>
                      <w:szCs w:val="18"/>
                    </w:rPr>
                  </w:pPr>
                </w:p>
              </w:tc>
              <w:tc>
                <w:tcPr>
                  <w:tcW w:w="1835" w:type="dxa"/>
                  <w:vMerge w:val="continue"/>
                  <w:vAlign w:val="center"/>
                </w:tcPr>
                <w:p w14:paraId="14065AAA">
                  <w:pPr>
                    <w:pStyle w:val="1267"/>
                    <w:adjustRightInd w:val="0"/>
                    <w:snapToGrid w:val="0"/>
                    <w:jc w:val="center"/>
                    <w:rPr>
                      <w:rFonts w:hint="default" w:ascii="Times New Roman" w:hAnsi="Times New Roman" w:cs="Times New Roman"/>
                      <w:color w:val="auto"/>
                      <w:sz w:val="18"/>
                      <w:szCs w:val="18"/>
                    </w:rPr>
                  </w:pPr>
                </w:p>
              </w:tc>
              <w:tc>
                <w:tcPr>
                  <w:tcW w:w="915" w:type="dxa"/>
                  <w:vMerge w:val="continue"/>
                  <w:vAlign w:val="center"/>
                </w:tcPr>
                <w:p w14:paraId="50F775EC">
                  <w:pPr>
                    <w:pStyle w:val="1267"/>
                    <w:adjustRightInd w:val="0"/>
                    <w:snapToGrid w:val="0"/>
                    <w:jc w:val="center"/>
                    <w:rPr>
                      <w:rFonts w:hint="default" w:ascii="Times New Roman" w:hAnsi="Times New Roman" w:cs="Times New Roman"/>
                      <w:color w:val="auto"/>
                      <w:sz w:val="18"/>
                      <w:szCs w:val="18"/>
                    </w:rPr>
                  </w:pPr>
                </w:p>
              </w:tc>
              <w:tc>
                <w:tcPr>
                  <w:tcW w:w="1213" w:type="dxa"/>
                  <w:vMerge w:val="continue"/>
                  <w:vAlign w:val="center"/>
                </w:tcPr>
                <w:p w14:paraId="0681FAE4">
                  <w:pPr>
                    <w:pStyle w:val="1267"/>
                    <w:adjustRightInd w:val="0"/>
                    <w:snapToGrid w:val="0"/>
                    <w:jc w:val="center"/>
                    <w:rPr>
                      <w:rFonts w:hint="default" w:ascii="Times New Roman" w:hAnsi="Times New Roman" w:cs="Times New Roman"/>
                      <w:color w:val="auto"/>
                      <w:sz w:val="18"/>
                      <w:szCs w:val="18"/>
                    </w:rPr>
                  </w:pPr>
                </w:p>
              </w:tc>
            </w:tr>
            <w:tr w14:paraId="7C131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2" w:hRule="atLeast"/>
              </w:trPr>
              <w:tc>
                <w:tcPr>
                  <w:tcW w:w="1089" w:type="dxa"/>
                  <w:vAlign w:val="center"/>
                </w:tcPr>
                <w:p w14:paraId="45E4216B">
                  <w:pPr>
                    <w:pStyle w:val="1267"/>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环境空气</w:t>
                  </w:r>
                </w:p>
              </w:tc>
              <w:tc>
                <w:tcPr>
                  <w:tcW w:w="1764" w:type="dxa"/>
                  <w:vAlign w:val="center"/>
                </w:tcPr>
                <w:p w14:paraId="56C53D7E">
                  <w:pP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pacing w:val="0"/>
                      <w:kern w:val="36"/>
                      <w:position w:val="0"/>
                      <w:sz w:val="18"/>
                      <w:szCs w:val="18"/>
                      <w:highlight w:val="none"/>
                      <w:lang w:val="en-US" w:eastAsia="zh-CN"/>
                    </w:rPr>
                    <w:t>杨兰村</w:t>
                  </w:r>
                </w:p>
              </w:tc>
              <w:tc>
                <w:tcPr>
                  <w:tcW w:w="1068" w:type="dxa"/>
                  <w:vAlign w:val="center"/>
                </w:tcPr>
                <w:p w14:paraId="3BA89208">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eastAsia="zh-CN"/>
                    </w:rPr>
                    <w:t>居民区</w:t>
                  </w:r>
                </w:p>
              </w:tc>
              <w:tc>
                <w:tcPr>
                  <w:tcW w:w="1835" w:type="dxa"/>
                  <w:vAlign w:val="center"/>
                </w:tcPr>
                <w:p w14:paraId="49AD0C00">
                  <w:pPr>
                    <w:pStyle w:val="1267"/>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《环境空气质量标准》（GB3095-2012）及其修改单二类</w:t>
                  </w:r>
                </w:p>
              </w:tc>
              <w:tc>
                <w:tcPr>
                  <w:tcW w:w="915" w:type="dxa"/>
                  <w:vAlign w:val="center"/>
                </w:tcPr>
                <w:p w14:paraId="0589B037">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pacing w:val="0"/>
                      <w:position w:val="0"/>
                      <w:sz w:val="18"/>
                      <w:szCs w:val="18"/>
                      <w:highlight w:val="none"/>
                      <w:lang w:val="en-US" w:eastAsia="zh-CN"/>
                    </w:rPr>
                    <w:t>S</w:t>
                  </w:r>
                  <w:r>
                    <w:rPr>
                      <w:rFonts w:hint="eastAsia" w:cs="Times New Roman"/>
                      <w:color w:val="auto"/>
                      <w:spacing w:val="0"/>
                      <w:position w:val="0"/>
                      <w:sz w:val="18"/>
                      <w:szCs w:val="18"/>
                      <w:highlight w:val="none"/>
                      <w:lang w:val="en-US" w:eastAsia="zh-CN"/>
                    </w:rPr>
                    <w:t>W</w:t>
                  </w:r>
                </w:p>
              </w:tc>
              <w:tc>
                <w:tcPr>
                  <w:tcW w:w="1213" w:type="dxa"/>
                  <w:vAlign w:val="center"/>
                </w:tcPr>
                <w:p w14:paraId="54CE1058">
                  <w:pP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pacing w:val="0"/>
                      <w:kern w:val="2"/>
                      <w:position w:val="0"/>
                      <w:sz w:val="18"/>
                      <w:szCs w:val="18"/>
                      <w:highlight w:val="none"/>
                      <w:lang w:val="en-US" w:eastAsia="zh-CN" w:bidi="ar-SA"/>
                    </w:rPr>
                    <w:t>496</w:t>
                  </w:r>
                </w:p>
              </w:tc>
            </w:tr>
            <w:tr w14:paraId="3A697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6" w:hRule="atLeast"/>
              </w:trPr>
              <w:tc>
                <w:tcPr>
                  <w:tcW w:w="1089" w:type="dxa"/>
                  <w:vAlign w:val="center"/>
                </w:tcPr>
                <w:p w14:paraId="6BD4B454">
                  <w:pPr>
                    <w:pStyle w:val="1267"/>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声环境</w:t>
                  </w:r>
                </w:p>
              </w:tc>
              <w:tc>
                <w:tcPr>
                  <w:tcW w:w="2832" w:type="dxa"/>
                  <w:gridSpan w:val="2"/>
                  <w:vAlign w:val="center"/>
                </w:tcPr>
                <w:p w14:paraId="2F957015">
                  <w:pPr>
                    <w:pStyle w:val="1267"/>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50m范围内无声环境保护目标</w:t>
                  </w:r>
                </w:p>
              </w:tc>
              <w:tc>
                <w:tcPr>
                  <w:tcW w:w="1835" w:type="dxa"/>
                  <w:vAlign w:val="center"/>
                </w:tcPr>
                <w:p w14:paraId="1C34FA6D">
                  <w:pPr>
                    <w:pStyle w:val="1267"/>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《声环境质量标准》</w:t>
                  </w:r>
                  <w:r>
                    <w:rPr>
                      <w:rFonts w:hint="eastAsia" w:cs="Times New Roman"/>
                      <w:color w:val="auto"/>
                      <w:sz w:val="18"/>
                      <w:szCs w:val="18"/>
                      <w:lang w:eastAsia="zh-CN"/>
                    </w:rPr>
                    <w:t>（</w:t>
                  </w:r>
                  <w:r>
                    <w:rPr>
                      <w:rFonts w:hint="default" w:ascii="Times New Roman" w:hAnsi="Times New Roman" w:cs="Times New Roman"/>
                      <w:color w:val="auto"/>
                      <w:sz w:val="18"/>
                      <w:szCs w:val="18"/>
                    </w:rPr>
                    <w:t>GB3096-2008</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中的2类标准</w:t>
                  </w:r>
                </w:p>
              </w:tc>
              <w:tc>
                <w:tcPr>
                  <w:tcW w:w="915" w:type="dxa"/>
                  <w:vAlign w:val="center"/>
                </w:tcPr>
                <w:p w14:paraId="0F08426E">
                  <w:pPr>
                    <w:pStyle w:val="1267"/>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c>
                <w:tcPr>
                  <w:tcW w:w="1213" w:type="dxa"/>
                  <w:vAlign w:val="center"/>
                </w:tcPr>
                <w:p w14:paraId="74C604F7">
                  <w:pPr>
                    <w:pStyle w:val="1267"/>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w:t>
                  </w:r>
                </w:p>
              </w:tc>
            </w:tr>
            <w:tr w14:paraId="13198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9" w:type="dxa"/>
                  <w:vAlign w:val="center"/>
                </w:tcPr>
                <w:p w14:paraId="4BE7DDDF">
                  <w:pPr>
                    <w:pStyle w:val="1267"/>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地表水</w:t>
                  </w:r>
                </w:p>
              </w:tc>
              <w:tc>
                <w:tcPr>
                  <w:tcW w:w="1764" w:type="dxa"/>
                  <w:vAlign w:val="center"/>
                </w:tcPr>
                <w:p w14:paraId="427942EE">
                  <w:pPr>
                    <w:pStyle w:val="1267"/>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孝妇河</w:t>
                  </w:r>
                </w:p>
              </w:tc>
              <w:tc>
                <w:tcPr>
                  <w:tcW w:w="2903" w:type="dxa"/>
                  <w:gridSpan w:val="2"/>
                  <w:vAlign w:val="center"/>
                </w:tcPr>
                <w:p w14:paraId="09F16FD8">
                  <w:pPr>
                    <w:pStyle w:val="1267"/>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《地表水环境质量标准》（GB3838-2002）</w:t>
                  </w:r>
                  <w:r>
                    <w:rPr>
                      <w:rFonts w:hint="eastAsia" w:ascii="Times New Roman" w:hAnsi="Times New Roman" w:cs="Times New Roman"/>
                      <w:color w:val="auto"/>
                      <w:sz w:val="18"/>
                      <w:szCs w:val="18"/>
                      <w:highlight w:val="none"/>
                      <w:lang w:eastAsia="zh-CN"/>
                    </w:rPr>
                    <w:t>Ⅳ类</w:t>
                  </w:r>
                  <w:r>
                    <w:rPr>
                      <w:rFonts w:hint="default" w:ascii="Times New Roman" w:hAnsi="Times New Roman" w:cs="Times New Roman"/>
                      <w:color w:val="auto"/>
                      <w:sz w:val="18"/>
                      <w:szCs w:val="18"/>
                      <w:highlight w:val="none"/>
                    </w:rPr>
                    <w:t>标准</w:t>
                  </w:r>
                </w:p>
              </w:tc>
              <w:tc>
                <w:tcPr>
                  <w:tcW w:w="915" w:type="dxa"/>
                  <w:vAlign w:val="center"/>
                </w:tcPr>
                <w:p w14:paraId="293629FD">
                  <w:pPr>
                    <w:pStyle w:val="1267"/>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W</w:t>
                  </w:r>
                </w:p>
              </w:tc>
              <w:tc>
                <w:tcPr>
                  <w:tcW w:w="1213" w:type="dxa"/>
                  <w:vAlign w:val="center"/>
                </w:tcPr>
                <w:p w14:paraId="2A5794F7">
                  <w:pPr>
                    <w:pStyle w:val="1267"/>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590</w:t>
                  </w:r>
                </w:p>
              </w:tc>
            </w:tr>
            <w:tr w14:paraId="1622E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9" w:type="dxa"/>
                  <w:vAlign w:val="center"/>
                </w:tcPr>
                <w:p w14:paraId="4A9559E0">
                  <w:pPr>
                    <w:pStyle w:val="1267"/>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地下水</w:t>
                  </w:r>
                </w:p>
              </w:tc>
              <w:tc>
                <w:tcPr>
                  <w:tcW w:w="6795" w:type="dxa"/>
                  <w:gridSpan w:val="5"/>
                  <w:vAlign w:val="center"/>
                </w:tcPr>
                <w:p w14:paraId="39632B13">
                  <w:pPr>
                    <w:pStyle w:val="1267"/>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厂界周边500m范围内无地下水集中式饮用水水源和热水、矿泉水、温泉等特殊地下水资源</w:t>
                  </w:r>
                </w:p>
              </w:tc>
            </w:tr>
            <w:tr w14:paraId="1544F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9" w:type="dxa"/>
                  <w:vAlign w:val="center"/>
                </w:tcPr>
                <w:p w14:paraId="3DF55068">
                  <w:pPr>
                    <w:pStyle w:val="1267"/>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生态</w:t>
                  </w:r>
                </w:p>
              </w:tc>
              <w:tc>
                <w:tcPr>
                  <w:tcW w:w="6795" w:type="dxa"/>
                  <w:gridSpan w:val="5"/>
                  <w:vAlign w:val="center"/>
                </w:tcPr>
                <w:p w14:paraId="1EF0859C">
                  <w:pPr>
                    <w:pStyle w:val="1267"/>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项目用地范围内无生态环境保护目标</w:t>
                  </w:r>
                </w:p>
              </w:tc>
            </w:tr>
          </w:tbl>
          <w:p w14:paraId="20F6E3E2">
            <w:pPr>
              <w:pStyle w:val="80"/>
              <w:rPr>
                <w:rFonts w:hint="default" w:ascii="Times New Roman" w:hAnsi="Times New Roman" w:cs="Times New Roman"/>
                <w:color w:val="FF0000"/>
              </w:rPr>
            </w:pPr>
          </w:p>
        </w:tc>
      </w:tr>
      <w:tr w14:paraId="434871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8" w:hRule="atLeast"/>
          <w:jc w:val="center"/>
        </w:trPr>
        <w:tc>
          <w:tcPr>
            <w:tcW w:w="800" w:type="dxa"/>
            <w:tcMar>
              <w:left w:w="28" w:type="dxa"/>
              <w:right w:w="28" w:type="dxa"/>
            </w:tcMar>
            <w:vAlign w:val="center"/>
          </w:tcPr>
          <w:p w14:paraId="3A136023">
            <w:pPr>
              <w:adjustRightInd w:val="0"/>
              <w:snapToGrid w:val="0"/>
              <w:spacing w:line="420" w:lineRule="exact"/>
              <w:jc w:val="center"/>
              <w:rPr>
                <w:rFonts w:hint="default" w:ascii="Times New Roman" w:hAnsi="Times New Roman" w:cs="Times New Roman"/>
                <w:color w:val="auto"/>
                <w:kern w:val="0"/>
              </w:rPr>
            </w:pPr>
            <w:r>
              <w:rPr>
                <w:rFonts w:hint="default" w:ascii="Times New Roman" w:hAnsi="Times New Roman" w:cs="Times New Roman"/>
                <w:color w:val="auto"/>
                <w:kern w:val="0"/>
              </w:rPr>
              <w:t>污染</w:t>
            </w:r>
          </w:p>
          <w:p w14:paraId="74D8AC2F">
            <w:pPr>
              <w:adjustRightInd w:val="0"/>
              <w:snapToGrid w:val="0"/>
              <w:spacing w:line="420" w:lineRule="exact"/>
              <w:jc w:val="center"/>
              <w:rPr>
                <w:rFonts w:hint="default" w:ascii="Times New Roman" w:hAnsi="Times New Roman" w:cs="Times New Roman"/>
                <w:color w:val="auto"/>
                <w:kern w:val="0"/>
              </w:rPr>
            </w:pPr>
            <w:r>
              <w:rPr>
                <w:rFonts w:hint="default" w:ascii="Times New Roman" w:hAnsi="Times New Roman" w:cs="Times New Roman"/>
                <w:color w:val="auto"/>
                <w:kern w:val="0"/>
              </w:rPr>
              <w:t>物排</w:t>
            </w:r>
          </w:p>
          <w:p w14:paraId="2E367880">
            <w:pPr>
              <w:adjustRightInd w:val="0"/>
              <w:snapToGrid w:val="0"/>
              <w:spacing w:line="420" w:lineRule="exact"/>
              <w:jc w:val="center"/>
              <w:rPr>
                <w:rFonts w:hint="default" w:ascii="Times New Roman" w:hAnsi="Times New Roman" w:cs="Times New Roman"/>
                <w:color w:val="auto"/>
                <w:kern w:val="0"/>
              </w:rPr>
            </w:pPr>
            <w:r>
              <w:rPr>
                <w:rFonts w:hint="default" w:ascii="Times New Roman" w:hAnsi="Times New Roman" w:cs="Times New Roman"/>
                <w:color w:val="auto"/>
                <w:kern w:val="0"/>
              </w:rPr>
              <w:t>放控</w:t>
            </w:r>
          </w:p>
          <w:p w14:paraId="7E4756E6">
            <w:pPr>
              <w:adjustRightInd w:val="0"/>
              <w:snapToGrid w:val="0"/>
              <w:spacing w:line="420" w:lineRule="exact"/>
              <w:jc w:val="center"/>
              <w:rPr>
                <w:rFonts w:hint="default" w:ascii="Times New Roman" w:hAnsi="Times New Roman" w:cs="Times New Roman"/>
                <w:color w:val="auto"/>
                <w:kern w:val="0"/>
              </w:rPr>
            </w:pPr>
            <w:r>
              <w:rPr>
                <w:rFonts w:hint="default" w:ascii="Times New Roman" w:hAnsi="Times New Roman" w:cs="Times New Roman"/>
                <w:color w:val="auto"/>
                <w:kern w:val="0"/>
              </w:rPr>
              <w:t>制标</w:t>
            </w:r>
          </w:p>
          <w:p w14:paraId="41DE9149">
            <w:pPr>
              <w:adjustRightInd w:val="0"/>
              <w:snapToGrid w:val="0"/>
              <w:spacing w:line="420" w:lineRule="exact"/>
              <w:jc w:val="center"/>
              <w:rPr>
                <w:rFonts w:hint="default" w:ascii="Times New Roman" w:hAnsi="Times New Roman" w:cs="Times New Roman"/>
                <w:color w:val="FF0000"/>
                <w:kern w:val="0"/>
              </w:rPr>
            </w:pPr>
            <w:r>
              <w:rPr>
                <w:rFonts w:hint="default" w:ascii="Times New Roman" w:hAnsi="Times New Roman" w:cs="Times New Roman"/>
                <w:color w:val="auto"/>
                <w:kern w:val="0"/>
              </w:rPr>
              <w:t>准</w:t>
            </w:r>
          </w:p>
        </w:tc>
        <w:tc>
          <w:tcPr>
            <w:tcW w:w="8190" w:type="dxa"/>
            <w:vAlign w:val="center"/>
          </w:tcPr>
          <w:p w14:paraId="641A7B59">
            <w:pPr>
              <w:pStyle w:val="1042"/>
              <w:spacing w:line="420" w:lineRule="exact"/>
              <w:ind w:left="-96" w:firstLine="422"/>
              <w:rPr>
                <w:rFonts w:hint="default" w:ascii="Times New Roman" w:hAnsi="Times New Roman" w:cs="Times New Roman"/>
                <w:b/>
                <w:color w:val="auto"/>
                <w:szCs w:val="21"/>
              </w:rPr>
            </w:pPr>
            <w:r>
              <w:rPr>
                <w:rFonts w:hint="default" w:ascii="Times New Roman" w:hAnsi="Times New Roman" w:cs="Times New Roman"/>
                <w:b/>
                <w:color w:val="auto"/>
                <w:szCs w:val="21"/>
              </w:rPr>
              <w:t>1、噪声</w:t>
            </w:r>
          </w:p>
          <w:p w14:paraId="3D0DF76D">
            <w:pPr>
              <w:spacing w:line="420" w:lineRule="exact"/>
              <w:ind w:firstLine="420" w:firstLineChars="200"/>
              <w:rPr>
                <w:rFonts w:hint="eastAsia"/>
                <w:color w:val="auto"/>
              </w:rPr>
            </w:pPr>
            <w:r>
              <w:t>施工期噪声执行《建筑施工场界环境噪声排放标准》（GB12523-2011），具体标准限值为昼间70dB</w:t>
            </w:r>
            <w:r>
              <w:rPr>
                <w:rFonts w:hint="eastAsia"/>
                <w:lang w:eastAsia="zh-CN"/>
              </w:rPr>
              <w:t>（</w:t>
            </w:r>
            <w:r>
              <w:t>A</w:t>
            </w:r>
            <w:r>
              <w:rPr>
                <w:rFonts w:hint="eastAsia"/>
                <w:color w:val="auto"/>
                <w:lang w:eastAsia="zh-CN"/>
              </w:rPr>
              <w:t>）</w:t>
            </w:r>
            <w:r>
              <w:rPr>
                <w:color w:val="auto"/>
              </w:rPr>
              <w:t>，夜间55dB</w:t>
            </w:r>
            <w:r>
              <w:rPr>
                <w:rFonts w:hint="eastAsia"/>
                <w:color w:val="auto"/>
                <w:lang w:eastAsia="zh-CN"/>
              </w:rPr>
              <w:t>（</w:t>
            </w:r>
            <w:r>
              <w:rPr>
                <w:color w:val="auto"/>
              </w:rPr>
              <w:t>A</w:t>
            </w:r>
            <w:r>
              <w:rPr>
                <w:rFonts w:hint="eastAsia"/>
                <w:color w:val="auto"/>
                <w:lang w:eastAsia="zh-CN"/>
              </w:rPr>
              <w:t>）</w:t>
            </w:r>
            <w:r>
              <w:rPr>
                <w:rFonts w:hint="eastAsia"/>
                <w:color w:val="auto"/>
              </w:rPr>
              <w:t>。</w:t>
            </w:r>
          </w:p>
          <w:p w14:paraId="4E216779">
            <w:pPr>
              <w:spacing w:line="42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t>营运期噪声执行《工业企业厂界环境噪声排放标准》（GB12348-2008）2类标准，具体标准值见表3-</w:t>
            </w:r>
            <w:r>
              <w:rPr>
                <w:rFonts w:hint="default" w:ascii="Times New Roman" w:hAnsi="Times New Roman" w:cs="Times New Roman"/>
                <w:color w:val="auto"/>
                <w:lang w:val="en-US" w:eastAsia="zh-CN"/>
              </w:rPr>
              <w:t>4</w:t>
            </w:r>
            <w:r>
              <w:rPr>
                <w:rFonts w:hint="default" w:ascii="Times New Roman" w:hAnsi="Times New Roman" w:cs="Times New Roman"/>
                <w:color w:val="auto"/>
              </w:rPr>
              <w:t>。</w:t>
            </w:r>
          </w:p>
          <w:p w14:paraId="5CBD9A1A">
            <w:pPr>
              <w:spacing w:line="420" w:lineRule="exact"/>
              <w:jc w:val="center"/>
              <w:rPr>
                <w:rFonts w:hint="default" w:ascii="Times New Roman" w:hAnsi="Times New Roman" w:cs="Times New Roman"/>
                <w:b/>
                <w:color w:val="auto"/>
              </w:rPr>
            </w:pPr>
            <w:r>
              <w:rPr>
                <w:rFonts w:hint="default" w:ascii="Times New Roman" w:hAnsi="Times New Roman" w:cs="Times New Roman"/>
                <w:b/>
                <w:color w:val="auto"/>
              </w:rPr>
              <w:t>表3-</w:t>
            </w:r>
            <w:r>
              <w:rPr>
                <w:rFonts w:hint="default" w:ascii="Times New Roman" w:hAnsi="Times New Roman" w:cs="Times New Roman"/>
                <w:b/>
                <w:color w:val="auto"/>
                <w:lang w:val="en-US" w:eastAsia="zh-CN"/>
              </w:rPr>
              <w:t>4</w:t>
            </w:r>
            <w:r>
              <w:rPr>
                <w:rFonts w:hint="default" w:ascii="Times New Roman" w:hAnsi="Times New Roman" w:cs="Times New Roman"/>
                <w:b/>
                <w:color w:val="auto"/>
              </w:rPr>
              <w:t>工业企业厂界环境噪声排放标准       单位：</w:t>
            </w:r>
            <w:r>
              <w:rPr>
                <w:rFonts w:hint="default" w:ascii="Times New Roman" w:hAnsi="Times New Roman" w:cs="Times New Roman"/>
                <w:b/>
                <w:bCs/>
                <w:color w:val="auto"/>
              </w:rPr>
              <w:t>dB（A）</w:t>
            </w:r>
          </w:p>
          <w:tbl>
            <w:tblPr>
              <w:tblStyle w:val="81"/>
              <w:tblW w:w="0" w:type="auto"/>
              <w:jc w:val="center"/>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1289"/>
              <w:gridCol w:w="1218"/>
              <w:gridCol w:w="1293"/>
              <w:gridCol w:w="4084"/>
            </w:tblGrid>
            <w:tr w14:paraId="6ACC6208">
              <w:tblPrEx>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9" w:hRule="atLeast"/>
                <w:jc w:val="center"/>
              </w:trPr>
              <w:tc>
                <w:tcPr>
                  <w:tcW w:w="1289" w:type="dxa"/>
                  <w:vAlign w:val="center"/>
                </w:tcPr>
                <w:p w14:paraId="5C9AE89E">
                  <w:pPr>
                    <w:spacing w:line="420" w:lineRule="exac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类别</w:t>
                  </w:r>
                </w:p>
              </w:tc>
              <w:tc>
                <w:tcPr>
                  <w:tcW w:w="1218" w:type="dxa"/>
                  <w:vAlign w:val="center"/>
                </w:tcPr>
                <w:p w14:paraId="1E4E541A">
                  <w:pPr>
                    <w:spacing w:line="420" w:lineRule="exac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昼间</w:t>
                  </w:r>
                </w:p>
              </w:tc>
              <w:tc>
                <w:tcPr>
                  <w:tcW w:w="1293" w:type="dxa"/>
                  <w:vAlign w:val="center"/>
                </w:tcPr>
                <w:p w14:paraId="58B40F41">
                  <w:pPr>
                    <w:spacing w:line="420" w:lineRule="exac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夜间</w:t>
                  </w:r>
                </w:p>
              </w:tc>
              <w:tc>
                <w:tcPr>
                  <w:tcW w:w="4084" w:type="dxa"/>
                  <w:vAlign w:val="center"/>
                </w:tcPr>
                <w:p w14:paraId="6330CA72">
                  <w:pPr>
                    <w:spacing w:line="420" w:lineRule="exac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标准来源</w:t>
                  </w:r>
                </w:p>
              </w:tc>
            </w:tr>
            <w:tr w14:paraId="4C8BFF66">
              <w:tblPrEx>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289" w:type="dxa"/>
                  <w:vAlign w:val="center"/>
                </w:tcPr>
                <w:p w14:paraId="00A49D02">
                  <w:pPr>
                    <w:spacing w:line="4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2</w:t>
                  </w:r>
                </w:p>
              </w:tc>
              <w:tc>
                <w:tcPr>
                  <w:tcW w:w="1218" w:type="dxa"/>
                  <w:vAlign w:val="center"/>
                </w:tcPr>
                <w:p w14:paraId="40951C92">
                  <w:pPr>
                    <w:spacing w:line="4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60</w:t>
                  </w:r>
                </w:p>
              </w:tc>
              <w:tc>
                <w:tcPr>
                  <w:tcW w:w="1293" w:type="dxa"/>
                  <w:vAlign w:val="center"/>
                </w:tcPr>
                <w:p w14:paraId="7951B1DC">
                  <w:pPr>
                    <w:spacing w:line="4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50</w:t>
                  </w:r>
                </w:p>
              </w:tc>
              <w:tc>
                <w:tcPr>
                  <w:tcW w:w="4084" w:type="dxa"/>
                  <w:vAlign w:val="center"/>
                </w:tcPr>
                <w:p w14:paraId="5292FCC8">
                  <w:pPr>
                    <w:spacing w:line="420" w:lineRule="exact"/>
                    <w:jc w:val="center"/>
                    <w:rPr>
                      <w:rFonts w:hint="default" w:ascii="Times New Roman" w:hAnsi="Times New Roman" w:cs="Times New Roman"/>
                      <w:bCs/>
                      <w:color w:val="auto"/>
                      <w:sz w:val="18"/>
                      <w:szCs w:val="18"/>
                    </w:rPr>
                  </w:pPr>
                  <w:r>
                    <w:rPr>
                      <w:rFonts w:hint="default" w:ascii="Times New Roman" w:hAnsi="Times New Roman" w:cs="Times New Roman"/>
                      <w:color w:val="auto"/>
                      <w:sz w:val="18"/>
                      <w:szCs w:val="18"/>
                    </w:rPr>
                    <w:t>（GB12348-2008）</w:t>
                  </w:r>
                  <w:r>
                    <w:rPr>
                      <w:rFonts w:hint="default" w:ascii="Times New Roman" w:hAnsi="Times New Roman" w:cs="Times New Roman"/>
                      <w:bCs/>
                      <w:color w:val="auto"/>
                      <w:sz w:val="18"/>
                      <w:szCs w:val="18"/>
                    </w:rPr>
                    <w:t>2</w:t>
                  </w:r>
                  <w:r>
                    <w:rPr>
                      <w:rFonts w:hint="default" w:ascii="Times New Roman" w:hAnsi="Times New Roman" w:cs="Times New Roman"/>
                      <w:color w:val="auto"/>
                      <w:sz w:val="18"/>
                      <w:szCs w:val="18"/>
                    </w:rPr>
                    <w:t>类标准</w:t>
                  </w:r>
                </w:p>
              </w:tc>
            </w:tr>
          </w:tbl>
          <w:p w14:paraId="1B7EAE21">
            <w:pPr>
              <w:autoSpaceDE w:val="0"/>
              <w:autoSpaceDN w:val="0"/>
              <w:adjustRightInd w:val="0"/>
              <w:spacing w:line="360" w:lineRule="auto"/>
              <w:ind w:firstLine="422" w:firstLineChars="200"/>
              <w:rPr>
                <w:rFonts w:hint="default" w:ascii="Times New Roman" w:hAnsi="Times New Roman" w:cs="Times New Roman"/>
                <w:b/>
                <w:color w:val="auto"/>
              </w:rPr>
            </w:pPr>
            <w:r>
              <w:rPr>
                <w:rFonts w:hint="default" w:ascii="Times New Roman" w:hAnsi="Times New Roman" w:cs="Times New Roman"/>
                <w:b/>
                <w:color w:val="auto"/>
              </w:rPr>
              <w:t>2、废气</w:t>
            </w:r>
          </w:p>
          <w:p w14:paraId="4959FD4A">
            <w:pPr>
              <w:widowControl/>
              <w:spacing w:line="360" w:lineRule="auto"/>
              <w:ind w:firstLine="420" w:firstLineChars="200"/>
              <w:rPr>
                <w:rFonts w:hint="eastAsia"/>
                <w:color w:val="auto"/>
              </w:rPr>
            </w:pPr>
            <w:r>
              <w:rPr>
                <w:color w:val="auto"/>
              </w:rPr>
              <w:t>施工期无组织颗粒物执行《大气污染物综合排放标准》（GB16297-1996）表2中无组织颗粒物排放监控浓度限值标准，颗粒物1.0mg/m</w:t>
            </w:r>
            <w:r>
              <w:rPr>
                <w:color w:val="auto"/>
                <w:vertAlign w:val="superscript"/>
              </w:rPr>
              <w:t>3</w:t>
            </w:r>
            <w:r>
              <w:rPr>
                <w:rFonts w:hint="eastAsia"/>
                <w:color w:val="auto"/>
              </w:rPr>
              <w:t>。</w:t>
            </w:r>
          </w:p>
          <w:p w14:paraId="7846C780">
            <w:pPr>
              <w:spacing w:line="360" w:lineRule="auto"/>
              <w:ind w:firstLine="420" w:firstLineChars="200"/>
              <w:rPr>
                <w:rFonts w:hint="eastAsia"/>
                <w:color w:val="auto"/>
                <w:lang w:eastAsia="zh-CN"/>
              </w:rPr>
            </w:pPr>
            <w:r>
              <w:rPr>
                <w:rFonts w:hint="default" w:ascii="Times New Roman" w:hAnsi="Times New Roman" w:cs="Times New Roman"/>
                <w:color w:val="auto"/>
                <w:sz w:val="21"/>
                <w:szCs w:val="21"/>
              </w:rPr>
              <w:t>营运期</w:t>
            </w:r>
            <w:r>
              <w:rPr>
                <w:rFonts w:hint="default" w:ascii="Times New Roman" w:hAnsi="Times New Roman" w:cs="Times New Roman" w:eastAsiaTheme="minorEastAsia"/>
                <w:color w:val="auto"/>
                <w:sz w:val="21"/>
                <w:szCs w:val="21"/>
                <w:lang w:eastAsia="zh-CN"/>
              </w:rPr>
              <w:t>有组织颗粒物</w:t>
            </w:r>
            <w:r>
              <w:rPr>
                <w:rFonts w:hint="eastAsia" w:cs="Times New Roman" w:eastAsiaTheme="minorEastAsia"/>
                <w:color w:val="auto"/>
                <w:sz w:val="21"/>
                <w:szCs w:val="21"/>
                <w:lang w:eastAsia="zh-CN"/>
              </w:rPr>
              <w:t>、</w:t>
            </w:r>
            <w:r>
              <w:rPr>
                <w:rFonts w:hint="eastAsia" w:cs="Times New Roman" w:eastAsiaTheme="minorEastAsia"/>
                <w:color w:val="auto"/>
                <w:sz w:val="21"/>
                <w:szCs w:val="21"/>
                <w:lang w:val="en-US" w:eastAsia="zh-CN"/>
              </w:rPr>
              <w:t>SO</w:t>
            </w:r>
            <w:r>
              <w:rPr>
                <w:rFonts w:hint="eastAsia" w:cs="Times New Roman" w:eastAsiaTheme="minorEastAsia"/>
                <w:color w:val="auto"/>
                <w:sz w:val="21"/>
                <w:szCs w:val="21"/>
                <w:vertAlign w:val="subscript"/>
                <w:lang w:val="en-US" w:eastAsia="zh-CN"/>
              </w:rPr>
              <w:t>2</w:t>
            </w:r>
            <w:r>
              <w:rPr>
                <w:rFonts w:hint="eastAsia" w:cs="Times New Roman" w:eastAsiaTheme="minorEastAsia"/>
                <w:color w:val="auto"/>
                <w:sz w:val="21"/>
                <w:szCs w:val="21"/>
                <w:lang w:val="en-US" w:eastAsia="zh-CN"/>
              </w:rPr>
              <w:t>、NOx</w:t>
            </w:r>
            <w:r>
              <w:rPr>
                <w:rFonts w:hint="default" w:ascii="Times New Roman" w:hAnsi="Times New Roman" w:cs="Times New Roman" w:eastAsiaTheme="minorEastAsia"/>
                <w:color w:val="auto"/>
                <w:sz w:val="21"/>
                <w:szCs w:val="21"/>
                <w:lang w:eastAsia="zh-CN"/>
              </w:rPr>
              <w:t>执行</w:t>
            </w:r>
            <w:r>
              <w:rPr>
                <w:rFonts w:hint="default" w:ascii="Times New Roman" w:hAnsi="Times New Roman" w:eastAsia="宋体" w:cs="Times New Roman"/>
                <w:caps w:val="0"/>
                <w:color w:val="auto"/>
                <w:spacing w:val="0"/>
                <w:sz w:val="21"/>
                <w:szCs w:val="21"/>
                <w:lang w:val="en-US" w:eastAsia="zh-CN"/>
              </w:rPr>
              <w:t>《区域性大气污染物综合排放标准》（DB37/2376-2019）表1大气污染物排放浓度限值中重点控制区限值要求</w:t>
            </w:r>
            <w:r>
              <w:rPr>
                <w:color w:val="auto"/>
              </w:rPr>
              <w:t>（颗粒物排放浓度≤10mg/m</w:t>
            </w:r>
            <w:r>
              <w:rPr>
                <w:color w:val="auto"/>
                <w:vertAlign w:val="superscript"/>
              </w:rPr>
              <w:t>3</w:t>
            </w:r>
            <w:r>
              <w:rPr>
                <w:color w:val="auto"/>
              </w:rPr>
              <w:t>、SO</w:t>
            </w:r>
            <w:r>
              <w:rPr>
                <w:color w:val="auto"/>
                <w:vertAlign w:val="subscript"/>
              </w:rPr>
              <w:t>2</w:t>
            </w:r>
            <w:r>
              <w:rPr>
                <w:color w:val="auto"/>
              </w:rPr>
              <w:t>排放浓度≤50 mg/m</w:t>
            </w:r>
            <w:r>
              <w:rPr>
                <w:color w:val="auto"/>
                <w:vertAlign w:val="superscript"/>
              </w:rPr>
              <w:t>3</w:t>
            </w:r>
            <w:r>
              <w:rPr>
                <w:color w:val="auto"/>
              </w:rPr>
              <w:t>、NOx排放浓度≤100mg/m</w:t>
            </w:r>
            <w:r>
              <w:rPr>
                <w:color w:val="auto"/>
                <w:vertAlign w:val="superscript"/>
              </w:rPr>
              <w:t>3</w:t>
            </w:r>
            <w:r>
              <w:rPr>
                <w:color w:val="auto"/>
              </w:rPr>
              <w:t>）</w:t>
            </w:r>
            <w:r>
              <w:rPr>
                <w:rFonts w:hint="default" w:ascii="Times New Roman" w:hAnsi="Times New Roman" w:eastAsia="宋体" w:cs="Times New Roman"/>
                <w:caps w:val="0"/>
                <w:color w:val="auto"/>
                <w:spacing w:val="0"/>
                <w:sz w:val="21"/>
                <w:szCs w:val="21"/>
                <w:lang w:val="en-US" w:eastAsia="zh-CN"/>
              </w:rPr>
              <w:t>；</w:t>
            </w:r>
            <w:r>
              <w:rPr>
                <w:rFonts w:hint="default" w:ascii="Times New Roman" w:hAnsi="Times New Roman" w:cs="Times New Roman" w:eastAsiaTheme="minorEastAsia"/>
                <w:color w:val="auto"/>
                <w:sz w:val="21"/>
                <w:szCs w:val="21"/>
                <w:lang w:eastAsia="zh-CN"/>
              </w:rPr>
              <w:t>厂</w:t>
            </w:r>
            <w:r>
              <w:rPr>
                <w:rFonts w:hint="default" w:ascii="Times New Roman" w:hAnsi="Times New Roman" w:cs="Times New Roman" w:eastAsiaTheme="minorEastAsia"/>
                <w:color w:val="auto"/>
                <w:lang w:eastAsia="zh-CN"/>
              </w:rPr>
              <w:t>界</w:t>
            </w:r>
            <w:r>
              <w:rPr>
                <w:rFonts w:hint="default" w:ascii="Times New Roman" w:hAnsi="Times New Roman" w:cs="Times New Roman" w:eastAsiaTheme="minorEastAsia"/>
                <w:color w:val="auto"/>
              </w:rPr>
              <w:t>颗粒物无组织排放执行</w:t>
            </w:r>
            <w:r>
              <w:rPr>
                <w:rFonts w:hint="default" w:ascii="Times New Roman" w:hAnsi="Times New Roman" w:cs="Times New Roman"/>
                <w:color w:val="auto"/>
              </w:rPr>
              <w:t>《大气污染物</w:t>
            </w:r>
            <w:r>
              <w:rPr>
                <w:rFonts w:hint="default" w:ascii="Times New Roman" w:hAnsi="Times New Roman" w:cs="Times New Roman"/>
                <w:color w:val="auto"/>
                <w:lang w:eastAsia="zh-CN"/>
              </w:rPr>
              <w:t>综合</w:t>
            </w:r>
            <w:r>
              <w:rPr>
                <w:rFonts w:hint="default" w:ascii="Times New Roman" w:hAnsi="Times New Roman" w:cs="Times New Roman"/>
                <w:color w:val="auto"/>
              </w:rPr>
              <w:t>排放标准》（</w:t>
            </w:r>
            <w:r>
              <w:rPr>
                <w:rFonts w:hint="default" w:ascii="Times New Roman" w:hAnsi="Times New Roman" w:cs="Times New Roman"/>
                <w:color w:val="auto"/>
                <w:lang w:val="en-US" w:eastAsia="zh-CN"/>
              </w:rPr>
              <w:t>GB16297-1996</w:t>
            </w:r>
            <w:r>
              <w:rPr>
                <w:rFonts w:hint="default" w:ascii="Times New Roman" w:hAnsi="Times New Roman" w:cs="Times New Roman"/>
                <w:color w:val="auto"/>
              </w:rPr>
              <w:t>）表</w:t>
            </w:r>
            <w:r>
              <w:rPr>
                <w:rFonts w:hint="default" w:ascii="Times New Roman" w:hAnsi="Times New Roman" w:cs="Times New Roman"/>
                <w:color w:val="auto"/>
                <w:lang w:val="en-US" w:eastAsia="zh-CN"/>
              </w:rPr>
              <w:t>2</w:t>
            </w:r>
            <w:r>
              <w:rPr>
                <w:rFonts w:hint="default" w:ascii="Times New Roman" w:hAnsi="Times New Roman" w:cs="Times New Roman"/>
                <w:color w:val="auto"/>
              </w:rPr>
              <w:t>无组织颗粒物排放监控浓度限值要求</w:t>
            </w:r>
            <w:r>
              <w:rPr>
                <w:rFonts w:hint="default" w:ascii="Times New Roman" w:hAnsi="Times New Roman" w:cs="Times New Roman" w:eastAsiaTheme="minorEastAsia"/>
                <w:color w:val="auto"/>
              </w:rPr>
              <w:t>（颗粒物</w:t>
            </w:r>
            <w:r>
              <w:rPr>
                <w:rFonts w:hint="default" w:ascii="Times New Roman" w:hAnsi="Times New Roman" w:cs="Times New Roman" w:eastAsiaTheme="minorEastAsia"/>
                <w:color w:val="auto"/>
                <w:lang w:val="en-US" w:eastAsia="zh-CN"/>
              </w:rPr>
              <w:t>1.0</w:t>
            </w:r>
            <w:r>
              <w:rPr>
                <w:rFonts w:hint="default" w:ascii="Times New Roman" w:hAnsi="Times New Roman" w:cs="Times New Roman" w:eastAsiaTheme="minorEastAsia"/>
                <w:color w:val="auto"/>
              </w:rPr>
              <w:t>mg/m</w:t>
            </w:r>
            <w:r>
              <w:rPr>
                <w:rFonts w:hint="default" w:ascii="Times New Roman" w:hAnsi="Times New Roman" w:cs="Times New Roman" w:eastAsiaTheme="minorEastAsia"/>
                <w:color w:val="auto"/>
                <w:vertAlign w:val="superscript"/>
              </w:rPr>
              <w:t>3</w:t>
            </w:r>
            <w:r>
              <w:rPr>
                <w:rFonts w:hint="default" w:ascii="Times New Roman" w:hAnsi="Times New Roman" w:cs="Times New Roman" w:eastAsiaTheme="minorEastAsia"/>
                <w:color w:val="auto"/>
              </w:rPr>
              <w:t>）</w:t>
            </w:r>
            <w:r>
              <w:rPr>
                <w:rFonts w:hint="eastAsia" w:cs="Times New Roman" w:eastAsiaTheme="minorEastAsia"/>
                <w:color w:val="auto"/>
                <w:lang w:eastAsia="zh-CN"/>
              </w:rPr>
              <w:t>；</w:t>
            </w:r>
            <w:r>
              <w:rPr>
                <w:rFonts w:hint="eastAsia" w:cs="Times New Roman" w:eastAsiaTheme="minorEastAsia"/>
                <w:color w:val="auto"/>
                <w:lang w:val="en-US" w:eastAsia="zh-CN"/>
              </w:rPr>
              <w:t>氨气、臭气浓度有组织排放执行</w:t>
            </w:r>
            <w:r>
              <w:rPr>
                <w:color w:val="auto"/>
              </w:rPr>
              <w:t>《恶臭污染物排放标准》（GB14554-93）</w:t>
            </w:r>
            <w:r>
              <w:rPr>
                <w:rFonts w:hint="eastAsia"/>
                <w:color w:val="auto"/>
                <w:lang w:val="en-US" w:eastAsia="zh-CN"/>
              </w:rPr>
              <w:t>表2</w:t>
            </w:r>
            <w:r>
              <w:rPr>
                <w:color w:val="auto"/>
              </w:rPr>
              <w:t>中标准</w:t>
            </w:r>
            <w:r>
              <w:rPr>
                <w:rFonts w:hint="eastAsia"/>
                <w:color w:val="auto"/>
                <w:lang w:eastAsia="zh-CN"/>
              </w:rPr>
              <w:t>（</w:t>
            </w:r>
            <w:r>
              <w:rPr>
                <w:rFonts w:hint="eastAsia"/>
                <w:color w:val="auto"/>
                <w:lang w:val="en-US" w:eastAsia="zh-CN"/>
              </w:rPr>
              <w:t>15m，氨气4.9kg/h，臭气浓度2000无量纲</w:t>
            </w:r>
            <w:r>
              <w:rPr>
                <w:rFonts w:hint="eastAsia"/>
                <w:color w:val="auto"/>
                <w:lang w:eastAsia="zh-CN"/>
              </w:rPr>
              <w:t>）</w:t>
            </w:r>
            <w:r>
              <w:rPr>
                <w:rFonts w:hint="eastAsia" w:cs="Times New Roman" w:eastAsiaTheme="minorEastAsia"/>
                <w:color w:val="auto"/>
                <w:lang w:val="en-US" w:eastAsia="zh-CN"/>
              </w:rPr>
              <w:t>，氨气无组织排放浓度执行</w:t>
            </w:r>
            <w:r>
              <w:rPr>
                <w:color w:val="auto"/>
              </w:rPr>
              <w:t>《恶臭污染物排放标准》（GB14554-93）表</w:t>
            </w:r>
            <w:r>
              <w:rPr>
                <w:rFonts w:hint="eastAsia"/>
                <w:color w:val="auto"/>
                <w:lang w:val="en-US" w:eastAsia="zh-CN"/>
              </w:rPr>
              <w:t>1中二级标准</w:t>
            </w:r>
            <w:r>
              <w:rPr>
                <w:rFonts w:hint="eastAsia"/>
                <w:color w:val="auto"/>
                <w:lang w:eastAsia="zh-CN"/>
              </w:rPr>
              <w:t>（</w:t>
            </w:r>
            <w:r>
              <w:rPr>
                <w:rFonts w:hint="eastAsia"/>
                <w:color w:val="auto"/>
                <w:lang w:val="en-US" w:eastAsia="zh-CN"/>
              </w:rPr>
              <w:t>1.5</w:t>
            </w:r>
            <w:r>
              <w:rPr>
                <w:rFonts w:hint="default" w:ascii="Times New Roman" w:hAnsi="Times New Roman" w:cs="Times New Roman" w:eastAsiaTheme="minorEastAsia"/>
                <w:color w:val="auto"/>
              </w:rPr>
              <w:t>mg/m</w:t>
            </w:r>
            <w:r>
              <w:rPr>
                <w:rFonts w:hint="default" w:ascii="Times New Roman" w:hAnsi="Times New Roman" w:cs="Times New Roman" w:eastAsiaTheme="minorEastAsia"/>
                <w:color w:val="auto"/>
                <w:vertAlign w:val="superscript"/>
              </w:rPr>
              <w:t>3</w:t>
            </w:r>
            <w:r>
              <w:rPr>
                <w:rFonts w:hint="eastAsia"/>
                <w:color w:val="auto"/>
                <w:lang w:eastAsia="zh-CN"/>
              </w:rPr>
              <w:t>）；</w:t>
            </w:r>
            <w:r>
              <w:rPr>
                <w:rFonts w:hint="eastAsia"/>
                <w:color w:val="auto"/>
                <w:lang w:val="en-US" w:eastAsia="zh-CN"/>
              </w:rPr>
              <w:t>臭气浓度</w:t>
            </w:r>
            <w:r>
              <w:rPr>
                <w:rFonts w:hint="eastAsia" w:cs="Times New Roman" w:eastAsiaTheme="minorEastAsia"/>
                <w:color w:val="auto"/>
                <w:lang w:val="en-US" w:eastAsia="zh-CN"/>
              </w:rPr>
              <w:t>无组织排放浓度执行《挥发性有机物排放标准 第 7 部分：其他行业》（DB37/ 2801.7—2019）表2厂界监控点浓度限制（16无量纲）</w:t>
            </w:r>
            <w:r>
              <w:rPr>
                <w:rFonts w:hint="eastAsia"/>
                <w:color w:val="auto"/>
                <w:lang w:eastAsia="zh-CN"/>
              </w:rPr>
              <w:t>。</w:t>
            </w:r>
          </w:p>
          <w:p w14:paraId="46E42CAC">
            <w:pPr>
              <w:spacing w:line="360" w:lineRule="auto"/>
              <w:ind w:firstLine="420" w:firstLineChars="200"/>
              <w:rPr>
                <w:rFonts w:hint="default" w:ascii="Times New Roman" w:hAnsi="Times New Roman" w:cs="Times New Roman" w:eastAsiaTheme="minorEastAsia"/>
                <w:color w:val="FF0000"/>
              </w:rPr>
            </w:pPr>
            <w:r>
              <w:rPr>
                <w:rFonts w:hint="default" w:ascii="Times New Roman" w:hAnsi="Times New Roman" w:cs="Times New Roman"/>
                <w:color w:val="auto"/>
              </w:rPr>
              <w:t>食堂油烟废气排放执行《山东省饮食油烟排放标准》（DB37/597-2006）小型饮食业单位标准。</w:t>
            </w:r>
          </w:p>
          <w:p w14:paraId="7980E1F3">
            <w:pPr>
              <w:adjustRightInd w:val="0"/>
              <w:snapToGrid w:val="0"/>
              <w:spacing w:line="360" w:lineRule="auto"/>
              <w:jc w:val="center"/>
              <w:rPr>
                <w:rFonts w:hint="default" w:ascii="Times New Roman" w:hAnsi="Times New Roman" w:cs="Times New Roman"/>
                <w:b/>
                <w:color w:val="auto"/>
              </w:rPr>
            </w:pPr>
            <w:r>
              <w:rPr>
                <w:rFonts w:hint="default" w:ascii="Times New Roman" w:hAnsi="Times New Roman" w:cs="Times New Roman"/>
                <w:b/>
                <w:color w:val="auto"/>
              </w:rPr>
              <w:t>表3-</w:t>
            </w:r>
            <w:r>
              <w:rPr>
                <w:rFonts w:hint="default" w:ascii="Times New Roman" w:hAnsi="Times New Roman" w:cs="Times New Roman"/>
                <w:b/>
                <w:color w:val="auto"/>
                <w:lang w:val="en-US" w:eastAsia="zh-CN"/>
              </w:rPr>
              <w:t>5</w:t>
            </w:r>
            <w:r>
              <w:rPr>
                <w:rFonts w:hint="default" w:ascii="Times New Roman" w:hAnsi="Times New Roman" w:cs="Times New Roman"/>
                <w:b/>
                <w:color w:val="auto"/>
              </w:rPr>
              <w:t>项目废气排放执行标准</w:t>
            </w:r>
          </w:p>
          <w:tbl>
            <w:tblPr>
              <w:tblStyle w:val="81"/>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0" w:type="dxa"/>
                <w:bottom w:w="0" w:type="dxa"/>
                <w:right w:w="0" w:type="dxa"/>
              </w:tblCellMar>
            </w:tblPr>
            <w:tblGrid>
              <w:gridCol w:w="1233"/>
              <w:gridCol w:w="1233"/>
              <w:gridCol w:w="1023"/>
              <w:gridCol w:w="1083"/>
              <w:gridCol w:w="2587"/>
              <w:gridCol w:w="799"/>
            </w:tblGrid>
            <w:tr w14:paraId="38C48E6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33" w:type="dxa"/>
                  <w:vMerge w:val="restart"/>
                  <w:tcBorders>
                    <w:top w:val="single" w:color="auto" w:sz="6" w:space="0"/>
                    <w:left w:val="single" w:color="auto" w:sz="6" w:space="0"/>
                    <w:right w:val="single" w:color="auto" w:sz="4" w:space="0"/>
                  </w:tcBorders>
                  <w:noWrap w:val="0"/>
                  <w:vAlign w:val="center"/>
                </w:tcPr>
                <w:p w14:paraId="04447DD8">
                  <w:pPr>
                    <w:autoSpaceDE w:val="0"/>
                    <w:autoSpaceDN w:val="0"/>
                    <w:adjustRightInd w:val="0"/>
                    <w:jc w:val="center"/>
                    <w:rPr>
                      <w:b/>
                      <w:bCs/>
                      <w:color w:val="auto"/>
                      <w:sz w:val="18"/>
                      <w:szCs w:val="18"/>
                    </w:rPr>
                  </w:pPr>
                  <w:r>
                    <w:rPr>
                      <w:b/>
                      <w:bCs/>
                      <w:color w:val="auto"/>
                      <w:sz w:val="18"/>
                      <w:szCs w:val="18"/>
                    </w:rPr>
                    <w:t>污染物名称</w:t>
                  </w:r>
                </w:p>
              </w:tc>
              <w:tc>
                <w:tcPr>
                  <w:tcW w:w="3339" w:type="dxa"/>
                  <w:gridSpan w:val="3"/>
                  <w:tcBorders>
                    <w:top w:val="single" w:color="auto" w:sz="4" w:space="0"/>
                    <w:left w:val="single" w:color="auto" w:sz="4" w:space="0"/>
                    <w:bottom w:val="single" w:color="auto" w:sz="4" w:space="0"/>
                    <w:right w:val="single" w:color="auto" w:sz="6" w:space="0"/>
                  </w:tcBorders>
                  <w:noWrap w:val="0"/>
                  <w:vAlign w:val="center"/>
                </w:tcPr>
                <w:p w14:paraId="3CBD341C">
                  <w:pPr>
                    <w:autoSpaceDE w:val="0"/>
                    <w:autoSpaceDN w:val="0"/>
                    <w:adjustRightInd w:val="0"/>
                    <w:jc w:val="center"/>
                    <w:rPr>
                      <w:b/>
                      <w:bCs/>
                      <w:color w:val="auto"/>
                      <w:sz w:val="18"/>
                      <w:szCs w:val="18"/>
                    </w:rPr>
                  </w:pPr>
                  <w:r>
                    <w:rPr>
                      <w:b/>
                      <w:bCs/>
                      <w:color w:val="auto"/>
                      <w:sz w:val="18"/>
                      <w:szCs w:val="18"/>
                    </w:rPr>
                    <w:t>有组织排放</w:t>
                  </w:r>
                </w:p>
              </w:tc>
              <w:tc>
                <w:tcPr>
                  <w:tcW w:w="3386" w:type="dxa"/>
                  <w:gridSpan w:val="2"/>
                  <w:tcBorders>
                    <w:top w:val="single" w:color="auto" w:sz="6" w:space="0"/>
                    <w:left w:val="single" w:color="auto" w:sz="6" w:space="0"/>
                    <w:bottom w:val="single" w:color="auto" w:sz="6" w:space="0"/>
                    <w:right w:val="single" w:color="auto" w:sz="6" w:space="0"/>
                  </w:tcBorders>
                  <w:noWrap w:val="0"/>
                  <w:vAlign w:val="center"/>
                </w:tcPr>
                <w:p w14:paraId="4739DBD3">
                  <w:pPr>
                    <w:autoSpaceDE w:val="0"/>
                    <w:autoSpaceDN w:val="0"/>
                    <w:adjustRightInd w:val="0"/>
                    <w:jc w:val="center"/>
                    <w:rPr>
                      <w:b/>
                      <w:bCs/>
                      <w:color w:val="auto"/>
                      <w:sz w:val="18"/>
                      <w:szCs w:val="18"/>
                    </w:rPr>
                  </w:pPr>
                  <w:r>
                    <w:rPr>
                      <w:b/>
                      <w:bCs/>
                      <w:color w:val="auto"/>
                      <w:sz w:val="18"/>
                      <w:szCs w:val="18"/>
                    </w:rPr>
                    <w:t>无组织排放</w:t>
                  </w:r>
                </w:p>
              </w:tc>
            </w:tr>
            <w:tr w14:paraId="3D80A9D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33" w:type="dxa"/>
                  <w:vMerge w:val="continue"/>
                  <w:tcBorders>
                    <w:left w:val="single" w:color="auto" w:sz="6" w:space="0"/>
                    <w:bottom w:val="single" w:color="auto" w:sz="4" w:space="0"/>
                    <w:right w:val="single" w:color="auto" w:sz="4" w:space="0"/>
                  </w:tcBorders>
                  <w:noWrap w:val="0"/>
                  <w:vAlign w:val="center"/>
                </w:tcPr>
                <w:p w14:paraId="09AFE032">
                  <w:pPr>
                    <w:autoSpaceDE w:val="0"/>
                    <w:autoSpaceDN w:val="0"/>
                    <w:adjustRightInd w:val="0"/>
                    <w:jc w:val="center"/>
                    <w:rPr>
                      <w:color w:val="auto"/>
                      <w:sz w:val="18"/>
                      <w:szCs w:val="18"/>
                    </w:rPr>
                  </w:pPr>
                </w:p>
              </w:tc>
              <w:tc>
                <w:tcPr>
                  <w:tcW w:w="1233" w:type="dxa"/>
                  <w:tcBorders>
                    <w:top w:val="single" w:color="auto" w:sz="4" w:space="0"/>
                    <w:left w:val="single" w:color="auto" w:sz="4" w:space="0"/>
                    <w:bottom w:val="single" w:color="auto" w:sz="4" w:space="0"/>
                    <w:right w:val="single" w:color="auto" w:sz="6" w:space="0"/>
                  </w:tcBorders>
                  <w:noWrap w:val="0"/>
                  <w:vAlign w:val="center"/>
                </w:tcPr>
                <w:p w14:paraId="1FF6EF0F">
                  <w:pPr>
                    <w:autoSpaceDE w:val="0"/>
                    <w:autoSpaceDN w:val="0"/>
                    <w:adjustRightInd w:val="0"/>
                    <w:jc w:val="center"/>
                    <w:rPr>
                      <w:color w:val="auto"/>
                      <w:sz w:val="18"/>
                      <w:szCs w:val="18"/>
                    </w:rPr>
                  </w:pPr>
                  <w:r>
                    <w:rPr>
                      <w:color w:val="auto"/>
                      <w:sz w:val="18"/>
                      <w:szCs w:val="18"/>
                    </w:rPr>
                    <w:t>最高允许排放浓度mg/m</w:t>
                  </w:r>
                  <w:r>
                    <w:rPr>
                      <w:color w:val="auto"/>
                      <w:sz w:val="18"/>
                      <w:szCs w:val="18"/>
                      <w:vertAlign w:val="superscript"/>
                    </w:rPr>
                    <w:t>3</w:t>
                  </w:r>
                </w:p>
              </w:tc>
              <w:tc>
                <w:tcPr>
                  <w:tcW w:w="1023" w:type="dxa"/>
                  <w:tcBorders>
                    <w:top w:val="single" w:color="auto" w:sz="4" w:space="0"/>
                    <w:left w:val="single" w:color="auto" w:sz="6" w:space="0"/>
                    <w:bottom w:val="single" w:color="auto" w:sz="4" w:space="0"/>
                    <w:right w:val="single" w:color="auto" w:sz="6" w:space="0"/>
                  </w:tcBorders>
                  <w:noWrap w:val="0"/>
                  <w:vAlign w:val="center"/>
                </w:tcPr>
                <w:p w14:paraId="6813D2C8">
                  <w:pPr>
                    <w:autoSpaceDE w:val="0"/>
                    <w:autoSpaceDN w:val="0"/>
                    <w:adjustRightInd w:val="0"/>
                    <w:jc w:val="center"/>
                    <w:rPr>
                      <w:color w:val="auto"/>
                      <w:sz w:val="18"/>
                      <w:szCs w:val="18"/>
                    </w:rPr>
                  </w:pPr>
                  <w:r>
                    <w:rPr>
                      <w:color w:val="auto"/>
                      <w:sz w:val="18"/>
                      <w:szCs w:val="18"/>
                    </w:rPr>
                    <w:t>排气筒高度m</w:t>
                  </w:r>
                </w:p>
              </w:tc>
              <w:tc>
                <w:tcPr>
                  <w:tcW w:w="1083" w:type="dxa"/>
                  <w:tcBorders>
                    <w:top w:val="single" w:color="auto" w:sz="4" w:space="0"/>
                    <w:left w:val="single" w:color="auto" w:sz="6" w:space="0"/>
                    <w:bottom w:val="single" w:color="auto" w:sz="4" w:space="0"/>
                    <w:right w:val="single" w:color="auto" w:sz="4" w:space="0"/>
                  </w:tcBorders>
                  <w:noWrap w:val="0"/>
                  <w:vAlign w:val="center"/>
                </w:tcPr>
                <w:p w14:paraId="696C6ABF">
                  <w:pPr>
                    <w:autoSpaceDE w:val="0"/>
                    <w:autoSpaceDN w:val="0"/>
                    <w:adjustRightInd w:val="0"/>
                    <w:jc w:val="center"/>
                    <w:rPr>
                      <w:color w:val="auto"/>
                      <w:sz w:val="18"/>
                      <w:szCs w:val="18"/>
                    </w:rPr>
                  </w:pPr>
                  <w:r>
                    <w:rPr>
                      <w:color w:val="auto"/>
                      <w:sz w:val="18"/>
                      <w:szCs w:val="18"/>
                    </w:rPr>
                    <w:t>最高允许排放速率kg/h</w:t>
                  </w:r>
                </w:p>
              </w:tc>
              <w:tc>
                <w:tcPr>
                  <w:tcW w:w="2587" w:type="dxa"/>
                  <w:tcBorders>
                    <w:top w:val="single" w:color="auto" w:sz="6" w:space="0"/>
                    <w:left w:val="single" w:color="auto" w:sz="4" w:space="0"/>
                    <w:bottom w:val="single" w:color="auto" w:sz="4" w:space="0"/>
                    <w:right w:val="single" w:color="auto" w:sz="6" w:space="0"/>
                  </w:tcBorders>
                  <w:noWrap w:val="0"/>
                  <w:vAlign w:val="center"/>
                </w:tcPr>
                <w:p w14:paraId="07C79124">
                  <w:pPr>
                    <w:autoSpaceDE w:val="0"/>
                    <w:autoSpaceDN w:val="0"/>
                    <w:adjustRightInd w:val="0"/>
                    <w:jc w:val="center"/>
                    <w:rPr>
                      <w:color w:val="auto"/>
                      <w:sz w:val="18"/>
                      <w:szCs w:val="18"/>
                    </w:rPr>
                  </w:pPr>
                  <w:r>
                    <w:rPr>
                      <w:color w:val="auto"/>
                      <w:sz w:val="18"/>
                      <w:szCs w:val="18"/>
                    </w:rPr>
                    <w:t>监控点</w:t>
                  </w:r>
                </w:p>
              </w:tc>
              <w:tc>
                <w:tcPr>
                  <w:tcW w:w="799" w:type="dxa"/>
                  <w:tcBorders>
                    <w:top w:val="single" w:color="auto" w:sz="6" w:space="0"/>
                    <w:left w:val="single" w:color="auto" w:sz="6" w:space="0"/>
                    <w:bottom w:val="single" w:color="auto" w:sz="4" w:space="0"/>
                    <w:right w:val="single" w:color="auto" w:sz="6" w:space="0"/>
                  </w:tcBorders>
                  <w:noWrap w:val="0"/>
                  <w:vAlign w:val="center"/>
                </w:tcPr>
                <w:p w14:paraId="0697F5F0">
                  <w:pPr>
                    <w:autoSpaceDE w:val="0"/>
                    <w:autoSpaceDN w:val="0"/>
                    <w:adjustRightInd w:val="0"/>
                    <w:jc w:val="center"/>
                    <w:rPr>
                      <w:color w:val="auto"/>
                      <w:sz w:val="18"/>
                      <w:szCs w:val="18"/>
                    </w:rPr>
                  </w:pPr>
                  <w:r>
                    <w:rPr>
                      <w:color w:val="auto"/>
                      <w:sz w:val="18"/>
                      <w:szCs w:val="18"/>
                    </w:rPr>
                    <w:t>浓度mg/m</w:t>
                  </w:r>
                  <w:r>
                    <w:rPr>
                      <w:color w:val="auto"/>
                      <w:sz w:val="18"/>
                      <w:szCs w:val="18"/>
                      <w:vertAlign w:val="superscript"/>
                    </w:rPr>
                    <w:t>3</w:t>
                  </w:r>
                </w:p>
              </w:tc>
            </w:tr>
            <w:tr w14:paraId="73BD409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33" w:type="dxa"/>
                  <w:tcBorders>
                    <w:top w:val="single" w:color="auto" w:sz="4" w:space="0"/>
                    <w:left w:val="single" w:color="auto" w:sz="4" w:space="0"/>
                    <w:bottom w:val="single" w:color="auto" w:sz="4" w:space="0"/>
                    <w:right w:val="single" w:color="auto" w:sz="4" w:space="0"/>
                  </w:tcBorders>
                  <w:noWrap w:val="0"/>
                  <w:vAlign w:val="center"/>
                </w:tcPr>
                <w:p w14:paraId="23989352">
                  <w:pPr>
                    <w:autoSpaceDE w:val="0"/>
                    <w:autoSpaceDN w:val="0"/>
                    <w:adjustRightInd w:val="0"/>
                    <w:jc w:val="center"/>
                    <w:rPr>
                      <w:sz w:val="18"/>
                      <w:szCs w:val="18"/>
                    </w:rPr>
                  </w:pPr>
                  <w:r>
                    <w:rPr>
                      <w:sz w:val="18"/>
                      <w:szCs w:val="18"/>
                    </w:rPr>
                    <w:t>颗粒物</w:t>
                  </w:r>
                </w:p>
              </w:tc>
              <w:tc>
                <w:tcPr>
                  <w:tcW w:w="1233" w:type="dxa"/>
                  <w:tcBorders>
                    <w:top w:val="single" w:color="auto" w:sz="4" w:space="0"/>
                    <w:left w:val="single" w:color="auto" w:sz="4" w:space="0"/>
                    <w:bottom w:val="single" w:color="auto" w:sz="4" w:space="0"/>
                    <w:right w:val="single" w:color="auto" w:sz="4" w:space="0"/>
                  </w:tcBorders>
                  <w:noWrap w:val="0"/>
                  <w:vAlign w:val="center"/>
                </w:tcPr>
                <w:p w14:paraId="3DC2EF65">
                  <w:pPr>
                    <w:autoSpaceDE w:val="0"/>
                    <w:autoSpaceDN w:val="0"/>
                    <w:adjustRightInd w:val="0"/>
                    <w:jc w:val="center"/>
                    <w:rPr>
                      <w:sz w:val="18"/>
                      <w:szCs w:val="18"/>
                    </w:rPr>
                  </w:pPr>
                  <w:r>
                    <w:rPr>
                      <w:sz w:val="18"/>
                      <w:szCs w:val="18"/>
                    </w:rPr>
                    <w:t>10</w:t>
                  </w:r>
                </w:p>
              </w:tc>
              <w:tc>
                <w:tcPr>
                  <w:tcW w:w="1023" w:type="dxa"/>
                  <w:tcBorders>
                    <w:top w:val="single" w:color="auto" w:sz="4" w:space="0"/>
                    <w:left w:val="single" w:color="auto" w:sz="4" w:space="0"/>
                    <w:bottom w:val="single" w:color="auto" w:sz="4" w:space="0"/>
                    <w:right w:val="single" w:color="auto" w:sz="6" w:space="0"/>
                  </w:tcBorders>
                  <w:noWrap w:val="0"/>
                  <w:vAlign w:val="center"/>
                </w:tcPr>
                <w:p w14:paraId="417EBD18">
                  <w:pPr>
                    <w:autoSpaceDE w:val="0"/>
                    <w:autoSpaceDN w:val="0"/>
                    <w:adjustRightInd w:val="0"/>
                    <w:jc w:val="center"/>
                    <w:rPr>
                      <w:sz w:val="18"/>
                      <w:szCs w:val="18"/>
                    </w:rPr>
                  </w:pPr>
                  <w:r>
                    <w:rPr>
                      <w:sz w:val="18"/>
                      <w:szCs w:val="18"/>
                    </w:rPr>
                    <w:t>15</w:t>
                  </w:r>
                </w:p>
              </w:tc>
              <w:tc>
                <w:tcPr>
                  <w:tcW w:w="1083" w:type="dxa"/>
                  <w:tcBorders>
                    <w:top w:val="single" w:color="auto" w:sz="4" w:space="0"/>
                    <w:left w:val="single" w:color="auto" w:sz="6" w:space="0"/>
                    <w:bottom w:val="single" w:color="auto" w:sz="4" w:space="0"/>
                    <w:right w:val="single" w:color="auto" w:sz="4" w:space="0"/>
                  </w:tcBorders>
                  <w:noWrap w:val="0"/>
                  <w:vAlign w:val="center"/>
                </w:tcPr>
                <w:p w14:paraId="7D47A42B">
                  <w:pPr>
                    <w:autoSpaceDE w:val="0"/>
                    <w:autoSpaceDN w:val="0"/>
                    <w:adjustRightInd w:val="0"/>
                    <w:jc w:val="center"/>
                    <w:rPr>
                      <w:sz w:val="18"/>
                      <w:szCs w:val="18"/>
                    </w:rPr>
                  </w:pPr>
                  <w:r>
                    <w:rPr>
                      <w:sz w:val="18"/>
                      <w:szCs w:val="18"/>
                    </w:rPr>
                    <w:t>--</w:t>
                  </w:r>
                </w:p>
              </w:tc>
              <w:tc>
                <w:tcPr>
                  <w:tcW w:w="2587" w:type="dxa"/>
                  <w:tcBorders>
                    <w:top w:val="single" w:color="auto" w:sz="6" w:space="0"/>
                    <w:left w:val="single" w:color="auto" w:sz="4" w:space="0"/>
                    <w:bottom w:val="single" w:color="auto" w:sz="6" w:space="0"/>
                    <w:right w:val="single" w:color="auto" w:sz="6" w:space="0"/>
                  </w:tcBorders>
                  <w:noWrap w:val="0"/>
                  <w:vAlign w:val="center"/>
                </w:tcPr>
                <w:p w14:paraId="42AF3309">
                  <w:pPr>
                    <w:autoSpaceDE w:val="0"/>
                    <w:autoSpaceDN w:val="0"/>
                    <w:adjustRightInd w:val="0"/>
                    <w:jc w:val="center"/>
                    <w:rPr>
                      <w:sz w:val="18"/>
                      <w:szCs w:val="18"/>
                    </w:rPr>
                  </w:pPr>
                  <w:r>
                    <w:rPr>
                      <w:sz w:val="18"/>
                      <w:szCs w:val="18"/>
                    </w:rPr>
                    <w:t>厂界监控浓度</w:t>
                  </w:r>
                </w:p>
              </w:tc>
              <w:tc>
                <w:tcPr>
                  <w:tcW w:w="799" w:type="dxa"/>
                  <w:tcBorders>
                    <w:top w:val="single" w:color="auto" w:sz="6" w:space="0"/>
                    <w:left w:val="single" w:color="auto" w:sz="6" w:space="0"/>
                    <w:bottom w:val="single" w:color="auto" w:sz="6" w:space="0"/>
                    <w:right w:val="single" w:color="auto" w:sz="6" w:space="0"/>
                  </w:tcBorders>
                  <w:noWrap w:val="0"/>
                  <w:vAlign w:val="center"/>
                </w:tcPr>
                <w:p w14:paraId="1F4539DB">
                  <w:pPr>
                    <w:autoSpaceDE w:val="0"/>
                    <w:autoSpaceDN w:val="0"/>
                    <w:adjustRightInd w:val="0"/>
                    <w:jc w:val="center"/>
                    <w:rPr>
                      <w:rFonts w:hint="default" w:eastAsia="宋体"/>
                      <w:spacing w:val="6"/>
                      <w:sz w:val="18"/>
                      <w:szCs w:val="18"/>
                      <w:lang w:val="en-US" w:eastAsia="zh-CN"/>
                    </w:rPr>
                  </w:pPr>
                  <w:r>
                    <w:rPr>
                      <w:rFonts w:hint="eastAsia"/>
                      <w:sz w:val="18"/>
                      <w:szCs w:val="18"/>
                      <w:lang w:val="en-US" w:eastAsia="zh-CN"/>
                    </w:rPr>
                    <w:t>1.0</w:t>
                  </w:r>
                </w:p>
              </w:tc>
            </w:tr>
            <w:tr w14:paraId="2905078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33" w:type="dxa"/>
                  <w:tcBorders>
                    <w:top w:val="single" w:color="auto" w:sz="4" w:space="0"/>
                    <w:left w:val="single" w:color="auto" w:sz="4" w:space="0"/>
                    <w:bottom w:val="single" w:color="auto" w:sz="4" w:space="0"/>
                    <w:right w:val="single" w:color="auto" w:sz="4" w:space="0"/>
                  </w:tcBorders>
                  <w:noWrap w:val="0"/>
                  <w:vAlign w:val="center"/>
                </w:tcPr>
                <w:p w14:paraId="377FEFB1">
                  <w:pPr>
                    <w:autoSpaceDE w:val="0"/>
                    <w:autoSpaceDN w:val="0"/>
                    <w:adjustRightInd w:val="0"/>
                    <w:jc w:val="center"/>
                    <w:rPr>
                      <w:sz w:val="18"/>
                      <w:szCs w:val="18"/>
                    </w:rPr>
                  </w:pPr>
                  <w:r>
                    <w:rPr>
                      <w:sz w:val="18"/>
                      <w:szCs w:val="18"/>
                    </w:rPr>
                    <w:t>SO</w:t>
                  </w:r>
                  <w:r>
                    <w:rPr>
                      <w:sz w:val="18"/>
                      <w:szCs w:val="18"/>
                      <w:vertAlign w:val="subscript"/>
                    </w:rPr>
                    <w:t>2</w:t>
                  </w:r>
                </w:p>
              </w:tc>
              <w:tc>
                <w:tcPr>
                  <w:tcW w:w="1233" w:type="dxa"/>
                  <w:tcBorders>
                    <w:top w:val="single" w:color="auto" w:sz="4" w:space="0"/>
                    <w:left w:val="single" w:color="auto" w:sz="4" w:space="0"/>
                    <w:bottom w:val="single" w:color="auto" w:sz="4" w:space="0"/>
                    <w:right w:val="single" w:color="auto" w:sz="4" w:space="0"/>
                  </w:tcBorders>
                  <w:noWrap w:val="0"/>
                  <w:vAlign w:val="center"/>
                </w:tcPr>
                <w:p w14:paraId="7D8A8F5C">
                  <w:pPr>
                    <w:autoSpaceDE w:val="0"/>
                    <w:autoSpaceDN w:val="0"/>
                    <w:adjustRightInd w:val="0"/>
                    <w:jc w:val="center"/>
                    <w:rPr>
                      <w:sz w:val="18"/>
                      <w:szCs w:val="18"/>
                    </w:rPr>
                  </w:pPr>
                  <w:r>
                    <w:rPr>
                      <w:sz w:val="18"/>
                      <w:szCs w:val="18"/>
                    </w:rPr>
                    <w:t>50</w:t>
                  </w:r>
                </w:p>
              </w:tc>
              <w:tc>
                <w:tcPr>
                  <w:tcW w:w="1023" w:type="dxa"/>
                  <w:tcBorders>
                    <w:top w:val="single" w:color="auto" w:sz="4" w:space="0"/>
                    <w:left w:val="single" w:color="auto" w:sz="4" w:space="0"/>
                    <w:bottom w:val="single" w:color="auto" w:sz="4" w:space="0"/>
                    <w:right w:val="single" w:color="auto" w:sz="6" w:space="0"/>
                  </w:tcBorders>
                  <w:noWrap w:val="0"/>
                  <w:vAlign w:val="center"/>
                </w:tcPr>
                <w:p w14:paraId="2AC96BCC">
                  <w:pPr>
                    <w:autoSpaceDE w:val="0"/>
                    <w:autoSpaceDN w:val="0"/>
                    <w:adjustRightInd w:val="0"/>
                    <w:jc w:val="center"/>
                    <w:rPr>
                      <w:sz w:val="18"/>
                      <w:szCs w:val="18"/>
                    </w:rPr>
                  </w:pPr>
                  <w:r>
                    <w:rPr>
                      <w:sz w:val="18"/>
                      <w:szCs w:val="18"/>
                    </w:rPr>
                    <w:t>15</w:t>
                  </w:r>
                </w:p>
              </w:tc>
              <w:tc>
                <w:tcPr>
                  <w:tcW w:w="1083" w:type="dxa"/>
                  <w:tcBorders>
                    <w:top w:val="single" w:color="auto" w:sz="4" w:space="0"/>
                    <w:left w:val="single" w:color="auto" w:sz="6" w:space="0"/>
                    <w:bottom w:val="single" w:color="auto" w:sz="4" w:space="0"/>
                    <w:right w:val="single" w:color="auto" w:sz="4" w:space="0"/>
                  </w:tcBorders>
                  <w:noWrap w:val="0"/>
                  <w:vAlign w:val="center"/>
                </w:tcPr>
                <w:p w14:paraId="4AA3587A">
                  <w:pPr>
                    <w:autoSpaceDE w:val="0"/>
                    <w:autoSpaceDN w:val="0"/>
                    <w:adjustRightInd w:val="0"/>
                    <w:jc w:val="center"/>
                    <w:rPr>
                      <w:sz w:val="18"/>
                      <w:szCs w:val="18"/>
                    </w:rPr>
                  </w:pPr>
                  <w:r>
                    <w:rPr>
                      <w:sz w:val="18"/>
                      <w:szCs w:val="18"/>
                    </w:rPr>
                    <w:t>--</w:t>
                  </w:r>
                </w:p>
              </w:tc>
              <w:tc>
                <w:tcPr>
                  <w:tcW w:w="2587" w:type="dxa"/>
                  <w:tcBorders>
                    <w:top w:val="single" w:color="auto" w:sz="6" w:space="0"/>
                    <w:left w:val="single" w:color="auto" w:sz="4" w:space="0"/>
                    <w:bottom w:val="single" w:color="auto" w:sz="6" w:space="0"/>
                    <w:right w:val="single" w:color="auto" w:sz="6" w:space="0"/>
                  </w:tcBorders>
                  <w:noWrap w:val="0"/>
                  <w:vAlign w:val="center"/>
                </w:tcPr>
                <w:p w14:paraId="690B5D50">
                  <w:pPr>
                    <w:autoSpaceDE w:val="0"/>
                    <w:autoSpaceDN w:val="0"/>
                    <w:adjustRightInd w:val="0"/>
                    <w:jc w:val="center"/>
                    <w:rPr>
                      <w:sz w:val="18"/>
                      <w:szCs w:val="18"/>
                    </w:rPr>
                  </w:pPr>
                  <w:r>
                    <w:rPr>
                      <w:sz w:val="18"/>
                      <w:szCs w:val="18"/>
                    </w:rPr>
                    <w:t>--</w:t>
                  </w:r>
                </w:p>
              </w:tc>
              <w:tc>
                <w:tcPr>
                  <w:tcW w:w="799" w:type="dxa"/>
                  <w:tcBorders>
                    <w:top w:val="single" w:color="auto" w:sz="6" w:space="0"/>
                    <w:left w:val="single" w:color="auto" w:sz="6" w:space="0"/>
                    <w:bottom w:val="single" w:color="auto" w:sz="6" w:space="0"/>
                    <w:right w:val="single" w:color="auto" w:sz="6" w:space="0"/>
                  </w:tcBorders>
                  <w:noWrap w:val="0"/>
                  <w:vAlign w:val="center"/>
                </w:tcPr>
                <w:p w14:paraId="76630224">
                  <w:pPr>
                    <w:autoSpaceDE w:val="0"/>
                    <w:autoSpaceDN w:val="0"/>
                    <w:adjustRightInd w:val="0"/>
                    <w:jc w:val="center"/>
                    <w:rPr>
                      <w:spacing w:val="6"/>
                      <w:sz w:val="18"/>
                      <w:szCs w:val="18"/>
                    </w:rPr>
                  </w:pPr>
                  <w:r>
                    <w:rPr>
                      <w:sz w:val="18"/>
                      <w:szCs w:val="18"/>
                    </w:rPr>
                    <w:t>--</w:t>
                  </w:r>
                </w:p>
              </w:tc>
            </w:tr>
            <w:tr w14:paraId="74D437B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33" w:type="dxa"/>
                  <w:tcBorders>
                    <w:top w:val="single" w:color="auto" w:sz="4" w:space="0"/>
                    <w:left w:val="single" w:color="auto" w:sz="4" w:space="0"/>
                    <w:bottom w:val="single" w:color="auto" w:sz="4" w:space="0"/>
                    <w:right w:val="single" w:color="auto" w:sz="4" w:space="0"/>
                  </w:tcBorders>
                  <w:noWrap w:val="0"/>
                  <w:vAlign w:val="center"/>
                </w:tcPr>
                <w:p w14:paraId="713050F0">
                  <w:pPr>
                    <w:autoSpaceDE w:val="0"/>
                    <w:autoSpaceDN w:val="0"/>
                    <w:adjustRightInd w:val="0"/>
                    <w:jc w:val="center"/>
                    <w:rPr>
                      <w:sz w:val="18"/>
                      <w:szCs w:val="18"/>
                    </w:rPr>
                  </w:pPr>
                  <w:r>
                    <w:rPr>
                      <w:sz w:val="18"/>
                      <w:szCs w:val="18"/>
                    </w:rPr>
                    <w:t>NOx</w:t>
                  </w:r>
                </w:p>
              </w:tc>
              <w:tc>
                <w:tcPr>
                  <w:tcW w:w="1233" w:type="dxa"/>
                  <w:tcBorders>
                    <w:top w:val="single" w:color="auto" w:sz="4" w:space="0"/>
                    <w:left w:val="single" w:color="auto" w:sz="4" w:space="0"/>
                    <w:bottom w:val="single" w:color="auto" w:sz="4" w:space="0"/>
                    <w:right w:val="single" w:color="auto" w:sz="4" w:space="0"/>
                  </w:tcBorders>
                  <w:noWrap w:val="0"/>
                  <w:vAlign w:val="center"/>
                </w:tcPr>
                <w:p w14:paraId="074B86E0">
                  <w:pPr>
                    <w:autoSpaceDE w:val="0"/>
                    <w:autoSpaceDN w:val="0"/>
                    <w:adjustRightInd w:val="0"/>
                    <w:jc w:val="center"/>
                    <w:rPr>
                      <w:sz w:val="18"/>
                      <w:szCs w:val="18"/>
                    </w:rPr>
                  </w:pPr>
                  <w:r>
                    <w:rPr>
                      <w:sz w:val="18"/>
                      <w:szCs w:val="18"/>
                    </w:rPr>
                    <w:t>100</w:t>
                  </w:r>
                </w:p>
              </w:tc>
              <w:tc>
                <w:tcPr>
                  <w:tcW w:w="1023" w:type="dxa"/>
                  <w:tcBorders>
                    <w:top w:val="single" w:color="auto" w:sz="4" w:space="0"/>
                    <w:left w:val="single" w:color="auto" w:sz="4" w:space="0"/>
                    <w:bottom w:val="single" w:color="auto" w:sz="4" w:space="0"/>
                    <w:right w:val="single" w:color="auto" w:sz="6" w:space="0"/>
                  </w:tcBorders>
                  <w:noWrap w:val="0"/>
                  <w:vAlign w:val="center"/>
                </w:tcPr>
                <w:p w14:paraId="715D30AB">
                  <w:pPr>
                    <w:autoSpaceDE w:val="0"/>
                    <w:autoSpaceDN w:val="0"/>
                    <w:adjustRightInd w:val="0"/>
                    <w:jc w:val="center"/>
                    <w:rPr>
                      <w:sz w:val="18"/>
                      <w:szCs w:val="18"/>
                    </w:rPr>
                  </w:pPr>
                  <w:r>
                    <w:rPr>
                      <w:sz w:val="18"/>
                      <w:szCs w:val="18"/>
                    </w:rPr>
                    <w:t>15</w:t>
                  </w:r>
                </w:p>
              </w:tc>
              <w:tc>
                <w:tcPr>
                  <w:tcW w:w="1083" w:type="dxa"/>
                  <w:tcBorders>
                    <w:top w:val="single" w:color="auto" w:sz="4" w:space="0"/>
                    <w:left w:val="single" w:color="auto" w:sz="6" w:space="0"/>
                    <w:bottom w:val="single" w:color="auto" w:sz="4" w:space="0"/>
                    <w:right w:val="single" w:color="auto" w:sz="4" w:space="0"/>
                  </w:tcBorders>
                  <w:noWrap w:val="0"/>
                  <w:vAlign w:val="center"/>
                </w:tcPr>
                <w:p w14:paraId="5238B7AE">
                  <w:pPr>
                    <w:autoSpaceDE w:val="0"/>
                    <w:autoSpaceDN w:val="0"/>
                    <w:adjustRightInd w:val="0"/>
                    <w:jc w:val="center"/>
                    <w:rPr>
                      <w:sz w:val="18"/>
                      <w:szCs w:val="18"/>
                    </w:rPr>
                  </w:pPr>
                  <w:r>
                    <w:rPr>
                      <w:sz w:val="18"/>
                      <w:szCs w:val="18"/>
                    </w:rPr>
                    <w:t>--</w:t>
                  </w:r>
                </w:p>
              </w:tc>
              <w:tc>
                <w:tcPr>
                  <w:tcW w:w="2587" w:type="dxa"/>
                  <w:tcBorders>
                    <w:top w:val="single" w:color="auto" w:sz="6" w:space="0"/>
                    <w:left w:val="single" w:color="auto" w:sz="4" w:space="0"/>
                    <w:bottom w:val="single" w:color="auto" w:sz="6" w:space="0"/>
                    <w:right w:val="single" w:color="auto" w:sz="6" w:space="0"/>
                  </w:tcBorders>
                  <w:noWrap w:val="0"/>
                  <w:vAlign w:val="center"/>
                </w:tcPr>
                <w:p w14:paraId="15D4C18B">
                  <w:pPr>
                    <w:autoSpaceDE w:val="0"/>
                    <w:autoSpaceDN w:val="0"/>
                    <w:adjustRightInd w:val="0"/>
                    <w:jc w:val="center"/>
                    <w:rPr>
                      <w:sz w:val="18"/>
                      <w:szCs w:val="18"/>
                    </w:rPr>
                  </w:pPr>
                  <w:r>
                    <w:rPr>
                      <w:sz w:val="18"/>
                      <w:szCs w:val="18"/>
                    </w:rPr>
                    <w:t>--</w:t>
                  </w:r>
                </w:p>
              </w:tc>
              <w:tc>
                <w:tcPr>
                  <w:tcW w:w="799" w:type="dxa"/>
                  <w:tcBorders>
                    <w:top w:val="single" w:color="auto" w:sz="6" w:space="0"/>
                    <w:left w:val="single" w:color="auto" w:sz="6" w:space="0"/>
                    <w:bottom w:val="single" w:color="auto" w:sz="6" w:space="0"/>
                    <w:right w:val="single" w:color="auto" w:sz="6" w:space="0"/>
                  </w:tcBorders>
                  <w:noWrap w:val="0"/>
                  <w:vAlign w:val="center"/>
                </w:tcPr>
                <w:p w14:paraId="7C030827">
                  <w:pPr>
                    <w:autoSpaceDE w:val="0"/>
                    <w:autoSpaceDN w:val="0"/>
                    <w:adjustRightInd w:val="0"/>
                    <w:jc w:val="center"/>
                    <w:rPr>
                      <w:spacing w:val="6"/>
                      <w:sz w:val="18"/>
                      <w:szCs w:val="18"/>
                    </w:rPr>
                  </w:pPr>
                  <w:r>
                    <w:rPr>
                      <w:sz w:val="18"/>
                      <w:szCs w:val="18"/>
                    </w:rPr>
                    <w:t>--</w:t>
                  </w:r>
                </w:p>
              </w:tc>
            </w:tr>
            <w:tr w14:paraId="522024E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340" w:hRule="atLeast"/>
                <w:jc w:val="center"/>
              </w:trPr>
              <w:tc>
                <w:tcPr>
                  <w:tcW w:w="1233" w:type="dxa"/>
                  <w:tcBorders>
                    <w:top w:val="single" w:color="auto" w:sz="4" w:space="0"/>
                    <w:left w:val="single" w:color="auto" w:sz="4" w:space="0"/>
                    <w:bottom w:val="single" w:color="auto" w:sz="4" w:space="0"/>
                    <w:right w:val="single" w:color="auto" w:sz="4" w:space="0"/>
                  </w:tcBorders>
                  <w:noWrap w:val="0"/>
                  <w:vAlign w:val="center"/>
                </w:tcPr>
                <w:p w14:paraId="34865449">
                  <w:pPr>
                    <w:autoSpaceDE w:val="0"/>
                    <w:autoSpaceDN w:val="0"/>
                    <w:adjustRightInd w:val="0"/>
                    <w:jc w:val="center"/>
                    <w:rPr>
                      <w:sz w:val="18"/>
                      <w:szCs w:val="18"/>
                    </w:rPr>
                  </w:pPr>
                  <w:r>
                    <w:rPr>
                      <w:sz w:val="18"/>
                      <w:szCs w:val="18"/>
                    </w:rPr>
                    <w:t>氨</w:t>
                  </w:r>
                </w:p>
              </w:tc>
              <w:tc>
                <w:tcPr>
                  <w:tcW w:w="1233" w:type="dxa"/>
                  <w:tcBorders>
                    <w:top w:val="single" w:color="auto" w:sz="4" w:space="0"/>
                    <w:left w:val="single" w:color="auto" w:sz="4" w:space="0"/>
                    <w:bottom w:val="single" w:color="auto" w:sz="4" w:space="0"/>
                    <w:right w:val="single" w:color="auto" w:sz="4" w:space="0"/>
                  </w:tcBorders>
                  <w:noWrap w:val="0"/>
                  <w:vAlign w:val="center"/>
                </w:tcPr>
                <w:p w14:paraId="2E668D80">
                  <w:pPr>
                    <w:autoSpaceDE w:val="0"/>
                    <w:autoSpaceDN w:val="0"/>
                    <w:adjustRightInd w:val="0"/>
                    <w:jc w:val="center"/>
                    <w:rPr>
                      <w:sz w:val="18"/>
                      <w:szCs w:val="18"/>
                    </w:rPr>
                  </w:pPr>
                  <w:r>
                    <w:rPr>
                      <w:sz w:val="18"/>
                      <w:szCs w:val="18"/>
                    </w:rPr>
                    <w:t>--</w:t>
                  </w:r>
                </w:p>
              </w:tc>
              <w:tc>
                <w:tcPr>
                  <w:tcW w:w="1023" w:type="dxa"/>
                  <w:tcBorders>
                    <w:top w:val="single" w:color="auto" w:sz="4" w:space="0"/>
                    <w:left w:val="single" w:color="auto" w:sz="4" w:space="0"/>
                    <w:bottom w:val="single" w:color="auto" w:sz="4" w:space="0"/>
                    <w:right w:val="single" w:color="auto" w:sz="6" w:space="0"/>
                  </w:tcBorders>
                  <w:noWrap w:val="0"/>
                  <w:vAlign w:val="center"/>
                </w:tcPr>
                <w:p w14:paraId="02175337">
                  <w:pPr>
                    <w:autoSpaceDE w:val="0"/>
                    <w:autoSpaceDN w:val="0"/>
                    <w:adjustRightInd w:val="0"/>
                    <w:jc w:val="center"/>
                    <w:rPr>
                      <w:sz w:val="18"/>
                      <w:szCs w:val="18"/>
                    </w:rPr>
                  </w:pPr>
                  <w:r>
                    <w:rPr>
                      <w:rFonts w:hint="eastAsia"/>
                      <w:sz w:val="18"/>
                      <w:szCs w:val="18"/>
                    </w:rPr>
                    <w:t>15</w:t>
                  </w:r>
                </w:p>
              </w:tc>
              <w:tc>
                <w:tcPr>
                  <w:tcW w:w="1083" w:type="dxa"/>
                  <w:tcBorders>
                    <w:top w:val="single" w:color="auto" w:sz="4" w:space="0"/>
                    <w:left w:val="single" w:color="auto" w:sz="6" w:space="0"/>
                    <w:bottom w:val="single" w:color="auto" w:sz="4" w:space="0"/>
                    <w:right w:val="single" w:color="auto" w:sz="4" w:space="0"/>
                  </w:tcBorders>
                  <w:noWrap w:val="0"/>
                  <w:vAlign w:val="center"/>
                </w:tcPr>
                <w:p w14:paraId="3AAB43B3">
                  <w:pPr>
                    <w:autoSpaceDE w:val="0"/>
                    <w:autoSpaceDN w:val="0"/>
                    <w:adjustRightInd w:val="0"/>
                    <w:jc w:val="center"/>
                    <w:rPr>
                      <w:sz w:val="18"/>
                      <w:szCs w:val="18"/>
                    </w:rPr>
                  </w:pPr>
                  <w:r>
                    <w:rPr>
                      <w:rFonts w:hint="eastAsia"/>
                      <w:sz w:val="18"/>
                      <w:szCs w:val="18"/>
                    </w:rPr>
                    <w:t>4.9</w:t>
                  </w:r>
                </w:p>
              </w:tc>
              <w:tc>
                <w:tcPr>
                  <w:tcW w:w="2587" w:type="dxa"/>
                  <w:tcBorders>
                    <w:top w:val="single" w:color="auto" w:sz="6" w:space="0"/>
                    <w:left w:val="single" w:color="auto" w:sz="4" w:space="0"/>
                    <w:bottom w:val="single" w:color="auto" w:sz="6" w:space="0"/>
                    <w:right w:val="single" w:color="auto" w:sz="6" w:space="0"/>
                  </w:tcBorders>
                  <w:noWrap w:val="0"/>
                  <w:vAlign w:val="center"/>
                </w:tcPr>
                <w:p w14:paraId="24F2738D">
                  <w:pPr>
                    <w:autoSpaceDE w:val="0"/>
                    <w:autoSpaceDN w:val="0"/>
                    <w:adjustRightInd w:val="0"/>
                    <w:jc w:val="center"/>
                    <w:rPr>
                      <w:sz w:val="18"/>
                      <w:szCs w:val="18"/>
                    </w:rPr>
                  </w:pPr>
                  <w:r>
                    <w:rPr>
                      <w:sz w:val="18"/>
                      <w:szCs w:val="18"/>
                    </w:rPr>
                    <w:t>厂界监控浓度</w:t>
                  </w:r>
                </w:p>
              </w:tc>
              <w:tc>
                <w:tcPr>
                  <w:tcW w:w="799" w:type="dxa"/>
                  <w:tcBorders>
                    <w:top w:val="single" w:color="auto" w:sz="6" w:space="0"/>
                    <w:left w:val="single" w:color="auto" w:sz="6" w:space="0"/>
                    <w:bottom w:val="single" w:color="auto" w:sz="6" w:space="0"/>
                    <w:right w:val="single" w:color="auto" w:sz="6" w:space="0"/>
                  </w:tcBorders>
                  <w:noWrap w:val="0"/>
                  <w:vAlign w:val="center"/>
                </w:tcPr>
                <w:p w14:paraId="2160452D">
                  <w:pPr>
                    <w:autoSpaceDE w:val="0"/>
                    <w:autoSpaceDN w:val="0"/>
                    <w:adjustRightInd w:val="0"/>
                    <w:jc w:val="center"/>
                    <w:rPr>
                      <w:rFonts w:hint="default" w:eastAsia="宋体"/>
                      <w:sz w:val="18"/>
                      <w:szCs w:val="18"/>
                      <w:lang w:val="en-US" w:eastAsia="zh-CN"/>
                    </w:rPr>
                  </w:pPr>
                  <w:r>
                    <w:rPr>
                      <w:rFonts w:hint="eastAsia"/>
                      <w:sz w:val="18"/>
                      <w:szCs w:val="18"/>
                    </w:rPr>
                    <w:t>1</w:t>
                  </w:r>
                  <w:r>
                    <w:rPr>
                      <w:rFonts w:hint="eastAsia"/>
                      <w:sz w:val="18"/>
                      <w:szCs w:val="18"/>
                      <w:lang w:val="en-US" w:eastAsia="zh-CN"/>
                    </w:rPr>
                    <w:t>.5</w:t>
                  </w:r>
                </w:p>
              </w:tc>
            </w:tr>
            <w:tr w14:paraId="4C1C56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33" w:type="dxa"/>
                  <w:tcBorders>
                    <w:top w:val="single" w:color="auto" w:sz="4" w:space="0"/>
                    <w:left w:val="single" w:color="auto" w:sz="4" w:space="0"/>
                    <w:bottom w:val="single" w:color="auto" w:sz="4" w:space="0"/>
                    <w:right w:val="single" w:color="auto" w:sz="4" w:space="0"/>
                  </w:tcBorders>
                  <w:noWrap w:val="0"/>
                  <w:vAlign w:val="center"/>
                </w:tcPr>
                <w:p w14:paraId="4138D44E">
                  <w:pPr>
                    <w:autoSpaceDE w:val="0"/>
                    <w:autoSpaceDN w:val="0"/>
                    <w:adjustRightInd w:val="0"/>
                    <w:jc w:val="center"/>
                    <w:rPr>
                      <w:rFonts w:hint="eastAsia" w:eastAsia="宋体"/>
                      <w:sz w:val="18"/>
                      <w:szCs w:val="18"/>
                      <w:lang w:val="en-US" w:eastAsia="zh-CN"/>
                    </w:rPr>
                  </w:pPr>
                  <w:r>
                    <w:rPr>
                      <w:rFonts w:hint="eastAsia"/>
                      <w:sz w:val="18"/>
                      <w:szCs w:val="18"/>
                      <w:lang w:val="en-US" w:eastAsia="zh-CN"/>
                    </w:rPr>
                    <w:t>臭气浓度</w:t>
                  </w:r>
                </w:p>
              </w:tc>
              <w:tc>
                <w:tcPr>
                  <w:tcW w:w="1233" w:type="dxa"/>
                  <w:tcBorders>
                    <w:top w:val="single" w:color="auto" w:sz="4" w:space="0"/>
                    <w:left w:val="single" w:color="auto" w:sz="4" w:space="0"/>
                    <w:bottom w:val="single" w:color="auto" w:sz="4" w:space="0"/>
                    <w:right w:val="single" w:color="auto" w:sz="4" w:space="0"/>
                  </w:tcBorders>
                  <w:noWrap w:val="0"/>
                  <w:vAlign w:val="center"/>
                </w:tcPr>
                <w:p w14:paraId="2796A612">
                  <w:pPr>
                    <w:autoSpaceDE w:val="0"/>
                    <w:autoSpaceDN w:val="0"/>
                    <w:adjustRightInd w:val="0"/>
                    <w:jc w:val="center"/>
                    <w:rPr>
                      <w:rFonts w:hint="default" w:eastAsia="宋体"/>
                      <w:sz w:val="18"/>
                      <w:szCs w:val="18"/>
                      <w:lang w:val="en-US" w:eastAsia="zh-CN"/>
                    </w:rPr>
                  </w:pPr>
                  <w:r>
                    <w:rPr>
                      <w:rFonts w:hint="eastAsia"/>
                      <w:sz w:val="18"/>
                      <w:szCs w:val="18"/>
                      <w:lang w:val="en-US" w:eastAsia="zh-CN"/>
                    </w:rPr>
                    <w:t>2000（无量纲）</w:t>
                  </w:r>
                </w:p>
              </w:tc>
              <w:tc>
                <w:tcPr>
                  <w:tcW w:w="1023" w:type="dxa"/>
                  <w:tcBorders>
                    <w:top w:val="single" w:color="auto" w:sz="4" w:space="0"/>
                    <w:left w:val="single" w:color="auto" w:sz="4" w:space="0"/>
                    <w:bottom w:val="single" w:color="auto" w:sz="4" w:space="0"/>
                    <w:right w:val="single" w:color="auto" w:sz="6" w:space="0"/>
                  </w:tcBorders>
                  <w:noWrap w:val="0"/>
                  <w:vAlign w:val="center"/>
                </w:tcPr>
                <w:p w14:paraId="3A5545E4">
                  <w:pPr>
                    <w:autoSpaceDE w:val="0"/>
                    <w:autoSpaceDN w:val="0"/>
                    <w:adjustRightInd w:val="0"/>
                    <w:jc w:val="center"/>
                    <w:rPr>
                      <w:rFonts w:hint="default" w:eastAsia="宋体"/>
                      <w:sz w:val="18"/>
                      <w:szCs w:val="18"/>
                      <w:lang w:val="en-US" w:eastAsia="zh-CN"/>
                    </w:rPr>
                  </w:pPr>
                  <w:r>
                    <w:rPr>
                      <w:rFonts w:hint="eastAsia"/>
                      <w:sz w:val="18"/>
                      <w:szCs w:val="18"/>
                      <w:lang w:val="en-US" w:eastAsia="zh-CN"/>
                    </w:rPr>
                    <w:t>15</w:t>
                  </w:r>
                </w:p>
              </w:tc>
              <w:tc>
                <w:tcPr>
                  <w:tcW w:w="1083" w:type="dxa"/>
                  <w:tcBorders>
                    <w:top w:val="single" w:color="auto" w:sz="4" w:space="0"/>
                    <w:left w:val="single" w:color="auto" w:sz="6" w:space="0"/>
                    <w:bottom w:val="single" w:color="auto" w:sz="4" w:space="0"/>
                    <w:right w:val="single" w:color="auto" w:sz="4" w:space="0"/>
                  </w:tcBorders>
                  <w:noWrap w:val="0"/>
                  <w:vAlign w:val="center"/>
                </w:tcPr>
                <w:p w14:paraId="1C8912CE">
                  <w:pPr>
                    <w:autoSpaceDE w:val="0"/>
                    <w:autoSpaceDN w:val="0"/>
                    <w:adjustRightInd w:val="0"/>
                    <w:jc w:val="center"/>
                    <w:rPr>
                      <w:rFonts w:hint="eastAsia"/>
                      <w:sz w:val="18"/>
                      <w:szCs w:val="18"/>
                    </w:rPr>
                  </w:pPr>
                  <w:r>
                    <w:rPr>
                      <w:sz w:val="18"/>
                      <w:szCs w:val="18"/>
                    </w:rPr>
                    <w:t>--</w:t>
                  </w:r>
                </w:p>
              </w:tc>
              <w:tc>
                <w:tcPr>
                  <w:tcW w:w="2587" w:type="dxa"/>
                  <w:tcBorders>
                    <w:top w:val="single" w:color="auto" w:sz="6" w:space="0"/>
                    <w:left w:val="single" w:color="auto" w:sz="4" w:space="0"/>
                    <w:bottom w:val="single" w:color="auto" w:sz="4" w:space="0"/>
                    <w:right w:val="single" w:color="auto" w:sz="6" w:space="0"/>
                  </w:tcBorders>
                  <w:noWrap w:val="0"/>
                  <w:vAlign w:val="center"/>
                </w:tcPr>
                <w:p w14:paraId="7C888F6B">
                  <w:pPr>
                    <w:autoSpaceDE w:val="0"/>
                    <w:autoSpaceDN w:val="0"/>
                    <w:adjustRightInd w:val="0"/>
                    <w:jc w:val="center"/>
                    <w:rPr>
                      <w:sz w:val="18"/>
                      <w:szCs w:val="18"/>
                    </w:rPr>
                  </w:pPr>
                  <w:r>
                    <w:rPr>
                      <w:sz w:val="18"/>
                      <w:szCs w:val="18"/>
                    </w:rPr>
                    <w:t>厂界监控浓度</w:t>
                  </w:r>
                </w:p>
              </w:tc>
              <w:tc>
                <w:tcPr>
                  <w:tcW w:w="799" w:type="dxa"/>
                  <w:tcBorders>
                    <w:top w:val="single" w:color="auto" w:sz="6" w:space="0"/>
                    <w:left w:val="single" w:color="auto" w:sz="6" w:space="0"/>
                    <w:bottom w:val="single" w:color="auto" w:sz="4" w:space="0"/>
                    <w:right w:val="single" w:color="auto" w:sz="6" w:space="0"/>
                  </w:tcBorders>
                  <w:noWrap w:val="0"/>
                  <w:vAlign w:val="center"/>
                </w:tcPr>
                <w:p w14:paraId="75CDA798">
                  <w:pPr>
                    <w:autoSpaceDE w:val="0"/>
                    <w:autoSpaceDN w:val="0"/>
                    <w:adjustRightInd w:val="0"/>
                    <w:jc w:val="center"/>
                    <w:rPr>
                      <w:rFonts w:hint="eastAsia"/>
                      <w:sz w:val="18"/>
                      <w:szCs w:val="18"/>
                    </w:rPr>
                  </w:pPr>
                  <w:r>
                    <w:rPr>
                      <w:rFonts w:hint="eastAsia"/>
                      <w:sz w:val="18"/>
                      <w:szCs w:val="18"/>
                      <w:lang w:val="en-US" w:eastAsia="zh-CN"/>
                    </w:rPr>
                    <w:t>16（无量纲）</w:t>
                  </w:r>
                </w:p>
              </w:tc>
            </w:tr>
          </w:tbl>
          <w:p w14:paraId="6FC88C25">
            <w:pPr>
              <w:adjustRightInd w:val="0"/>
              <w:snapToGrid w:val="0"/>
              <w:spacing w:line="360" w:lineRule="auto"/>
              <w:jc w:val="center"/>
              <w:rPr>
                <w:rFonts w:hint="default" w:ascii="Times New Roman" w:hAnsi="Times New Roman" w:cs="Times New Roman"/>
                <w:b/>
                <w:color w:val="auto"/>
              </w:rPr>
            </w:pPr>
            <w:r>
              <w:rPr>
                <w:rFonts w:hint="default" w:ascii="Times New Roman" w:hAnsi="Times New Roman" w:cs="Times New Roman"/>
                <w:b/>
                <w:color w:val="auto"/>
              </w:rPr>
              <w:t>表3-</w:t>
            </w:r>
            <w:r>
              <w:rPr>
                <w:rFonts w:hint="eastAsia" w:cs="Times New Roman"/>
                <w:b/>
                <w:color w:val="auto"/>
                <w:lang w:val="en-US" w:eastAsia="zh-CN"/>
              </w:rPr>
              <w:t>6</w:t>
            </w:r>
            <w:r>
              <w:rPr>
                <w:rFonts w:hint="default" w:ascii="Times New Roman" w:hAnsi="Times New Roman" w:cs="Times New Roman"/>
                <w:b/>
                <w:color w:val="auto"/>
                <w:lang w:val="en-US" w:eastAsia="zh-CN"/>
              </w:rPr>
              <w:t>山东省饮食油烟排放标准</w:t>
            </w:r>
          </w:p>
          <w:tbl>
            <w:tblPr>
              <w:tblStyle w:val="81"/>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0" w:type="dxa"/>
                <w:bottom w:w="0" w:type="dxa"/>
                <w:right w:w="0" w:type="dxa"/>
              </w:tblCellMar>
            </w:tblPr>
            <w:tblGrid>
              <w:gridCol w:w="2738"/>
              <w:gridCol w:w="1834"/>
              <w:gridCol w:w="1736"/>
              <w:gridCol w:w="1650"/>
            </w:tblGrid>
            <w:tr w14:paraId="53760EB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2738" w:type="dxa"/>
                  <w:vMerge w:val="restart"/>
                  <w:tcBorders>
                    <w:top w:val="single" w:color="auto" w:sz="6" w:space="0"/>
                    <w:left w:val="single" w:color="auto" w:sz="6" w:space="0"/>
                    <w:right w:val="single" w:color="auto" w:sz="4" w:space="0"/>
                  </w:tcBorders>
                  <w:noWrap w:val="0"/>
                  <w:vAlign w:val="center"/>
                </w:tcPr>
                <w:p w14:paraId="2742E57F">
                  <w:pPr>
                    <w:autoSpaceDE w:val="0"/>
                    <w:autoSpaceDN w:val="0"/>
                    <w:adjustRightInd w:val="0"/>
                    <w:jc w:val="center"/>
                    <w:rPr>
                      <w:rFonts w:hint="default" w:eastAsia="宋体"/>
                      <w:b/>
                      <w:bCs/>
                      <w:color w:val="auto"/>
                      <w:sz w:val="18"/>
                      <w:szCs w:val="18"/>
                      <w:lang w:val="en-US" w:eastAsia="zh-CN"/>
                    </w:rPr>
                  </w:pPr>
                  <w:r>
                    <w:rPr>
                      <w:rFonts w:hint="eastAsia"/>
                      <w:b/>
                      <w:bCs/>
                      <w:color w:val="auto"/>
                      <w:sz w:val="18"/>
                      <w:szCs w:val="18"/>
                      <w:lang w:val="en-US" w:eastAsia="zh-CN"/>
                    </w:rPr>
                    <w:t>标准名称</w:t>
                  </w:r>
                </w:p>
              </w:tc>
              <w:tc>
                <w:tcPr>
                  <w:tcW w:w="1834" w:type="dxa"/>
                  <w:vMerge w:val="restart"/>
                  <w:tcBorders>
                    <w:top w:val="single" w:color="auto" w:sz="4" w:space="0"/>
                    <w:left w:val="single" w:color="auto" w:sz="4" w:space="0"/>
                    <w:right w:val="single" w:color="auto" w:sz="6" w:space="0"/>
                  </w:tcBorders>
                  <w:noWrap w:val="0"/>
                  <w:vAlign w:val="center"/>
                </w:tcPr>
                <w:p w14:paraId="2036DB2B">
                  <w:pPr>
                    <w:autoSpaceDE w:val="0"/>
                    <w:autoSpaceDN w:val="0"/>
                    <w:adjustRightInd w:val="0"/>
                    <w:jc w:val="center"/>
                    <w:rPr>
                      <w:rFonts w:hint="eastAsia" w:eastAsia="宋体"/>
                      <w:color w:val="auto"/>
                      <w:sz w:val="18"/>
                      <w:szCs w:val="18"/>
                      <w:lang w:val="en-US" w:eastAsia="zh-CN"/>
                    </w:rPr>
                  </w:pPr>
                  <w:r>
                    <w:rPr>
                      <w:rFonts w:hint="eastAsia"/>
                      <w:color w:val="auto"/>
                      <w:sz w:val="18"/>
                      <w:szCs w:val="18"/>
                      <w:lang w:val="en-US" w:eastAsia="zh-CN"/>
                    </w:rPr>
                    <w:t>规模</w:t>
                  </w:r>
                </w:p>
              </w:tc>
              <w:tc>
                <w:tcPr>
                  <w:tcW w:w="3386" w:type="dxa"/>
                  <w:gridSpan w:val="2"/>
                  <w:tcBorders>
                    <w:top w:val="single" w:color="auto" w:sz="6" w:space="0"/>
                    <w:left w:val="single" w:color="auto" w:sz="6" w:space="0"/>
                    <w:bottom w:val="single" w:color="auto" w:sz="6" w:space="0"/>
                    <w:right w:val="single" w:color="auto" w:sz="6" w:space="0"/>
                  </w:tcBorders>
                  <w:noWrap w:val="0"/>
                  <w:vAlign w:val="center"/>
                </w:tcPr>
                <w:p w14:paraId="61924527">
                  <w:pPr>
                    <w:autoSpaceDE w:val="0"/>
                    <w:autoSpaceDN w:val="0"/>
                    <w:adjustRightInd w:val="0"/>
                    <w:jc w:val="center"/>
                    <w:rPr>
                      <w:rFonts w:hint="eastAsia" w:eastAsia="宋体"/>
                      <w:b/>
                      <w:bCs/>
                      <w:color w:val="auto"/>
                      <w:sz w:val="18"/>
                      <w:szCs w:val="18"/>
                      <w:lang w:val="en-US" w:eastAsia="zh-CN"/>
                    </w:rPr>
                  </w:pPr>
                  <w:r>
                    <w:rPr>
                      <w:rFonts w:hint="eastAsia"/>
                      <w:b/>
                      <w:bCs/>
                      <w:color w:val="auto"/>
                      <w:sz w:val="18"/>
                      <w:szCs w:val="18"/>
                      <w:lang w:val="en-US" w:eastAsia="zh-CN"/>
                    </w:rPr>
                    <w:t>污染物</w:t>
                  </w:r>
                </w:p>
              </w:tc>
            </w:tr>
            <w:tr w14:paraId="484DB0A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2738" w:type="dxa"/>
                  <w:vMerge w:val="continue"/>
                  <w:tcBorders>
                    <w:left w:val="single" w:color="auto" w:sz="6" w:space="0"/>
                    <w:bottom w:val="single" w:color="auto" w:sz="4" w:space="0"/>
                    <w:right w:val="single" w:color="auto" w:sz="4" w:space="0"/>
                  </w:tcBorders>
                  <w:noWrap w:val="0"/>
                  <w:vAlign w:val="center"/>
                </w:tcPr>
                <w:p w14:paraId="1B3D87E7">
                  <w:pPr>
                    <w:autoSpaceDE w:val="0"/>
                    <w:autoSpaceDN w:val="0"/>
                    <w:adjustRightInd w:val="0"/>
                    <w:jc w:val="center"/>
                    <w:rPr>
                      <w:color w:val="auto"/>
                      <w:sz w:val="18"/>
                      <w:szCs w:val="18"/>
                    </w:rPr>
                  </w:pPr>
                </w:p>
              </w:tc>
              <w:tc>
                <w:tcPr>
                  <w:tcW w:w="1834" w:type="dxa"/>
                  <w:vMerge w:val="continue"/>
                  <w:tcBorders>
                    <w:left w:val="single" w:color="auto" w:sz="4" w:space="0"/>
                    <w:bottom w:val="single" w:color="auto" w:sz="4" w:space="0"/>
                    <w:right w:val="single" w:color="auto" w:sz="6" w:space="0"/>
                  </w:tcBorders>
                  <w:noWrap w:val="0"/>
                  <w:vAlign w:val="center"/>
                </w:tcPr>
                <w:p w14:paraId="757A7139">
                  <w:pPr>
                    <w:autoSpaceDE w:val="0"/>
                    <w:autoSpaceDN w:val="0"/>
                    <w:adjustRightInd w:val="0"/>
                    <w:jc w:val="center"/>
                    <w:rPr>
                      <w:color w:val="auto"/>
                      <w:sz w:val="18"/>
                      <w:szCs w:val="18"/>
                    </w:rPr>
                  </w:pPr>
                </w:p>
              </w:tc>
              <w:tc>
                <w:tcPr>
                  <w:tcW w:w="1736" w:type="dxa"/>
                  <w:tcBorders>
                    <w:top w:val="single" w:color="auto" w:sz="6" w:space="0"/>
                    <w:left w:val="single" w:color="auto" w:sz="4" w:space="0"/>
                    <w:bottom w:val="single" w:color="auto" w:sz="4" w:space="0"/>
                    <w:right w:val="single" w:color="auto" w:sz="6" w:space="0"/>
                  </w:tcBorders>
                  <w:noWrap w:val="0"/>
                  <w:vAlign w:val="center"/>
                </w:tcPr>
                <w:p w14:paraId="43D89BCE">
                  <w:pPr>
                    <w:autoSpaceDE w:val="0"/>
                    <w:autoSpaceDN w:val="0"/>
                    <w:adjustRightInd w:val="0"/>
                    <w:jc w:val="center"/>
                    <w:rPr>
                      <w:color w:val="auto"/>
                      <w:sz w:val="18"/>
                      <w:szCs w:val="18"/>
                    </w:rPr>
                  </w:pPr>
                  <w:r>
                    <w:rPr>
                      <w:rFonts w:hint="eastAsia"/>
                      <w:color w:val="auto"/>
                      <w:sz w:val="18"/>
                      <w:szCs w:val="18"/>
                    </w:rPr>
                    <w:t>油烟（mg/m</w:t>
                  </w:r>
                  <w:r>
                    <w:rPr>
                      <w:rFonts w:hint="eastAsia"/>
                      <w:color w:val="auto"/>
                      <w:sz w:val="18"/>
                      <w:szCs w:val="18"/>
                      <w:vertAlign w:val="superscript"/>
                    </w:rPr>
                    <w:t>3</w:t>
                  </w:r>
                  <w:r>
                    <w:rPr>
                      <w:rFonts w:hint="eastAsia"/>
                      <w:color w:val="auto"/>
                      <w:sz w:val="18"/>
                      <w:szCs w:val="18"/>
                    </w:rPr>
                    <w:t>）</w:t>
                  </w:r>
                </w:p>
              </w:tc>
              <w:tc>
                <w:tcPr>
                  <w:tcW w:w="1650" w:type="dxa"/>
                  <w:tcBorders>
                    <w:top w:val="single" w:color="auto" w:sz="6" w:space="0"/>
                    <w:left w:val="single" w:color="auto" w:sz="6" w:space="0"/>
                    <w:bottom w:val="single" w:color="auto" w:sz="4" w:space="0"/>
                    <w:right w:val="single" w:color="auto" w:sz="6" w:space="0"/>
                  </w:tcBorders>
                  <w:noWrap w:val="0"/>
                  <w:vAlign w:val="center"/>
                </w:tcPr>
                <w:p w14:paraId="311DD376">
                  <w:pPr>
                    <w:autoSpaceDE w:val="0"/>
                    <w:autoSpaceDN w:val="0"/>
                    <w:adjustRightInd w:val="0"/>
                    <w:jc w:val="center"/>
                    <w:rPr>
                      <w:rFonts w:hint="eastAsia" w:eastAsia="宋体"/>
                      <w:color w:val="auto"/>
                      <w:sz w:val="18"/>
                      <w:szCs w:val="18"/>
                      <w:lang w:eastAsia="zh-CN"/>
                    </w:rPr>
                  </w:pPr>
                  <w:r>
                    <w:rPr>
                      <w:rFonts w:hint="eastAsia"/>
                      <w:color w:val="auto"/>
                      <w:sz w:val="18"/>
                      <w:szCs w:val="18"/>
                    </w:rPr>
                    <w:t>净化效率</w:t>
                  </w:r>
                  <w:r>
                    <w:rPr>
                      <w:rFonts w:hint="eastAsia"/>
                      <w:color w:val="auto"/>
                      <w:sz w:val="18"/>
                      <w:szCs w:val="18"/>
                      <w:lang w:eastAsia="zh-CN"/>
                    </w:rPr>
                    <w:t>（</w:t>
                  </w:r>
                  <w:r>
                    <w:rPr>
                      <w:rFonts w:hint="eastAsia"/>
                      <w:color w:val="auto"/>
                      <w:sz w:val="18"/>
                      <w:szCs w:val="18"/>
                    </w:rPr>
                    <w:t>％</w:t>
                  </w:r>
                  <w:r>
                    <w:rPr>
                      <w:rFonts w:hint="eastAsia"/>
                      <w:color w:val="auto"/>
                      <w:sz w:val="18"/>
                      <w:szCs w:val="18"/>
                      <w:lang w:eastAsia="zh-CN"/>
                    </w:rPr>
                    <w:t>）</w:t>
                  </w:r>
                </w:p>
              </w:tc>
            </w:tr>
            <w:tr w14:paraId="07EC1C3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2738" w:type="dxa"/>
                  <w:tcBorders>
                    <w:top w:val="single" w:color="auto" w:sz="4" w:space="0"/>
                    <w:left w:val="single" w:color="auto" w:sz="4" w:space="0"/>
                    <w:bottom w:val="single" w:color="auto" w:sz="4" w:space="0"/>
                    <w:right w:val="single" w:color="auto" w:sz="4" w:space="0"/>
                  </w:tcBorders>
                  <w:noWrap w:val="0"/>
                  <w:vAlign w:val="center"/>
                </w:tcPr>
                <w:p w14:paraId="0D40C8DA">
                  <w:pPr>
                    <w:autoSpaceDE w:val="0"/>
                    <w:autoSpaceDN w:val="0"/>
                    <w:adjustRightInd w:val="0"/>
                    <w:jc w:val="center"/>
                    <w:rPr>
                      <w:sz w:val="18"/>
                      <w:szCs w:val="18"/>
                    </w:rPr>
                  </w:pPr>
                  <w:r>
                    <w:rPr>
                      <w:rFonts w:hint="eastAsia"/>
                      <w:sz w:val="18"/>
                      <w:szCs w:val="18"/>
                    </w:rPr>
                    <w:t>《山东省饮食油烟排放标准》（DB37/597-2006）</w:t>
                  </w:r>
                </w:p>
              </w:tc>
              <w:tc>
                <w:tcPr>
                  <w:tcW w:w="1834" w:type="dxa"/>
                  <w:tcBorders>
                    <w:top w:val="single" w:color="auto" w:sz="4" w:space="0"/>
                    <w:left w:val="single" w:color="auto" w:sz="4" w:space="0"/>
                    <w:bottom w:val="single" w:color="auto" w:sz="4" w:space="0"/>
                    <w:right w:val="single" w:color="auto" w:sz="4" w:space="0"/>
                  </w:tcBorders>
                  <w:noWrap w:val="0"/>
                  <w:vAlign w:val="center"/>
                </w:tcPr>
                <w:p w14:paraId="726655E9">
                  <w:pPr>
                    <w:autoSpaceDE w:val="0"/>
                    <w:autoSpaceDN w:val="0"/>
                    <w:adjustRightInd w:val="0"/>
                    <w:jc w:val="center"/>
                    <w:rPr>
                      <w:rFonts w:hint="eastAsia" w:eastAsia="宋体"/>
                      <w:sz w:val="18"/>
                      <w:szCs w:val="18"/>
                      <w:lang w:val="en-US" w:eastAsia="zh-CN"/>
                    </w:rPr>
                  </w:pPr>
                  <w:r>
                    <w:rPr>
                      <w:rFonts w:hint="eastAsia"/>
                      <w:sz w:val="18"/>
                      <w:szCs w:val="18"/>
                      <w:lang w:val="en-US" w:eastAsia="zh-CN"/>
                    </w:rPr>
                    <w:t>小型</w:t>
                  </w:r>
                </w:p>
              </w:tc>
              <w:tc>
                <w:tcPr>
                  <w:tcW w:w="1736" w:type="dxa"/>
                  <w:tcBorders>
                    <w:top w:val="single" w:color="auto" w:sz="6" w:space="0"/>
                    <w:left w:val="single" w:color="auto" w:sz="4" w:space="0"/>
                    <w:bottom w:val="single" w:color="auto" w:sz="6" w:space="0"/>
                    <w:right w:val="single" w:color="auto" w:sz="6" w:space="0"/>
                  </w:tcBorders>
                  <w:noWrap w:val="0"/>
                  <w:vAlign w:val="center"/>
                </w:tcPr>
                <w:p w14:paraId="52C67C03">
                  <w:pPr>
                    <w:autoSpaceDE w:val="0"/>
                    <w:autoSpaceDN w:val="0"/>
                    <w:adjustRightInd w:val="0"/>
                    <w:jc w:val="center"/>
                    <w:rPr>
                      <w:rFonts w:hint="default" w:eastAsia="宋体"/>
                      <w:sz w:val="18"/>
                      <w:szCs w:val="18"/>
                      <w:lang w:val="en-US" w:eastAsia="zh-CN"/>
                    </w:rPr>
                  </w:pPr>
                  <w:r>
                    <w:rPr>
                      <w:rFonts w:hint="eastAsia"/>
                      <w:sz w:val="18"/>
                      <w:szCs w:val="18"/>
                      <w:lang w:val="en-US" w:eastAsia="zh-CN"/>
                    </w:rPr>
                    <w:t>≤1.5</w:t>
                  </w:r>
                </w:p>
              </w:tc>
              <w:tc>
                <w:tcPr>
                  <w:tcW w:w="1650" w:type="dxa"/>
                  <w:tcBorders>
                    <w:top w:val="single" w:color="auto" w:sz="6" w:space="0"/>
                    <w:left w:val="single" w:color="auto" w:sz="6" w:space="0"/>
                    <w:bottom w:val="single" w:color="auto" w:sz="6" w:space="0"/>
                    <w:right w:val="single" w:color="auto" w:sz="6" w:space="0"/>
                  </w:tcBorders>
                  <w:noWrap w:val="0"/>
                  <w:vAlign w:val="center"/>
                </w:tcPr>
                <w:p w14:paraId="601C0754">
                  <w:pPr>
                    <w:autoSpaceDE w:val="0"/>
                    <w:autoSpaceDN w:val="0"/>
                    <w:adjustRightInd w:val="0"/>
                    <w:jc w:val="center"/>
                    <w:rPr>
                      <w:rFonts w:hint="default" w:eastAsia="宋体"/>
                      <w:spacing w:val="6"/>
                      <w:sz w:val="18"/>
                      <w:szCs w:val="18"/>
                      <w:lang w:val="en-US" w:eastAsia="zh-CN"/>
                    </w:rPr>
                  </w:pPr>
                  <w:r>
                    <w:rPr>
                      <w:rFonts w:hint="eastAsia" w:eastAsia="宋体"/>
                      <w:spacing w:val="6"/>
                      <w:sz w:val="18"/>
                      <w:szCs w:val="18"/>
                      <w:lang w:val="en-US" w:eastAsia="zh-CN"/>
                    </w:rPr>
                    <w:t>≥85</w:t>
                  </w:r>
                </w:p>
              </w:tc>
            </w:tr>
          </w:tbl>
          <w:p w14:paraId="3D4550B2">
            <w:pPr>
              <w:spacing w:line="420" w:lineRule="exact"/>
              <w:ind w:firstLine="422" w:firstLineChars="200"/>
              <w:rPr>
                <w:rFonts w:hint="default" w:ascii="Times New Roman" w:hAnsi="Times New Roman" w:cs="Times New Roman"/>
                <w:b/>
                <w:color w:val="auto"/>
              </w:rPr>
            </w:pPr>
            <w:r>
              <w:rPr>
                <w:rFonts w:hint="default" w:ascii="Times New Roman" w:hAnsi="Times New Roman" w:cs="Times New Roman"/>
                <w:b/>
                <w:color w:val="auto"/>
              </w:rPr>
              <w:t>3、固废</w:t>
            </w:r>
          </w:p>
          <w:p w14:paraId="70CEA2F0">
            <w:pPr>
              <w:adjustRightInd w:val="0"/>
              <w:snapToGrid w:val="0"/>
              <w:spacing w:line="420" w:lineRule="exact"/>
              <w:ind w:firstLine="420" w:firstLineChars="200"/>
              <w:rPr>
                <w:rFonts w:hint="default" w:ascii="Times New Roman" w:hAnsi="Times New Roman" w:cs="Times New Roman"/>
                <w:color w:val="auto"/>
                <w:lang w:eastAsia="zh-CN"/>
              </w:rPr>
            </w:pPr>
            <w:r>
              <w:rPr>
                <w:rFonts w:hint="default" w:ascii="Times New Roman" w:hAnsi="Times New Roman" w:cs="Times New Roman"/>
                <w:color w:val="auto"/>
                <w:szCs w:val="21"/>
              </w:rPr>
              <w:t>一般固体废物执行《中华人民共和国固体废物污染环境防治法》相关要求，采取防扬散、防流失、防渗漏或者其他防止污染环境的措施，不得擅自倾倒、堆放、丢弃、遗撒，管理过程中应符合《一般工业固体废物管理台账制定指南（试行）》（公告 2021 年第 82 号）要求</w:t>
            </w:r>
            <w:r>
              <w:rPr>
                <w:rFonts w:hint="default" w:ascii="Times New Roman" w:hAnsi="Times New Roman" w:cs="Times New Roman"/>
                <w:color w:val="auto"/>
                <w:lang w:eastAsia="zh-CN"/>
              </w:rPr>
              <w:t>。</w:t>
            </w:r>
          </w:p>
          <w:p w14:paraId="5FF7DB0A">
            <w:pPr>
              <w:adjustRightInd w:val="0"/>
              <w:snapToGrid w:val="0"/>
              <w:spacing w:line="420" w:lineRule="exact"/>
              <w:ind w:firstLine="420" w:firstLineChars="200"/>
              <w:rPr>
                <w:rFonts w:hint="default" w:ascii="Times New Roman" w:hAnsi="Times New Roman" w:cs="Times New Roman"/>
                <w:color w:val="auto"/>
                <w:lang w:eastAsia="zh-CN"/>
              </w:rPr>
            </w:pPr>
          </w:p>
          <w:p w14:paraId="5584878E">
            <w:pPr>
              <w:adjustRightInd w:val="0"/>
              <w:snapToGrid w:val="0"/>
              <w:spacing w:line="420" w:lineRule="exact"/>
              <w:ind w:firstLine="420" w:firstLineChars="200"/>
              <w:rPr>
                <w:rFonts w:hint="default" w:ascii="Times New Roman" w:hAnsi="Times New Roman" w:cs="Times New Roman"/>
                <w:color w:val="auto"/>
                <w:lang w:eastAsia="zh-CN"/>
              </w:rPr>
            </w:pPr>
          </w:p>
          <w:p w14:paraId="5B66B140">
            <w:pPr>
              <w:adjustRightInd w:val="0"/>
              <w:snapToGrid w:val="0"/>
              <w:spacing w:line="420" w:lineRule="exact"/>
              <w:ind w:firstLine="420" w:firstLineChars="200"/>
              <w:rPr>
                <w:rFonts w:hint="default" w:ascii="Times New Roman" w:hAnsi="Times New Roman" w:cs="Times New Roman"/>
                <w:color w:val="auto"/>
                <w:lang w:eastAsia="zh-CN"/>
              </w:rPr>
            </w:pPr>
          </w:p>
          <w:p w14:paraId="3028C698">
            <w:pPr>
              <w:adjustRightInd w:val="0"/>
              <w:snapToGrid w:val="0"/>
              <w:spacing w:line="420" w:lineRule="exact"/>
              <w:ind w:firstLine="420" w:firstLineChars="200"/>
              <w:rPr>
                <w:rFonts w:hint="default" w:ascii="Times New Roman" w:hAnsi="Times New Roman" w:cs="Times New Roman"/>
                <w:color w:val="auto"/>
                <w:lang w:eastAsia="zh-CN"/>
              </w:rPr>
            </w:pPr>
          </w:p>
          <w:p w14:paraId="5815C09B">
            <w:pPr>
              <w:adjustRightInd w:val="0"/>
              <w:snapToGrid w:val="0"/>
              <w:spacing w:line="420" w:lineRule="exact"/>
              <w:ind w:firstLine="0" w:firstLineChars="0"/>
              <w:rPr>
                <w:rFonts w:hint="eastAsia" w:cs="Times New Roman"/>
                <w:color w:val="FF0000"/>
                <w:lang w:eastAsia="zh-CN"/>
              </w:rPr>
            </w:pPr>
          </w:p>
          <w:p w14:paraId="1A07A6C2">
            <w:pPr>
              <w:adjustRightInd w:val="0"/>
              <w:snapToGrid w:val="0"/>
              <w:spacing w:line="420" w:lineRule="exact"/>
              <w:ind w:firstLine="0" w:firstLineChars="0"/>
              <w:rPr>
                <w:rFonts w:hint="eastAsia" w:cs="Times New Roman"/>
                <w:color w:val="FF0000"/>
                <w:lang w:eastAsia="zh-CN"/>
              </w:rPr>
            </w:pPr>
          </w:p>
          <w:p w14:paraId="485055F1">
            <w:pPr>
              <w:adjustRightInd w:val="0"/>
              <w:snapToGrid w:val="0"/>
              <w:spacing w:line="420" w:lineRule="exact"/>
              <w:ind w:firstLine="0" w:firstLineChars="0"/>
              <w:rPr>
                <w:rFonts w:hint="eastAsia" w:cs="Times New Roman"/>
                <w:color w:val="FF0000"/>
                <w:lang w:eastAsia="zh-CN"/>
              </w:rPr>
            </w:pPr>
          </w:p>
          <w:p w14:paraId="7775F19A">
            <w:pPr>
              <w:adjustRightInd w:val="0"/>
              <w:snapToGrid w:val="0"/>
              <w:spacing w:line="420" w:lineRule="exact"/>
              <w:ind w:firstLine="0" w:firstLineChars="0"/>
              <w:rPr>
                <w:rFonts w:hint="eastAsia" w:ascii="Times New Roman" w:hAnsi="Times New Roman" w:eastAsia="宋体" w:cs="Times New Roman"/>
                <w:color w:val="FF0000"/>
                <w:lang w:eastAsia="zh-CN"/>
              </w:rPr>
            </w:pPr>
          </w:p>
        </w:tc>
      </w:tr>
      <w:tr w14:paraId="064C93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78" w:hRule="atLeast"/>
          <w:jc w:val="center"/>
        </w:trPr>
        <w:tc>
          <w:tcPr>
            <w:tcW w:w="800" w:type="dxa"/>
            <w:vAlign w:val="center"/>
          </w:tcPr>
          <w:p w14:paraId="5B6B919A">
            <w:pPr>
              <w:adjustRightInd w:val="0"/>
              <w:snapToGrid w:val="0"/>
              <w:spacing w:line="420" w:lineRule="exact"/>
              <w:jc w:val="center"/>
              <w:rPr>
                <w:rFonts w:hint="default" w:ascii="Times New Roman" w:hAnsi="Times New Roman" w:cs="Times New Roman"/>
                <w:color w:val="auto"/>
                <w:kern w:val="0"/>
              </w:rPr>
            </w:pPr>
            <w:r>
              <w:rPr>
                <w:rFonts w:hint="default" w:ascii="Times New Roman" w:hAnsi="Times New Roman" w:cs="Times New Roman"/>
                <w:color w:val="auto"/>
                <w:kern w:val="0"/>
              </w:rPr>
              <w:t>总量</w:t>
            </w:r>
          </w:p>
          <w:p w14:paraId="29F4F536">
            <w:pPr>
              <w:adjustRightInd w:val="0"/>
              <w:snapToGrid w:val="0"/>
              <w:spacing w:line="420" w:lineRule="exact"/>
              <w:jc w:val="center"/>
              <w:rPr>
                <w:rFonts w:hint="default" w:ascii="Times New Roman" w:hAnsi="Times New Roman" w:cs="Times New Roman"/>
                <w:color w:val="auto"/>
                <w:kern w:val="0"/>
              </w:rPr>
            </w:pPr>
            <w:r>
              <w:rPr>
                <w:rFonts w:hint="default" w:ascii="Times New Roman" w:hAnsi="Times New Roman" w:cs="Times New Roman"/>
                <w:color w:val="auto"/>
                <w:kern w:val="0"/>
              </w:rPr>
              <w:t>控制</w:t>
            </w:r>
          </w:p>
          <w:p w14:paraId="6B13DB65">
            <w:pPr>
              <w:adjustRightInd w:val="0"/>
              <w:snapToGrid w:val="0"/>
              <w:spacing w:line="420" w:lineRule="exact"/>
              <w:jc w:val="center"/>
              <w:rPr>
                <w:rFonts w:hint="default" w:ascii="Times New Roman" w:hAnsi="Times New Roman" w:cs="Times New Roman"/>
                <w:color w:val="auto"/>
                <w:kern w:val="0"/>
              </w:rPr>
            </w:pPr>
            <w:r>
              <w:rPr>
                <w:rFonts w:hint="default" w:ascii="Times New Roman" w:hAnsi="Times New Roman" w:cs="Times New Roman"/>
                <w:color w:val="auto"/>
                <w:kern w:val="0"/>
              </w:rPr>
              <w:t>指标</w:t>
            </w:r>
          </w:p>
        </w:tc>
        <w:tc>
          <w:tcPr>
            <w:tcW w:w="8190" w:type="dxa"/>
            <w:vAlign w:val="center"/>
          </w:tcPr>
          <w:p w14:paraId="79DE33BD">
            <w:pPr>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根据《山东省建设项目主要大气污染物排放总量替代指标核算及管理办法》（鲁环发[2019]132号），山东省二氧化硫、氮氧化物、烟粉尘、挥发性有机物四项大气污染物排放总量进行替代指标的核算。用于建设项目的“可替代总量指标”不得低于建设项目所需替代的主要大气污染物排放总量指标。上一年度环境空气质量年平均浓度达标的城市，相关污染物进行等量替代。上一年度环境空气质量年平均浓度不达标的城市，相关污染物应按照建设项目所需替代的污染物排放总量指标的2倍进行削减替代（燃煤发电机组大气污染物排放浓度达到超低排放标准的进行等量替代）。上一年度细颗粒物年平均浓度超标的设区的市，实行二氧化硫、氮氧化物、烟粉尘、挥发性有机物四项污染物排放总量指标2倍削减替代。</w:t>
            </w:r>
          </w:p>
          <w:p w14:paraId="0AC7AA1C">
            <w:pPr>
              <w:pStyle w:val="33"/>
              <w:spacing w:after="0" w:line="360" w:lineRule="auto"/>
              <w:ind w:left="0" w:leftChars="0" w:firstLine="420" w:firstLineChars="200"/>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eastAsia="zh-CN"/>
              </w:rPr>
              <w:t>一期项目</w:t>
            </w:r>
            <w:r>
              <w:rPr>
                <w:rFonts w:hint="default" w:ascii="Times New Roman" w:hAnsi="Times New Roman" w:cs="Times New Roman"/>
                <w:color w:val="auto"/>
                <w:kern w:val="2"/>
                <w:sz w:val="21"/>
                <w:szCs w:val="21"/>
                <w:highlight w:val="none"/>
                <w:lang w:eastAsia="zh-CN"/>
              </w:rPr>
              <w:t>新增</w:t>
            </w:r>
            <w:r>
              <w:rPr>
                <w:rFonts w:hint="default" w:ascii="Times New Roman" w:hAnsi="Times New Roman" w:cs="Times New Roman"/>
                <w:color w:val="auto"/>
                <w:kern w:val="2"/>
                <w:sz w:val="21"/>
                <w:szCs w:val="21"/>
                <w:highlight w:val="none"/>
              </w:rPr>
              <w:t>废水主要为生活污水，经化粪池处理后由环卫部门定期清运，因此无需申请总量。</w:t>
            </w:r>
          </w:p>
          <w:p w14:paraId="7C3D8001">
            <w:pPr>
              <w:pStyle w:val="80"/>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一期项目</w:t>
            </w:r>
            <w:r>
              <w:rPr>
                <w:rFonts w:hint="default" w:ascii="Times New Roman" w:hAnsi="Times New Roman" w:cs="Times New Roman"/>
                <w:color w:val="auto"/>
                <w:kern w:val="2"/>
                <w:sz w:val="21"/>
                <w:szCs w:val="21"/>
                <w:highlight w:val="none"/>
                <w:lang w:val="en-US" w:eastAsia="zh-CN" w:bidi="ar-SA"/>
              </w:rPr>
              <w:t>建成后，颗粒物</w:t>
            </w:r>
            <w:r>
              <w:rPr>
                <w:rFonts w:hint="eastAsia" w:ascii="Times New Roman" w:hAnsi="Times New Roman" w:cs="Times New Roman"/>
                <w:color w:val="auto"/>
                <w:kern w:val="2"/>
                <w:sz w:val="21"/>
                <w:szCs w:val="21"/>
                <w:highlight w:val="none"/>
                <w:lang w:val="en-US" w:eastAsia="zh-CN" w:bidi="ar-SA"/>
              </w:rPr>
              <w:t>、SO</w:t>
            </w:r>
            <w:r>
              <w:rPr>
                <w:rFonts w:hint="eastAsia" w:ascii="Times New Roman" w:hAnsi="Times New Roman" w:cs="Times New Roman"/>
                <w:color w:val="auto"/>
                <w:kern w:val="2"/>
                <w:sz w:val="21"/>
                <w:szCs w:val="21"/>
                <w:highlight w:val="none"/>
                <w:vertAlign w:val="subscript"/>
                <w:lang w:val="en-US" w:eastAsia="zh-CN" w:bidi="ar-SA"/>
              </w:rPr>
              <w:t>2</w:t>
            </w:r>
            <w:r>
              <w:rPr>
                <w:rFonts w:hint="eastAsia" w:ascii="Times New Roman" w:hAnsi="Times New Roman" w:cs="Times New Roman"/>
                <w:color w:val="auto"/>
                <w:kern w:val="2"/>
                <w:sz w:val="21"/>
                <w:szCs w:val="21"/>
                <w:highlight w:val="none"/>
                <w:lang w:val="en-US" w:eastAsia="zh-CN" w:bidi="ar-SA"/>
              </w:rPr>
              <w:t>、NOx有组织</w:t>
            </w:r>
            <w:r>
              <w:rPr>
                <w:rFonts w:hint="default" w:ascii="Times New Roman" w:hAnsi="Times New Roman" w:cs="Times New Roman"/>
                <w:color w:val="auto"/>
                <w:kern w:val="2"/>
                <w:sz w:val="21"/>
                <w:szCs w:val="21"/>
                <w:highlight w:val="none"/>
                <w:lang w:val="en-US" w:eastAsia="zh-CN" w:bidi="ar-SA"/>
              </w:rPr>
              <w:t>排放量</w:t>
            </w:r>
            <w:r>
              <w:rPr>
                <w:rFonts w:hint="eastAsia" w:cs="Times New Roman"/>
                <w:color w:val="auto"/>
                <w:kern w:val="2"/>
                <w:sz w:val="21"/>
                <w:szCs w:val="21"/>
                <w:highlight w:val="none"/>
                <w:lang w:val="en-US" w:eastAsia="zh-CN" w:bidi="ar-SA"/>
              </w:rPr>
              <w:t>分别</w:t>
            </w:r>
            <w:r>
              <w:rPr>
                <w:rFonts w:hint="default" w:ascii="Times New Roman" w:hAnsi="Times New Roman" w:cs="Times New Roman"/>
                <w:color w:val="auto"/>
                <w:kern w:val="2"/>
                <w:sz w:val="21"/>
                <w:szCs w:val="21"/>
                <w:highlight w:val="none"/>
                <w:lang w:val="en-US" w:eastAsia="zh-CN" w:bidi="ar-SA"/>
              </w:rPr>
              <w:t>为</w:t>
            </w:r>
            <w:r>
              <w:rPr>
                <w:rFonts w:hint="eastAsia" w:cs="Times New Roman"/>
                <w:color w:val="auto"/>
                <w:kern w:val="2"/>
                <w:sz w:val="21"/>
                <w:szCs w:val="21"/>
                <w:highlight w:val="none"/>
                <w:lang w:val="en-US" w:eastAsia="zh-CN" w:bidi="ar-SA"/>
              </w:rPr>
              <w:t>0.483</w:t>
            </w:r>
            <w:r>
              <w:rPr>
                <w:rFonts w:hint="default" w:ascii="Times New Roman" w:hAnsi="Times New Roman" w:cs="Times New Roman"/>
                <w:color w:val="auto"/>
                <w:kern w:val="2"/>
                <w:sz w:val="21"/>
                <w:szCs w:val="21"/>
                <w:highlight w:val="none"/>
                <w:lang w:val="en-US" w:eastAsia="zh-CN" w:bidi="ar-SA"/>
              </w:rPr>
              <w:t>t/a</w:t>
            </w:r>
            <w:r>
              <w:rPr>
                <w:rFonts w:hint="eastAsia" w:cs="Times New Roman"/>
                <w:color w:val="auto"/>
                <w:kern w:val="2"/>
                <w:sz w:val="21"/>
                <w:szCs w:val="21"/>
                <w:highlight w:val="none"/>
                <w:lang w:val="en-US" w:eastAsia="zh-CN" w:bidi="ar-SA"/>
              </w:rPr>
              <w:t>、</w:t>
            </w:r>
            <w:r>
              <w:rPr>
                <w:rFonts w:hint="default" w:ascii="Times New Roman" w:hAnsi="Times New Roman" w:cs="Times New Roman"/>
                <w:color w:val="auto"/>
                <w:kern w:val="2"/>
                <w:sz w:val="21"/>
                <w:szCs w:val="21"/>
                <w:highlight w:val="none"/>
                <w:lang w:val="en-US" w:eastAsia="zh-CN" w:bidi="ar-SA"/>
              </w:rPr>
              <w:t>0.</w:t>
            </w:r>
            <w:r>
              <w:rPr>
                <w:rFonts w:hint="eastAsia" w:cs="Times New Roman"/>
                <w:color w:val="auto"/>
                <w:kern w:val="2"/>
                <w:sz w:val="21"/>
                <w:szCs w:val="21"/>
                <w:highlight w:val="none"/>
                <w:lang w:val="en-US" w:eastAsia="zh-CN" w:bidi="ar-SA"/>
              </w:rPr>
              <w:t>12</w:t>
            </w:r>
            <w:r>
              <w:rPr>
                <w:rFonts w:hint="default" w:ascii="Times New Roman" w:hAnsi="Times New Roman" w:cs="Times New Roman"/>
                <w:color w:val="auto"/>
                <w:kern w:val="2"/>
                <w:sz w:val="21"/>
                <w:szCs w:val="21"/>
                <w:highlight w:val="none"/>
                <w:lang w:val="en-US" w:eastAsia="zh-CN" w:bidi="ar-SA"/>
              </w:rPr>
              <w:t>t/a</w:t>
            </w:r>
            <w:r>
              <w:rPr>
                <w:rFonts w:hint="eastAsia" w:cs="Times New Roman"/>
                <w:color w:val="auto"/>
                <w:kern w:val="2"/>
                <w:sz w:val="21"/>
                <w:szCs w:val="21"/>
                <w:highlight w:val="none"/>
                <w:lang w:val="en-US" w:eastAsia="zh-CN" w:bidi="ar-SA"/>
              </w:rPr>
              <w:t>、0.4182</w:t>
            </w:r>
            <w:r>
              <w:rPr>
                <w:rFonts w:hint="default" w:ascii="Times New Roman" w:hAnsi="Times New Roman" w:cs="Times New Roman"/>
                <w:color w:val="auto"/>
                <w:kern w:val="2"/>
                <w:sz w:val="21"/>
                <w:szCs w:val="21"/>
                <w:highlight w:val="none"/>
                <w:lang w:val="en-US" w:eastAsia="zh-CN" w:bidi="ar-SA"/>
              </w:rPr>
              <w:t>t/a，因此需申请污染物总量指标：颗粒物</w:t>
            </w:r>
            <w:r>
              <w:rPr>
                <w:rFonts w:hint="eastAsia" w:cs="Times New Roman"/>
                <w:color w:val="auto"/>
                <w:kern w:val="2"/>
                <w:sz w:val="21"/>
                <w:szCs w:val="21"/>
                <w:highlight w:val="none"/>
                <w:lang w:val="en-US" w:eastAsia="zh-CN" w:bidi="ar-SA"/>
              </w:rPr>
              <w:t>0.483</w:t>
            </w:r>
            <w:r>
              <w:rPr>
                <w:rFonts w:hint="default" w:ascii="Times New Roman" w:hAnsi="Times New Roman" w:cs="Times New Roman"/>
                <w:color w:val="auto"/>
                <w:kern w:val="2"/>
                <w:sz w:val="21"/>
                <w:szCs w:val="21"/>
                <w:highlight w:val="none"/>
                <w:lang w:val="en-US" w:eastAsia="zh-CN" w:bidi="ar-SA"/>
              </w:rPr>
              <w:t>t/a</w:t>
            </w:r>
            <w:r>
              <w:rPr>
                <w:rFonts w:hint="eastAsia" w:cs="Times New Roman"/>
                <w:color w:val="auto"/>
                <w:kern w:val="2"/>
                <w:sz w:val="21"/>
                <w:szCs w:val="21"/>
                <w:highlight w:val="none"/>
                <w:lang w:val="en-US" w:eastAsia="zh-CN" w:bidi="ar-SA"/>
              </w:rPr>
              <w:t>、SO</w:t>
            </w:r>
            <w:r>
              <w:rPr>
                <w:rFonts w:hint="eastAsia" w:cs="Times New Roman"/>
                <w:color w:val="auto"/>
                <w:kern w:val="2"/>
                <w:sz w:val="21"/>
                <w:szCs w:val="21"/>
                <w:highlight w:val="none"/>
                <w:vertAlign w:val="subscript"/>
                <w:lang w:val="en-US" w:eastAsia="zh-CN" w:bidi="ar-SA"/>
              </w:rPr>
              <w:t>2</w:t>
            </w:r>
            <w:r>
              <w:rPr>
                <w:rFonts w:hint="eastAsia" w:cs="Times New Roman"/>
                <w:color w:val="auto"/>
                <w:kern w:val="2"/>
                <w:sz w:val="21"/>
                <w:szCs w:val="21"/>
                <w:highlight w:val="none"/>
                <w:lang w:val="en-US" w:eastAsia="zh-CN" w:bidi="ar-SA"/>
              </w:rPr>
              <w:t xml:space="preserve"> </w:t>
            </w:r>
            <w:r>
              <w:rPr>
                <w:rFonts w:hint="default" w:ascii="Times New Roman" w:hAnsi="Times New Roman" w:cs="Times New Roman"/>
                <w:color w:val="auto"/>
                <w:kern w:val="2"/>
                <w:sz w:val="21"/>
                <w:szCs w:val="21"/>
                <w:highlight w:val="none"/>
                <w:lang w:val="en-US" w:eastAsia="zh-CN" w:bidi="ar-SA"/>
              </w:rPr>
              <w:t>0.</w:t>
            </w:r>
            <w:r>
              <w:rPr>
                <w:rFonts w:hint="eastAsia" w:ascii="Times New Roman" w:hAnsi="Times New Roman" w:cs="Times New Roman"/>
                <w:color w:val="auto"/>
                <w:kern w:val="2"/>
                <w:sz w:val="21"/>
                <w:szCs w:val="21"/>
                <w:highlight w:val="none"/>
                <w:lang w:val="en-US" w:eastAsia="zh-CN" w:bidi="ar-SA"/>
              </w:rPr>
              <w:t>1</w:t>
            </w:r>
            <w:r>
              <w:rPr>
                <w:rFonts w:hint="eastAsia" w:cs="Times New Roman"/>
                <w:color w:val="auto"/>
                <w:kern w:val="2"/>
                <w:sz w:val="21"/>
                <w:szCs w:val="21"/>
                <w:highlight w:val="none"/>
                <w:lang w:val="en-US" w:eastAsia="zh-CN" w:bidi="ar-SA"/>
              </w:rPr>
              <w:t>2</w:t>
            </w:r>
            <w:r>
              <w:rPr>
                <w:rFonts w:hint="default" w:ascii="Times New Roman" w:hAnsi="Times New Roman" w:cs="Times New Roman"/>
                <w:color w:val="auto"/>
                <w:kern w:val="2"/>
                <w:sz w:val="21"/>
                <w:szCs w:val="21"/>
                <w:highlight w:val="none"/>
                <w:lang w:val="en-US" w:eastAsia="zh-CN" w:bidi="ar-SA"/>
              </w:rPr>
              <w:t>t/a</w:t>
            </w:r>
            <w:r>
              <w:rPr>
                <w:rFonts w:hint="eastAsia" w:ascii="Times New Roman" w:hAnsi="Times New Roman" w:cs="Times New Roman"/>
                <w:color w:val="auto"/>
                <w:kern w:val="2"/>
                <w:sz w:val="21"/>
                <w:szCs w:val="21"/>
                <w:highlight w:val="none"/>
                <w:lang w:val="en-US" w:eastAsia="zh-CN" w:bidi="ar-SA"/>
              </w:rPr>
              <w:t>、NOx</w:t>
            </w:r>
            <w:r>
              <w:rPr>
                <w:rFonts w:hint="default" w:ascii="Times New Roman" w:hAnsi="Times New Roman" w:cs="Times New Roman"/>
                <w:color w:val="auto"/>
                <w:kern w:val="2"/>
                <w:sz w:val="21"/>
                <w:szCs w:val="21"/>
                <w:highlight w:val="none"/>
                <w:lang w:val="en-US" w:eastAsia="zh-CN" w:bidi="ar-SA"/>
              </w:rPr>
              <w:t>0.</w:t>
            </w:r>
            <w:r>
              <w:rPr>
                <w:rFonts w:hint="eastAsia" w:cs="Times New Roman"/>
                <w:color w:val="auto"/>
                <w:kern w:val="2"/>
                <w:sz w:val="21"/>
                <w:szCs w:val="21"/>
                <w:highlight w:val="none"/>
                <w:lang w:val="en-US" w:eastAsia="zh-CN" w:bidi="ar-SA"/>
              </w:rPr>
              <w:t>4182</w:t>
            </w:r>
            <w:r>
              <w:rPr>
                <w:rFonts w:hint="default" w:ascii="Times New Roman" w:hAnsi="Times New Roman" w:cs="Times New Roman"/>
                <w:color w:val="auto"/>
                <w:kern w:val="2"/>
                <w:sz w:val="21"/>
                <w:szCs w:val="21"/>
                <w:highlight w:val="none"/>
                <w:lang w:val="en-US" w:eastAsia="zh-CN" w:bidi="ar-SA"/>
              </w:rPr>
              <w:t>t/a。</w:t>
            </w:r>
          </w:p>
          <w:p w14:paraId="4434D430">
            <w:pPr>
              <w:spacing w:line="360" w:lineRule="auto"/>
              <w:ind w:firstLine="420" w:firstLineChars="200"/>
              <w:rPr>
                <w:rFonts w:hint="default" w:ascii="Times New Roman" w:hAnsi="Times New Roman" w:cs="Times New Roman"/>
                <w:color w:val="auto"/>
              </w:rPr>
            </w:pPr>
            <w:r>
              <w:rPr>
                <w:rFonts w:hint="default" w:ascii="Times New Roman" w:hAnsi="Times New Roman" w:eastAsia="宋体" w:cs="Times New Roman"/>
                <w:color w:val="auto"/>
                <w:kern w:val="2"/>
                <w:sz w:val="21"/>
                <w:szCs w:val="21"/>
                <w:highlight w:val="none"/>
                <w:lang w:val="en-US" w:eastAsia="zh-CN" w:bidi="ar-SA"/>
              </w:rPr>
              <w:t>根据淄博市生态环境局《关于统筹使用“十四五”建设项目主要大气污染物总量指标的通知》（淄环函〔2021〕55号）规定，</w:t>
            </w:r>
            <w:r>
              <w:rPr>
                <w:rFonts w:hint="default" w:ascii="Times New Roman" w:hAnsi="Times New Roman" w:cs="Times New Roman"/>
                <w:color w:val="auto"/>
                <w:highlight w:val="none"/>
              </w:rPr>
              <w:t>上一年度淄博市细颗粒物不达标，实行二氧化硫、氮氧化物、烟粉尘、挥发性有机物四项污染物排放总量指标2倍削减替代。</w:t>
            </w:r>
            <w:r>
              <w:rPr>
                <w:rFonts w:hint="default" w:ascii="Times New Roman" w:hAnsi="Times New Roman" w:eastAsia="宋体" w:cs="Times New Roman"/>
                <w:color w:val="auto"/>
                <w:kern w:val="2"/>
                <w:sz w:val="21"/>
                <w:szCs w:val="21"/>
                <w:highlight w:val="none"/>
                <w:lang w:val="en-US" w:eastAsia="zh-CN" w:bidi="ar-SA"/>
              </w:rPr>
              <w:t>该项目所需</w:t>
            </w:r>
            <w:r>
              <w:rPr>
                <w:rFonts w:hint="default" w:ascii="Times New Roman" w:hAnsi="Times New Roman" w:cs="Times New Roman"/>
                <w:color w:val="auto"/>
                <w:kern w:val="2"/>
                <w:sz w:val="21"/>
                <w:szCs w:val="21"/>
                <w:highlight w:val="none"/>
                <w:lang w:val="en-US" w:eastAsia="zh-CN" w:bidi="ar-SA"/>
              </w:rPr>
              <w:t>颗粒物</w:t>
            </w:r>
            <w:r>
              <w:rPr>
                <w:rFonts w:hint="eastAsia" w:cs="Times New Roman"/>
                <w:color w:val="auto"/>
                <w:kern w:val="2"/>
                <w:sz w:val="21"/>
                <w:szCs w:val="21"/>
                <w:highlight w:val="none"/>
                <w:lang w:val="en-US" w:eastAsia="zh-CN" w:bidi="ar-SA"/>
              </w:rPr>
              <w:t>、</w:t>
            </w:r>
            <w:r>
              <w:rPr>
                <w:rFonts w:hint="default" w:ascii="Times New Roman" w:hAnsi="Times New Roman" w:cs="Times New Roman"/>
                <w:color w:val="auto"/>
                <w:highlight w:val="none"/>
              </w:rPr>
              <w:t>二氧化硫、氮氧化物</w:t>
            </w:r>
            <w:r>
              <w:rPr>
                <w:rFonts w:hint="default" w:ascii="Times New Roman" w:hAnsi="Times New Roman" w:eastAsia="宋体" w:cs="Times New Roman"/>
                <w:color w:val="auto"/>
                <w:kern w:val="2"/>
                <w:sz w:val="21"/>
                <w:szCs w:val="21"/>
                <w:highlight w:val="none"/>
                <w:lang w:val="en-US" w:eastAsia="zh-CN" w:bidi="ar-SA"/>
              </w:rPr>
              <w:t>按1:2比例替代，即需从现役污染源中调剂</w:t>
            </w:r>
            <w:r>
              <w:rPr>
                <w:rFonts w:hint="default" w:ascii="Times New Roman" w:hAnsi="Times New Roman" w:cs="Times New Roman"/>
                <w:color w:val="auto"/>
                <w:kern w:val="2"/>
                <w:sz w:val="21"/>
                <w:szCs w:val="21"/>
                <w:highlight w:val="none"/>
                <w:lang w:val="en-US" w:eastAsia="zh-CN" w:bidi="ar-SA"/>
              </w:rPr>
              <w:t>颗粒物</w:t>
            </w:r>
            <w:r>
              <w:rPr>
                <w:rFonts w:hint="eastAsia" w:cs="Times New Roman"/>
                <w:color w:val="auto"/>
                <w:kern w:val="2"/>
                <w:sz w:val="21"/>
                <w:szCs w:val="21"/>
                <w:highlight w:val="none"/>
                <w:lang w:val="en-US" w:eastAsia="zh-CN" w:bidi="ar-SA"/>
              </w:rPr>
              <w:t>0.996</w:t>
            </w:r>
            <w:r>
              <w:rPr>
                <w:rFonts w:hint="default" w:ascii="Times New Roman" w:hAnsi="Times New Roman" w:cs="Times New Roman"/>
                <w:color w:val="auto"/>
                <w:kern w:val="2"/>
                <w:sz w:val="21"/>
                <w:szCs w:val="21"/>
                <w:highlight w:val="none"/>
                <w:lang w:val="en-US" w:eastAsia="zh-CN" w:bidi="ar-SA"/>
              </w:rPr>
              <w:t>t/a</w:t>
            </w:r>
            <w:r>
              <w:rPr>
                <w:rFonts w:hint="eastAsia" w:cs="Times New Roman"/>
                <w:color w:val="auto"/>
                <w:kern w:val="2"/>
                <w:sz w:val="21"/>
                <w:szCs w:val="21"/>
                <w:highlight w:val="none"/>
                <w:lang w:val="en-US" w:eastAsia="zh-CN" w:bidi="ar-SA"/>
              </w:rPr>
              <w:t>、SO</w:t>
            </w:r>
            <w:r>
              <w:rPr>
                <w:rFonts w:hint="eastAsia" w:cs="Times New Roman"/>
                <w:color w:val="auto"/>
                <w:kern w:val="2"/>
                <w:sz w:val="21"/>
                <w:szCs w:val="21"/>
                <w:highlight w:val="none"/>
                <w:vertAlign w:val="subscript"/>
                <w:lang w:val="en-US" w:eastAsia="zh-CN" w:bidi="ar-SA"/>
              </w:rPr>
              <w:t>2</w:t>
            </w:r>
            <w:r>
              <w:rPr>
                <w:rFonts w:hint="eastAsia" w:cs="Times New Roman"/>
                <w:color w:val="auto"/>
                <w:kern w:val="2"/>
                <w:sz w:val="21"/>
                <w:szCs w:val="21"/>
                <w:highlight w:val="none"/>
                <w:lang w:val="en-US" w:eastAsia="zh-CN" w:bidi="ar-SA"/>
              </w:rPr>
              <w:t xml:space="preserve"> </w:t>
            </w:r>
            <w:r>
              <w:rPr>
                <w:rFonts w:hint="default" w:ascii="Times New Roman" w:hAnsi="Times New Roman" w:cs="Times New Roman"/>
                <w:color w:val="auto"/>
                <w:kern w:val="2"/>
                <w:sz w:val="21"/>
                <w:szCs w:val="21"/>
                <w:highlight w:val="none"/>
                <w:lang w:val="en-US" w:eastAsia="zh-CN" w:bidi="ar-SA"/>
              </w:rPr>
              <w:t>0.</w:t>
            </w:r>
            <w:r>
              <w:rPr>
                <w:rFonts w:hint="eastAsia" w:cs="Times New Roman"/>
                <w:color w:val="auto"/>
                <w:kern w:val="2"/>
                <w:sz w:val="21"/>
                <w:szCs w:val="21"/>
                <w:highlight w:val="none"/>
                <w:lang w:val="en-US" w:eastAsia="zh-CN" w:bidi="ar-SA"/>
              </w:rPr>
              <w:t>24</w:t>
            </w:r>
            <w:r>
              <w:rPr>
                <w:rFonts w:hint="default" w:ascii="Times New Roman" w:hAnsi="Times New Roman" w:cs="Times New Roman"/>
                <w:color w:val="auto"/>
                <w:kern w:val="2"/>
                <w:sz w:val="21"/>
                <w:szCs w:val="21"/>
                <w:highlight w:val="none"/>
                <w:lang w:val="en-US" w:eastAsia="zh-CN" w:bidi="ar-SA"/>
              </w:rPr>
              <w:t>t/a</w:t>
            </w:r>
            <w:r>
              <w:rPr>
                <w:rFonts w:hint="eastAsia" w:ascii="Times New Roman" w:hAnsi="Times New Roman" w:cs="Times New Roman"/>
                <w:color w:val="auto"/>
                <w:kern w:val="2"/>
                <w:sz w:val="21"/>
                <w:szCs w:val="21"/>
                <w:highlight w:val="none"/>
                <w:lang w:val="en-US" w:eastAsia="zh-CN" w:bidi="ar-SA"/>
              </w:rPr>
              <w:t>、NOx</w:t>
            </w:r>
            <w:r>
              <w:rPr>
                <w:rFonts w:hint="eastAsia" w:cs="Times New Roman"/>
                <w:color w:val="auto"/>
                <w:kern w:val="2"/>
                <w:sz w:val="21"/>
                <w:szCs w:val="21"/>
                <w:highlight w:val="none"/>
                <w:lang w:val="en-US" w:eastAsia="zh-CN" w:bidi="ar-SA"/>
              </w:rPr>
              <w:t>0.8364</w:t>
            </w:r>
            <w:r>
              <w:rPr>
                <w:rFonts w:hint="default" w:ascii="Times New Roman" w:hAnsi="Times New Roman" w:cs="Times New Roman"/>
                <w:color w:val="auto"/>
                <w:kern w:val="2"/>
                <w:sz w:val="21"/>
                <w:szCs w:val="21"/>
                <w:highlight w:val="none"/>
                <w:lang w:val="en-US" w:eastAsia="zh-CN" w:bidi="ar-SA"/>
              </w:rPr>
              <w:t>t/a，</w:t>
            </w:r>
            <w:r>
              <w:rPr>
                <w:rFonts w:hint="default" w:ascii="Times New Roman" w:hAnsi="Times New Roman" w:eastAsia="宋体" w:cs="Times New Roman"/>
                <w:color w:val="auto"/>
                <w:kern w:val="2"/>
                <w:sz w:val="21"/>
                <w:szCs w:val="21"/>
                <w:highlight w:val="none"/>
                <w:lang w:val="en-US" w:eastAsia="zh-CN" w:bidi="ar-SA"/>
              </w:rPr>
              <w:t>方可达到污染物倍量替代要求。</w:t>
            </w:r>
          </w:p>
        </w:tc>
      </w:tr>
    </w:tbl>
    <w:p w14:paraId="5BABC370">
      <w:pPr>
        <w:pStyle w:val="75"/>
        <w:spacing w:line="420" w:lineRule="exact"/>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FF0000"/>
          <w:sz w:val="36"/>
          <w:szCs w:val="36"/>
        </w:rPr>
        <w:br w:type="page"/>
      </w:r>
      <w:r>
        <w:rPr>
          <w:rFonts w:hint="default" w:ascii="Times New Roman" w:hAnsi="Times New Roman" w:eastAsia="黑体" w:cs="Times New Roman"/>
          <w:snapToGrid w:val="0"/>
          <w:color w:val="auto"/>
          <w:sz w:val="30"/>
          <w:szCs w:val="30"/>
        </w:rPr>
        <w:t>四、主要环境影响和保护措施</w:t>
      </w:r>
    </w:p>
    <w:tbl>
      <w:tblPr>
        <w:tblStyle w:val="81"/>
        <w:tblpPr w:leftFromText="180" w:rightFromText="180" w:vertAnchor="text" w:tblpXSpec="right"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8178"/>
      </w:tblGrid>
      <w:tr w14:paraId="3CE11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50" w:hRule="atLeast"/>
        </w:trPr>
        <w:tc>
          <w:tcPr>
            <w:tcW w:w="736" w:type="dxa"/>
            <w:vAlign w:val="center"/>
          </w:tcPr>
          <w:p w14:paraId="633A2984">
            <w:pPr>
              <w:pStyle w:val="75"/>
              <w:adjustRightInd w:val="0"/>
              <w:snapToGrid w:val="0"/>
              <w:spacing w:before="0" w:beforeAutospacing="0" w:after="0" w:afterAutospacing="0" w:line="420" w:lineRule="exact"/>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施工</w:t>
            </w:r>
          </w:p>
          <w:p w14:paraId="6E727323">
            <w:pPr>
              <w:pStyle w:val="75"/>
              <w:adjustRightInd w:val="0"/>
              <w:snapToGrid w:val="0"/>
              <w:spacing w:before="0" w:beforeAutospacing="0" w:after="0" w:afterAutospacing="0" w:line="420" w:lineRule="exact"/>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期环</w:t>
            </w:r>
          </w:p>
          <w:p w14:paraId="4B386680">
            <w:pPr>
              <w:pStyle w:val="75"/>
              <w:adjustRightInd w:val="0"/>
              <w:snapToGrid w:val="0"/>
              <w:spacing w:before="0" w:beforeAutospacing="0" w:after="0" w:afterAutospacing="0" w:line="420" w:lineRule="exact"/>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境保</w:t>
            </w:r>
          </w:p>
          <w:p w14:paraId="56B8EF73">
            <w:pPr>
              <w:pStyle w:val="75"/>
              <w:adjustRightInd w:val="0"/>
              <w:snapToGrid w:val="0"/>
              <w:spacing w:before="0" w:beforeAutospacing="0" w:after="0" w:afterAutospacing="0" w:line="420" w:lineRule="exact"/>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护措</w:t>
            </w:r>
          </w:p>
          <w:p w14:paraId="3D02D97C">
            <w:pPr>
              <w:pStyle w:val="75"/>
              <w:adjustRightInd w:val="0"/>
              <w:snapToGrid w:val="0"/>
              <w:spacing w:before="0" w:beforeAutospacing="0" w:after="0" w:afterAutospacing="0" w:line="420" w:lineRule="exact"/>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施</w:t>
            </w:r>
          </w:p>
        </w:tc>
        <w:tc>
          <w:tcPr>
            <w:tcW w:w="8178" w:type="dxa"/>
            <w:vAlign w:val="center"/>
          </w:tcPr>
          <w:p w14:paraId="0D59387B">
            <w:pPr>
              <w:widowControl/>
              <w:spacing w:line="360" w:lineRule="auto"/>
              <w:ind w:firstLine="480"/>
              <w:rPr>
                <w:b/>
                <w:color w:val="auto"/>
              </w:rPr>
            </w:pPr>
            <w:r>
              <w:rPr>
                <w:b/>
                <w:color w:val="auto"/>
              </w:rPr>
              <w:t>施工期环境影响简要分析：</w:t>
            </w:r>
          </w:p>
          <w:p w14:paraId="4469E63D">
            <w:pPr>
              <w:spacing w:line="360" w:lineRule="auto"/>
              <w:ind w:firstLine="420" w:firstLineChars="200"/>
              <w:rPr>
                <w:color w:val="auto"/>
              </w:rPr>
            </w:pPr>
            <w:r>
              <w:rPr>
                <w:color w:val="auto"/>
              </w:rPr>
              <w:t>1、水环境影响分析</w:t>
            </w:r>
          </w:p>
          <w:p w14:paraId="07E74FEC">
            <w:pPr>
              <w:spacing w:line="360" w:lineRule="auto"/>
              <w:ind w:firstLine="420" w:firstLineChars="200"/>
              <w:rPr>
                <w:color w:val="auto"/>
              </w:rPr>
            </w:pPr>
            <w:r>
              <w:rPr>
                <w:color w:val="auto"/>
              </w:rPr>
              <w:t>（1）施工废水</w:t>
            </w:r>
          </w:p>
          <w:p w14:paraId="23271823">
            <w:pPr>
              <w:spacing w:line="360" w:lineRule="auto"/>
              <w:ind w:firstLine="420" w:firstLineChars="200"/>
              <w:rPr>
                <w:color w:val="auto"/>
              </w:rPr>
            </w:pPr>
            <w:r>
              <w:rPr>
                <w:color w:val="auto"/>
              </w:rPr>
              <w:t>施工废水主要</w:t>
            </w:r>
            <w:r>
              <w:rPr>
                <w:color w:val="auto"/>
                <w:kern w:val="0"/>
              </w:rPr>
              <w:t>包括各种施工机械设备运转的冷却、洗涤用水以及施工现场的清洗废水等。施工废水中虽无大量有毒有害污染物质，但其中可能会含有较多的泥土、砂石和一定的地表油污和化学物品。</w:t>
            </w:r>
            <w:r>
              <w:rPr>
                <w:color w:val="auto"/>
              </w:rPr>
              <w:t>废水中主要以SS污染为主，其值为400～1000 mg/</w:t>
            </w:r>
            <w:r>
              <w:rPr>
                <w:rFonts w:hint="eastAsia"/>
                <w:color w:val="auto"/>
                <w:lang w:val="en-US" w:eastAsia="zh-CN"/>
              </w:rPr>
              <w:t>L</w:t>
            </w:r>
            <w:r>
              <w:rPr>
                <w:color w:val="auto"/>
              </w:rPr>
              <w:t>，施工泥浆水和工地雨水若不经处理，直接排入城市污水管网将造成下水道阻塞，使区域排水不畅，造成地面积水，严重时影响区域环境和城市交通等。建议施工单位在现场建沉淀池，施工废水进行适当的沉淀处理后回用，沉淀下的泥浆或固体废弃物，应与建筑垃圾一起处置，不得混入生活垃圾中。经过处理后，不会对周围环境产生影响。</w:t>
            </w:r>
          </w:p>
          <w:p w14:paraId="74E2AD16">
            <w:pPr>
              <w:spacing w:line="360" w:lineRule="auto"/>
              <w:ind w:firstLine="315" w:firstLineChars="150"/>
              <w:rPr>
                <w:color w:val="auto"/>
              </w:rPr>
            </w:pPr>
            <w:r>
              <w:rPr>
                <w:color w:val="auto"/>
              </w:rPr>
              <w:t>（2）生活污水</w:t>
            </w:r>
          </w:p>
          <w:p w14:paraId="6255A4DB">
            <w:pPr>
              <w:spacing w:line="360" w:lineRule="auto"/>
              <w:ind w:firstLine="420" w:firstLineChars="200"/>
              <w:rPr>
                <w:color w:val="auto"/>
              </w:rPr>
            </w:pPr>
            <w:r>
              <w:rPr>
                <w:color w:val="auto"/>
              </w:rPr>
              <w:t>厂区施工人员相对集中，大多数来之附近地区，不在施工现场吃饭、住宿等，每天只有2人轮流值班。施工作业高峰期人数为10人，施工人员生活污水产生量按40L/日·人计算，项目生活污水日排放量约为0.4m</w:t>
            </w:r>
            <w:r>
              <w:rPr>
                <w:color w:val="auto"/>
                <w:vertAlign w:val="superscript"/>
              </w:rPr>
              <w:t>3</w:t>
            </w:r>
            <w:r>
              <w:rPr>
                <w:color w:val="auto"/>
              </w:rPr>
              <w:t>/d，主要污染物为COD、氨氮等。</w:t>
            </w:r>
            <w:r>
              <w:rPr>
                <w:rFonts w:hint="eastAsia"/>
                <w:color w:val="auto"/>
              </w:rPr>
              <w:t>生活污水经化粪池预处理后由环卫部门定期清运</w:t>
            </w:r>
            <w:r>
              <w:rPr>
                <w:color w:val="auto"/>
              </w:rPr>
              <w:t>。</w:t>
            </w:r>
          </w:p>
          <w:p w14:paraId="5CF7BC07">
            <w:pPr>
              <w:spacing w:line="360" w:lineRule="auto"/>
              <w:ind w:firstLine="420" w:firstLineChars="200"/>
              <w:rPr>
                <w:color w:val="auto"/>
              </w:rPr>
            </w:pPr>
            <w:r>
              <w:rPr>
                <w:color w:val="auto"/>
              </w:rPr>
              <w:t>2、环境空气影响分析</w:t>
            </w:r>
          </w:p>
          <w:p w14:paraId="7E8574B6">
            <w:pPr>
              <w:spacing w:line="360" w:lineRule="auto"/>
              <w:ind w:firstLine="315" w:firstLineChars="150"/>
              <w:rPr>
                <w:color w:val="auto"/>
              </w:rPr>
            </w:pPr>
            <w:r>
              <w:rPr>
                <w:color w:val="auto"/>
              </w:rPr>
              <w:t>（1）扬尘、粉尘</w:t>
            </w:r>
          </w:p>
          <w:p w14:paraId="63923D22">
            <w:pPr>
              <w:spacing w:line="360" w:lineRule="auto"/>
              <w:ind w:firstLine="420" w:firstLineChars="200"/>
              <w:rPr>
                <w:color w:val="auto"/>
              </w:rPr>
            </w:pPr>
            <w:r>
              <w:rPr>
                <w:rFonts w:hint="eastAsia"/>
                <w:color w:val="auto"/>
                <w:lang w:eastAsia="zh-CN"/>
              </w:rPr>
              <w:t>项目</w:t>
            </w:r>
            <w:r>
              <w:rPr>
                <w:color w:val="auto"/>
              </w:rPr>
              <w:t>在施工期主要污染物是扬尘、粉尘。施工期扬尘、粉尘污染主要来自以下几个方面：</w:t>
            </w:r>
          </w:p>
          <w:p w14:paraId="4D8A8E3D">
            <w:pPr>
              <w:spacing w:line="360" w:lineRule="auto"/>
              <w:ind w:firstLine="420" w:firstLineChars="200"/>
              <w:rPr>
                <w:color w:val="auto"/>
              </w:rPr>
            </w:pPr>
            <w:r>
              <w:rPr>
                <w:color w:val="auto"/>
              </w:rPr>
              <w:t>①水泥、砂石、粘土等建筑材料，如运输、装卸、仓储方式不当；</w:t>
            </w:r>
          </w:p>
          <w:p w14:paraId="7E636AB9">
            <w:pPr>
              <w:spacing w:line="360" w:lineRule="auto"/>
              <w:ind w:firstLine="420" w:firstLineChars="200"/>
              <w:rPr>
                <w:color w:val="auto"/>
              </w:rPr>
            </w:pPr>
            <w:r>
              <w:rPr>
                <w:color w:val="auto"/>
              </w:rPr>
              <w:t>②平整场地时会产生扬尘和粉尘；</w:t>
            </w:r>
          </w:p>
          <w:p w14:paraId="00CD13CB">
            <w:pPr>
              <w:spacing w:line="360" w:lineRule="auto"/>
              <w:ind w:firstLine="420" w:firstLineChars="200"/>
              <w:rPr>
                <w:color w:val="auto"/>
              </w:rPr>
            </w:pPr>
            <w:r>
              <w:rPr>
                <w:color w:val="auto"/>
              </w:rPr>
              <w:t>③物料运输车辆在施工道路及施工场地运行过程中将产生大量尘土。</w:t>
            </w:r>
          </w:p>
          <w:p w14:paraId="2A99CB95">
            <w:pPr>
              <w:spacing w:line="360" w:lineRule="auto"/>
              <w:ind w:firstLine="420" w:firstLineChars="200"/>
              <w:rPr>
                <w:color w:val="auto"/>
              </w:rPr>
            </w:pPr>
            <w:r>
              <w:rPr>
                <w:color w:val="auto"/>
              </w:rPr>
              <w:t>扬尘产生几率与土方的含水率、土壤粒度、风向、风速、湿度及土方回填时间等密切相关，据资料介绍，当灰尘含水率为0.5%时，其启动风速为4.0m/s，因此产生粉尘的可能性较小；但工程所需材料粒度较小，为扬尘形成提供了可能条件。</w:t>
            </w:r>
          </w:p>
          <w:p w14:paraId="0E1FDEA0">
            <w:pPr>
              <w:spacing w:line="360" w:lineRule="auto"/>
              <w:ind w:firstLine="315" w:firstLineChars="150"/>
              <w:rPr>
                <w:b/>
                <w:color w:val="auto"/>
              </w:rPr>
            </w:pPr>
            <w:r>
              <w:rPr>
                <w:color w:val="auto"/>
              </w:rPr>
              <w:t>据类比资料实测结果，在风速4.0m/s时，施工现场下风向不同距离的扬尘浓度见下表。</w:t>
            </w:r>
            <w:r>
              <w:rPr>
                <w:b/>
                <w:color w:val="auto"/>
              </w:rPr>
              <w:t xml:space="preserve">  </w:t>
            </w:r>
          </w:p>
          <w:p w14:paraId="763FF49B">
            <w:pPr>
              <w:jc w:val="center"/>
              <w:rPr>
                <w:b/>
                <w:color w:val="auto"/>
              </w:rPr>
            </w:pPr>
          </w:p>
          <w:p w14:paraId="43555AE7">
            <w:pPr>
              <w:jc w:val="center"/>
              <w:rPr>
                <w:b/>
                <w:color w:val="auto"/>
              </w:rPr>
            </w:pPr>
          </w:p>
          <w:p w14:paraId="149EB2DE">
            <w:pPr>
              <w:jc w:val="center"/>
              <w:rPr>
                <w:b/>
                <w:color w:val="auto"/>
              </w:rPr>
            </w:pPr>
          </w:p>
          <w:p w14:paraId="071D5639">
            <w:pPr>
              <w:jc w:val="center"/>
              <w:rPr>
                <w:b/>
                <w:color w:val="auto"/>
              </w:rPr>
            </w:pPr>
            <w:r>
              <w:rPr>
                <w:b/>
                <w:color w:val="auto"/>
              </w:rPr>
              <w:t xml:space="preserve"> 表</w:t>
            </w:r>
            <w:r>
              <w:rPr>
                <w:rFonts w:hint="eastAsia"/>
                <w:b/>
                <w:color w:val="auto"/>
              </w:rPr>
              <w:t>4-1</w:t>
            </w:r>
            <w:r>
              <w:rPr>
                <w:b/>
                <w:color w:val="auto"/>
              </w:rPr>
              <w:t xml:space="preserve">  施工现场下风向不同距离的扬尘浓度        单位：mg/m</w:t>
            </w:r>
            <w:r>
              <w:rPr>
                <w:b/>
                <w:color w:val="auto"/>
                <w:vertAlign w:val="superscript"/>
              </w:rPr>
              <w:t>3</w:t>
            </w:r>
          </w:p>
          <w:tbl>
            <w:tblPr>
              <w:tblStyle w:val="8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1"/>
              <w:gridCol w:w="1185"/>
              <w:gridCol w:w="1186"/>
              <w:gridCol w:w="1185"/>
              <w:gridCol w:w="1186"/>
              <w:gridCol w:w="1186"/>
            </w:tblGrid>
            <w:tr w14:paraId="240CB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271" w:type="pct"/>
                  <w:tcBorders>
                    <w:top w:val="single" w:color="auto" w:sz="4" w:space="0"/>
                    <w:left w:val="single" w:color="auto" w:sz="4" w:space="0"/>
                    <w:tl2br w:val="single" w:color="auto" w:sz="2" w:space="0"/>
                  </w:tcBorders>
                  <w:noWrap w:val="0"/>
                  <w:vAlign w:val="center"/>
                </w:tcPr>
                <w:p w14:paraId="6D1F63E5">
                  <w:pPr>
                    <w:adjustRightInd w:val="0"/>
                    <w:snapToGrid w:val="0"/>
                    <w:jc w:val="center"/>
                    <w:rPr>
                      <w:color w:val="auto"/>
                      <w:sz w:val="18"/>
                      <w:szCs w:val="18"/>
                    </w:rPr>
                  </w:pPr>
                  <w:r>
                    <w:rPr>
                      <w:color w:val="auto"/>
                      <w:sz w:val="18"/>
                      <w:szCs w:val="18"/>
                    </w:rPr>
                    <w:t xml:space="preserve">       距离</w:t>
                  </w:r>
                </w:p>
                <w:p w14:paraId="4724A530">
                  <w:pPr>
                    <w:adjustRightInd w:val="0"/>
                    <w:snapToGrid w:val="0"/>
                    <w:rPr>
                      <w:color w:val="auto"/>
                      <w:sz w:val="18"/>
                      <w:szCs w:val="18"/>
                    </w:rPr>
                  </w:pPr>
                  <w:r>
                    <w:rPr>
                      <w:color w:val="auto"/>
                      <w:sz w:val="18"/>
                      <w:szCs w:val="18"/>
                    </w:rPr>
                    <w:t>污染物</w:t>
                  </w:r>
                </w:p>
              </w:tc>
              <w:tc>
                <w:tcPr>
                  <w:tcW w:w="745" w:type="pct"/>
                  <w:tcBorders>
                    <w:top w:val="single" w:color="auto" w:sz="4" w:space="0"/>
                  </w:tcBorders>
                  <w:noWrap w:val="0"/>
                  <w:vAlign w:val="center"/>
                </w:tcPr>
                <w:p w14:paraId="7BA23E9F">
                  <w:pPr>
                    <w:adjustRightInd w:val="0"/>
                    <w:snapToGrid w:val="0"/>
                    <w:jc w:val="center"/>
                    <w:rPr>
                      <w:color w:val="auto"/>
                      <w:sz w:val="18"/>
                      <w:szCs w:val="18"/>
                    </w:rPr>
                  </w:pPr>
                  <w:r>
                    <w:rPr>
                      <w:color w:val="auto"/>
                      <w:sz w:val="18"/>
                      <w:szCs w:val="18"/>
                    </w:rPr>
                    <w:t>1m</w:t>
                  </w:r>
                </w:p>
              </w:tc>
              <w:tc>
                <w:tcPr>
                  <w:tcW w:w="746" w:type="pct"/>
                  <w:tcBorders>
                    <w:top w:val="single" w:color="auto" w:sz="4" w:space="0"/>
                  </w:tcBorders>
                  <w:noWrap w:val="0"/>
                  <w:vAlign w:val="center"/>
                </w:tcPr>
                <w:p w14:paraId="56DE9FB9">
                  <w:pPr>
                    <w:adjustRightInd w:val="0"/>
                    <w:snapToGrid w:val="0"/>
                    <w:jc w:val="center"/>
                    <w:rPr>
                      <w:color w:val="auto"/>
                      <w:sz w:val="18"/>
                      <w:szCs w:val="18"/>
                    </w:rPr>
                  </w:pPr>
                  <w:r>
                    <w:rPr>
                      <w:color w:val="auto"/>
                      <w:sz w:val="18"/>
                      <w:szCs w:val="18"/>
                    </w:rPr>
                    <w:t>25m</w:t>
                  </w:r>
                </w:p>
              </w:tc>
              <w:tc>
                <w:tcPr>
                  <w:tcW w:w="745" w:type="pct"/>
                  <w:tcBorders>
                    <w:top w:val="single" w:color="auto" w:sz="4" w:space="0"/>
                  </w:tcBorders>
                  <w:noWrap w:val="0"/>
                  <w:vAlign w:val="center"/>
                </w:tcPr>
                <w:p w14:paraId="1009A078">
                  <w:pPr>
                    <w:adjustRightInd w:val="0"/>
                    <w:snapToGrid w:val="0"/>
                    <w:jc w:val="center"/>
                    <w:rPr>
                      <w:color w:val="auto"/>
                      <w:sz w:val="18"/>
                      <w:szCs w:val="18"/>
                    </w:rPr>
                  </w:pPr>
                  <w:r>
                    <w:rPr>
                      <w:color w:val="auto"/>
                      <w:sz w:val="18"/>
                      <w:szCs w:val="18"/>
                    </w:rPr>
                    <w:t>50m</w:t>
                  </w:r>
                </w:p>
              </w:tc>
              <w:tc>
                <w:tcPr>
                  <w:tcW w:w="746" w:type="pct"/>
                  <w:tcBorders>
                    <w:top w:val="single" w:color="auto" w:sz="4" w:space="0"/>
                  </w:tcBorders>
                  <w:noWrap w:val="0"/>
                  <w:vAlign w:val="center"/>
                </w:tcPr>
                <w:p w14:paraId="1F5672E6">
                  <w:pPr>
                    <w:adjustRightInd w:val="0"/>
                    <w:snapToGrid w:val="0"/>
                    <w:jc w:val="center"/>
                    <w:rPr>
                      <w:color w:val="auto"/>
                      <w:sz w:val="18"/>
                      <w:szCs w:val="18"/>
                    </w:rPr>
                  </w:pPr>
                  <w:r>
                    <w:rPr>
                      <w:color w:val="auto"/>
                      <w:sz w:val="18"/>
                      <w:szCs w:val="18"/>
                    </w:rPr>
                    <w:t>80m</w:t>
                  </w:r>
                </w:p>
              </w:tc>
              <w:tc>
                <w:tcPr>
                  <w:tcW w:w="746" w:type="pct"/>
                  <w:tcBorders>
                    <w:top w:val="single" w:color="auto" w:sz="4" w:space="0"/>
                    <w:right w:val="single" w:color="auto" w:sz="4" w:space="0"/>
                  </w:tcBorders>
                  <w:noWrap w:val="0"/>
                  <w:vAlign w:val="center"/>
                </w:tcPr>
                <w:p w14:paraId="58BCFAC3">
                  <w:pPr>
                    <w:adjustRightInd w:val="0"/>
                    <w:snapToGrid w:val="0"/>
                    <w:jc w:val="center"/>
                    <w:rPr>
                      <w:color w:val="auto"/>
                      <w:sz w:val="18"/>
                      <w:szCs w:val="18"/>
                    </w:rPr>
                  </w:pPr>
                  <w:r>
                    <w:rPr>
                      <w:color w:val="auto"/>
                      <w:sz w:val="18"/>
                      <w:szCs w:val="18"/>
                    </w:rPr>
                    <w:t>150m</w:t>
                  </w:r>
                </w:p>
              </w:tc>
            </w:tr>
            <w:tr w14:paraId="10F5A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1271" w:type="pct"/>
                  <w:tcBorders>
                    <w:left w:val="single" w:color="auto" w:sz="4" w:space="0"/>
                    <w:bottom w:val="single" w:color="auto" w:sz="4" w:space="0"/>
                  </w:tcBorders>
                  <w:noWrap w:val="0"/>
                  <w:vAlign w:val="center"/>
                </w:tcPr>
                <w:p w14:paraId="39007BAA">
                  <w:pPr>
                    <w:adjustRightInd w:val="0"/>
                    <w:snapToGrid w:val="0"/>
                    <w:jc w:val="center"/>
                    <w:rPr>
                      <w:color w:val="auto"/>
                      <w:sz w:val="18"/>
                      <w:szCs w:val="18"/>
                    </w:rPr>
                  </w:pPr>
                  <w:r>
                    <w:rPr>
                      <w:color w:val="auto"/>
                      <w:sz w:val="18"/>
                      <w:szCs w:val="18"/>
                    </w:rPr>
                    <w:t>TSP</w:t>
                  </w:r>
                </w:p>
              </w:tc>
              <w:tc>
                <w:tcPr>
                  <w:tcW w:w="745" w:type="pct"/>
                  <w:tcBorders>
                    <w:bottom w:val="single" w:color="auto" w:sz="4" w:space="0"/>
                  </w:tcBorders>
                  <w:noWrap w:val="0"/>
                  <w:vAlign w:val="center"/>
                </w:tcPr>
                <w:p w14:paraId="33BF6B71">
                  <w:pPr>
                    <w:adjustRightInd w:val="0"/>
                    <w:snapToGrid w:val="0"/>
                    <w:jc w:val="center"/>
                    <w:rPr>
                      <w:color w:val="auto"/>
                      <w:sz w:val="18"/>
                      <w:szCs w:val="18"/>
                    </w:rPr>
                  </w:pPr>
                  <w:r>
                    <w:rPr>
                      <w:color w:val="auto"/>
                      <w:sz w:val="18"/>
                      <w:szCs w:val="18"/>
                    </w:rPr>
                    <w:t>3.744</w:t>
                  </w:r>
                </w:p>
              </w:tc>
              <w:tc>
                <w:tcPr>
                  <w:tcW w:w="746" w:type="pct"/>
                  <w:tcBorders>
                    <w:bottom w:val="single" w:color="auto" w:sz="4" w:space="0"/>
                  </w:tcBorders>
                  <w:noWrap w:val="0"/>
                  <w:vAlign w:val="center"/>
                </w:tcPr>
                <w:p w14:paraId="6E0E1320">
                  <w:pPr>
                    <w:adjustRightInd w:val="0"/>
                    <w:snapToGrid w:val="0"/>
                    <w:jc w:val="center"/>
                    <w:rPr>
                      <w:color w:val="auto"/>
                      <w:sz w:val="18"/>
                      <w:szCs w:val="18"/>
                    </w:rPr>
                  </w:pPr>
                  <w:r>
                    <w:rPr>
                      <w:color w:val="auto"/>
                      <w:sz w:val="18"/>
                      <w:szCs w:val="18"/>
                    </w:rPr>
                    <w:t>1.630</w:t>
                  </w:r>
                </w:p>
              </w:tc>
              <w:tc>
                <w:tcPr>
                  <w:tcW w:w="745" w:type="pct"/>
                  <w:tcBorders>
                    <w:bottom w:val="single" w:color="auto" w:sz="4" w:space="0"/>
                  </w:tcBorders>
                  <w:noWrap w:val="0"/>
                  <w:vAlign w:val="center"/>
                </w:tcPr>
                <w:p w14:paraId="6A154D4F">
                  <w:pPr>
                    <w:adjustRightInd w:val="0"/>
                    <w:snapToGrid w:val="0"/>
                    <w:jc w:val="center"/>
                    <w:rPr>
                      <w:color w:val="auto"/>
                      <w:sz w:val="18"/>
                      <w:szCs w:val="18"/>
                    </w:rPr>
                  </w:pPr>
                  <w:r>
                    <w:rPr>
                      <w:color w:val="auto"/>
                      <w:sz w:val="18"/>
                      <w:szCs w:val="18"/>
                    </w:rPr>
                    <w:t>0.785</w:t>
                  </w:r>
                </w:p>
              </w:tc>
              <w:tc>
                <w:tcPr>
                  <w:tcW w:w="746" w:type="pct"/>
                  <w:tcBorders>
                    <w:bottom w:val="single" w:color="auto" w:sz="4" w:space="0"/>
                  </w:tcBorders>
                  <w:noWrap w:val="0"/>
                  <w:vAlign w:val="center"/>
                </w:tcPr>
                <w:p w14:paraId="7116B69C">
                  <w:pPr>
                    <w:adjustRightInd w:val="0"/>
                    <w:snapToGrid w:val="0"/>
                    <w:jc w:val="center"/>
                    <w:rPr>
                      <w:color w:val="auto"/>
                      <w:sz w:val="18"/>
                      <w:szCs w:val="18"/>
                    </w:rPr>
                  </w:pPr>
                  <w:r>
                    <w:rPr>
                      <w:color w:val="auto"/>
                      <w:sz w:val="18"/>
                      <w:szCs w:val="18"/>
                    </w:rPr>
                    <w:t>0.496</w:t>
                  </w:r>
                </w:p>
              </w:tc>
              <w:tc>
                <w:tcPr>
                  <w:tcW w:w="746" w:type="pct"/>
                  <w:tcBorders>
                    <w:bottom w:val="single" w:color="auto" w:sz="4" w:space="0"/>
                    <w:right w:val="single" w:color="auto" w:sz="4" w:space="0"/>
                  </w:tcBorders>
                  <w:noWrap w:val="0"/>
                  <w:vAlign w:val="center"/>
                </w:tcPr>
                <w:p w14:paraId="34590E71">
                  <w:pPr>
                    <w:adjustRightInd w:val="0"/>
                    <w:snapToGrid w:val="0"/>
                    <w:jc w:val="center"/>
                    <w:rPr>
                      <w:color w:val="auto"/>
                      <w:sz w:val="18"/>
                      <w:szCs w:val="18"/>
                    </w:rPr>
                  </w:pPr>
                  <w:r>
                    <w:rPr>
                      <w:color w:val="auto"/>
                      <w:sz w:val="18"/>
                      <w:szCs w:val="18"/>
                    </w:rPr>
                    <w:t>0.246</w:t>
                  </w:r>
                </w:p>
              </w:tc>
            </w:tr>
          </w:tbl>
          <w:p w14:paraId="55670F38">
            <w:pPr>
              <w:spacing w:line="360" w:lineRule="auto"/>
              <w:ind w:firstLine="420" w:firstLineChars="200"/>
              <w:rPr>
                <w:color w:val="auto"/>
              </w:rPr>
            </w:pPr>
            <w:r>
              <w:rPr>
                <w:color w:val="auto"/>
              </w:rPr>
              <w:t>可见，在不利天气条件下，施工扬尘可在150m范围内超过国家二级标准，对大气环境可造成不利影响；150m范围外，一般不会有大的影响。如果在土方开挖和回填、材料运输等过程中，不采取有效的防尘措施，产生的粉尘将对下风向区域、植被产生较大的污染影响，在有超过启动风速的天气里，会对周围空气环境产生严重的污染。此外， 工地的工作人员会受到一定程度的影响，建议工人佩带口罩，并且从源头上减轻污染，车辆驶进施工场地时必须减速行驶，并且采取洒水措施，禁止大风天气施工，并制定合理施工计划。并对易产生粉尘的建筑材料设临时仓库，避免散装水泥、黄沙等物料长期露天堆放在工地，尽量将粉尘对施工人员及周围环境的危害降到最低。要求运输车辆离开施工场地时，必须进行冲洗，以免将粉尘带到公路上，对其它过往车辆产生影响。采取上述措施后，粉尘影响和污染程度会明显降低。</w:t>
            </w:r>
          </w:p>
          <w:p w14:paraId="071805CC">
            <w:pPr>
              <w:spacing w:line="360" w:lineRule="auto"/>
              <w:ind w:firstLine="315" w:firstLineChars="150"/>
              <w:rPr>
                <w:color w:val="auto"/>
              </w:rPr>
            </w:pPr>
            <w:r>
              <w:rPr>
                <w:color w:val="auto"/>
              </w:rPr>
              <w:t>（2）汽车尾气</w:t>
            </w:r>
          </w:p>
          <w:p w14:paraId="6863904C">
            <w:pPr>
              <w:spacing w:line="360" w:lineRule="auto"/>
              <w:ind w:firstLine="420" w:firstLineChars="200"/>
              <w:rPr>
                <w:color w:val="auto"/>
              </w:rPr>
            </w:pPr>
            <w:r>
              <w:rPr>
                <w:color w:val="auto"/>
              </w:rPr>
              <w:t>机动车辆运行过程中所排放的尾气是流动污染源。</w:t>
            </w:r>
          </w:p>
          <w:p w14:paraId="62B1C5CF">
            <w:pPr>
              <w:spacing w:line="360" w:lineRule="auto"/>
              <w:ind w:firstLine="420" w:firstLineChars="200"/>
              <w:rPr>
                <w:color w:val="auto"/>
              </w:rPr>
            </w:pPr>
            <w:r>
              <w:rPr>
                <w:color w:val="auto"/>
              </w:rPr>
              <w:t>施工中将会有各种工程及运输用车来往于施工现场，主要有运输卡车、翻斗车、挖掘机、铲车、推土机等。</w:t>
            </w:r>
          </w:p>
          <w:p w14:paraId="45065751">
            <w:pPr>
              <w:spacing w:line="360" w:lineRule="auto"/>
              <w:ind w:firstLine="420" w:firstLineChars="200"/>
              <w:rPr>
                <w:color w:val="auto"/>
              </w:rPr>
            </w:pPr>
            <w:r>
              <w:rPr>
                <w:color w:val="auto"/>
              </w:rPr>
              <w:t>施工场汽车尾气对大气环境的影响有如下几个特点：</w:t>
            </w:r>
          </w:p>
          <w:p w14:paraId="022731D0">
            <w:pPr>
              <w:spacing w:line="360" w:lineRule="auto"/>
              <w:ind w:firstLine="420" w:firstLineChars="200"/>
              <w:rPr>
                <w:color w:val="auto"/>
              </w:rPr>
            </w:pPr>
            <w:r>
              <w:rPr>
                <w:color w:val="auto"/>
              </w:rPr>
              <w:t>①车辆在施工场范围内活动，尾气呈面源污染形式；</w:t>
            </w:r>
          </w:p>
          <w:p w14:paraId="3FE90293">
            <w:pPr>
              <w:spacing w:line="360" w:lineRule="auto"/>
              <w:ind w:firstLine="420" w:firstLineChars="200"/>
              <w:rPr>
                <w:color w:val="auto"/>
              </w:rPr>
            </w:pPr>
            <w:r>
              <w:rPr>
                <w:color w:val="auto"/>
              </w:rPr>
              <w:t>②汽车排气筒高度较低，尾气扩散范围不大，对周围地区影响较小；</w:t>
            </w:r>
          </w:p>
          <w:p w14:paraId="6E1615DB">
            <w:pPr>
              <w:spacing w:line="360" w:lineRule="auto"/>
              <w:ind w:firstLine="420" w:firstLineChars="200"/>
              <w:rPr>
                <w:color w:val="auto"/>
              </w:rPr>
            </w:pPr>
            <w:r>
              <w:rPr>
                <w:color w:val="auto"/>
              </w:rPr>
              <w:t>③车辆为非连续行驶状态，污染物排放时间及排放量相对较小。</w:t>
            </w:r>
          </w:p>
          <w:p w14:paraId="53FA11D5">
            <w:pPr>
              <w:spacing w:line="360" w:lineRule="auto"/>
              <w:ind w:firstLine="420" w:firstLineChars="200"/>
              <w:rPr>
                <w:color w:val="auto"/>
              </w:rPr>
            </w:pPr>
            <w:r>
              <w:rPr>
                <w:color w:val="auto"/>
              </w:rPr>
              <w:t>因此建议尽量选用低能耗、低污染排放的施工机械、车辆，对于排放废气较多的车辆，应安装尾气净化装置。另外，应尽量选用质量高、对大气环境影响小的燃料。要加强机械、车辆的管理和维修，尽量减少因机械、车辆状况不佳造成的空气污染。</w:t>
            </w:r>
          </w:p>
          <w:p w14:paraId="18375A2E">
            <w:pPr>
              <w:spacing w:line="360" w:lineRule="auto"/>
              <w:ind w:firstLine="420" w:firstLineChars="200"/>
              <w:rPr>
                <w:color w:val="auto"/>
              </w:rPr>
            </w:pPr>
            <w:r>
              <w:rPr>
                <w:color w:val="auto"/>
              </w:rPr>
              <w:t>3、声环境影响预测分析</w:t>
            </w:r>
          </w:p>
          <w:p w14:paraId="498D78CB">
            <w:pPr>
              <w:spacing w:line="360" w:lineRule="auto"/>
              <w:ind w:firstLine="315" w:firstLineChars="150"/>
              <w:rPr>
                <w:color w:val="auto"/>
              </w:rPr>
            </w:pPr>
            <w:r>
              <w:rPr>
                <w:color w:val="auto"/>
              </w:rPr>
              <w:t>（1）施工噪声源调查</w:t>
            </w:r>
          </w:p>
          <w:p w14:paraId="43104DA9">
            <w:pPr>
              <w:spacing w:line="360" w:lineRule="auto"/>
              <w:ind w:firstLine="420" w:firstLineChars="200"/>
              <w:rPr>
                <w:color w:val="auto"/>
              </w:rPr>
            </w:pPr>
            <w:r>
              <w:rPr>
                <w:color w:val="auto"/>
              </w:rPr>
              <w:t>工程施工过程中所用机械设备种类较多，工程施工使用的机械主要有装载机、推土机、卡车、混凝土搅拌机等。表</w:t>
            </w:r>
            <w:r>
              <w:rPr>
                <w:rFonts w:hint="eastAsia"/>
                <w:color w:val="auto"/>
              </w:rPr>
              <w:t>4-</w:t>
            </w:r>
            <w:r>
              <w:rPr>
                <w:rFonts w:hint="eastAsia"/>
                <w:color w:val="auto"/>
                <w:lang w:val="en-US" w:eastAsia="zh-CN"/>
              </w:rPr>
              <w:t>2</w:t>
            </w:r>
            <w:r>
              <w:rPr>
                <w:color w:val="auto"/>
              </w:rPr>
              <w:t>列出常用施工机械设备在作业期间所产生的噪声值。</w:t>
            </w:r>
          </w:p>
          <w:p w14:paraId="583ACD55">
            <w:pPr>
              <w:tabs>
                <w:tab w:val="left" w:pos="720"/>
              </w:tabs>
              <w:ind w:firstLine="1859" w:firstLineChars="882"/>
              <w:rPr>
                <w:rFonts w:hint="eastAsia" w:eastAsia="宋体"/>
                <w:b/>
                <w:color w:val="auto"/>
                <w:lang w:eastAsia="zh-CN"/>
              </w:rPr>
            </w:pPr>
            <w:r>
              <w:rPr>
                <w:b/>
                <w:color w:val="auto"/>
              </w:rPr>
              <w:t>表</w:t>
            </w:r>
            <w:r>
              <w:rPr>
                <w:rFonts w:hint="eastAsia"/>
                <w:b/>
                <w:color w:val="auto"/>
              </w:rPr>
              <w:t>4-</w:t>
            </w:r>
            <w:r>
              <w:rPr>
                <w:rFonts w:hint="eastAsia"/>
                <w:b/>
                <w:color w:val="auto"/>
                <w:lang w:val="en-US" w:eastAsia="zh-CN"/>
              </w:rPr>
              <w:t>2</w:t>
            </w:r>
            <w:r>
              <w:rPr>
                <w:b/>
                <w:color w:val="auto"/>
              </w:rPr>
              <w:t xml:space="preserve">  主要机械设备的噪声值            单位：dB</w:t>
            </w:r>
            <w:r>
              <w:rPr>
                <w:rFonts w:hint="eastAsia"/>
                <w:b/>
                <w:color w:val="auto"/>
                <w:lang w:eastAsia="zh-CN"/>
              </w:rPr>
              <w:t>（</w:t>
            </w:r>
            <w:r>
              <w:rPr>
                <w:b/>
                <w:color w:val="auto"/>
              </w:rPr>
              <w:t>A</w:t>
            </w:r>
            <w:r>
              <w:rPr>
                <w:rFonts w:hint="eastAsia"/>
                <w:b/>
                <w:color w:val="auto"/>
                <w:lang w:eastAsia="zh-CN"/>
              </w:rPr>
              <w:t>）</w:t>
            </w:r>
          </w:p>
          <w:tbl>
            <w:tblPr>
              <w:tblStyle w:val="8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0"/>
              <w:gridCol w:w="1943"/>
              <w:gridCol w:w="1770"/>
              <w:gridCol w:w="3429"/>
            </w:tblGrid>
            <w:tr w14:paraId="46F53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509" w:type="pct"/>
                  <w:noWrap w:val="0"/>
                  <w:vAlign w:val="center"/>
                </w:tcPr>
                <w:p w14:paraId="74F704EF">
                  <w:pPr>
                    <w:tabs>
                      <w:tab w:val="left" w:pos="720"/>
                    </w:tabs>
                    <w:adjustRightInd w:val="0"/>
                    <w:snapToGrid w:val="0"/>
                    <w:jc w:val="center"/>
                    <w:rPr>
                      <w:color w:val="auto"/>
                      <w:sz w:val="18"/>
                      <w:szCs w:val="18"/>
                    </w:rPr>
                  </w:pPr>
                  <w:r>
                    <w:rPr>
                      <w:color w:val="auto"/>
                      <w:sz w:val="18"/>
                      <w:szCs w:val="18"/>
                    </w:rPr>
                    <w:t>序号</w:t>
                  </w:r>
                </w:p>
              </w:tc>
              <w:tc>
                <w:tcPr>
                  <w:tcW w:w="1221" w:type="pct"/>
                  <w:noWrap w:val="0"/>
                  <w:vAlign w:val="center"/>
                </w:tcPr>
                <w:p w14:paraId="62E1313A">
                  <w:pPr>
                    <w:tabs>
                      <w:tab w:val="left" w:pos="720"/>
                    </w:tabs>
                    <w:adjustRightInd w:val="0"/>
                    <w:snapToGrid w:val="0"/>
                    <w:jc w:val="center"/>
                    <w:rPr>
                      <w:color w:val="auto"/>
                      <w:sz w:val="18"/>
                      <w:szCs w:val="18"/>
                    </w:rPr>
                  </w:pPr>
                  <w:r>
                    <w:rPr>
                      <w:color w:val="auto"/>
                      <w:sz w:val="18"/>
                      <w:szCs w:val="18"/>
                    </w:rPr>
                    <w:t>机械类型</w:t>
                  </w:r>
                </w:p>
              </w:tc>
              <w:tc>
                <w:tcPr>
                  <w:tcW w:w="1112" w:type="pct"/>
                  <w:noWrap w:val="0"/>
                  <w:vAlign w:val="center"/>
                </w:tcPr>
                <w:p w14:paraId="14EC9959">
                  <w:pPr>
                    <w:tabs>
                      <w:tab w:val="left" w:pos="720"/>
                    </w:tabs>
                    <w:adjustRightInd w:val="0"/>
                    <w:snapToGrid w:val="0"/>
                    <w:jc w:val="center"/>
                    <w:rPr>
                      <w:color w:val="auto"/>
                      <w:sz w:val="18"/>
                      <w:szCs w:val="18"/>
                    </w:rPr>
                  </w:pPr>
                  <w:r>
                    <w:rPr>
                      <w:color w:val="auto"/>
                      <w:sz w:val="18"/>
                      <w:szCs w:val="18"/>
                    </w:rPr>
                    <w:t>声源特点</w:t>
                  </w:r>
                </w:p>
              </w:tc>
              <w:tc>
                <w:tcPr>
                  <w:tcW w:w="2155" w:type="pct"/>
                  <w:noWrap w:val="0"/>
                  <w:vAlign w:val="center"/>
                </w:tcPr>
                <w:p w14:paraId="07546699">
                  <w:pPr>
                    <w:tabs>
                      <w:tab w:val="left" w:pos="720"/>
                    </w:tabs>
                    <w:adjustRightInd w:val="0"/>
                    <w:snapToGrid w:val="0"/>
                    <w:jc w:val="center"/>
                    <w:rPr>
                      <w:color w:val="auto"/>
                      <w:sz w:val="18"/>
                      <w:szCs w:val="18"/>
                    </w:rPr>
                  </w:pPr>
                  <w:r>
                    <w:rPr>
                      <w:color w:val="auto"/>
                      <w:sz w:val="18"/>
                      <w:szCs w:val="18"/>
                    </w:rPr>
                    <w:t>Lmax[dB</w:t>
                  </w:r>
                  <w:r>
                    <w:rPr>
                      <w:rFonts w:hint="eastAsia"/>
                      <w:color w:val="auto"/>
                      <w:sz w:val="18"/>
                      <w:szCs w:val="18"/>
                      <w:lang w:eastAsia="zh-CN"/>
                    </w:rPr>
                    <w:t>（</w:t>
                  </w:r>
                  <w:r>
                    <w:rPr>
                      <w:color w:val="auto"/>
                      <w:sz w:val="18"/>
                      <w:szCs w:val="18"/>
                    </w:rPr>
                    <w:t>A</w:t>
                  </w:r>
                  <w:r>
                    <w:rPr>
                      <w:rFonts w:hint="eastAsia"/>
                      <w:color w:val="auto"/>
                      <w:sz w:val="18"/>
                      <w:szCs w:val="18"/>
                      <w:lang w:eastAsia="zh-CN"/>
                    </w:rPr>
                    <w:t>）</w:t>
                  </w:r>
                  <w:r>
                    <w:rPr>
                      <w:color w:val="auto"/>
                      <w:sz w:val="18"/>
                      <w:szCs w:val="18"/>
                    </w:rPr>
                    <w:t>]（测点与设备距离1m）</w:t>
                  </w:r>
                </w:p>
              </w:tc>
            </w:tr>
            <w:tr w14:paraId="428E2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509" w:type="pct"/>
                  <w:noWrap w:val="0"/>
                  <w:vAlign w:val="center"/>
                </w:tcPr>
                <w:p w14:paraId="57E80806">
                  <w:pPr>
                    <w:tabs>
                      <w:tab w:val="left" w:pos="720"/>
                    </w:tabs>
                    <w:adjustRightInd w:val="0"/>
                    <w:snapToGrid w:val="0"/>
                    <w:jc w:val="center"/>
                    <w:rPr>
                      <w:color w:val="auto"/>
                      <w:sz w:val="18"/>
                      <w:szCs w:val="18"/>
                    </w:rPr>
                  </w:pPr>
                  <w:r>
                    <w:rPr>
                      <w:color w:val="auto"/>
                      <w:sz w:val="18"/>
                      <w:szCs w:val="18"/>
                    </w:rPr>
                    <w:t>1</w:t>
                  </w:r>
                </w:p>
              </w:tc>
              <w:tc>
                <w:tcPr>
                  <w:tcW w:w="1221" w:type="pct"/>
                  <w:noWrap w:val="0"/>
                  <w:vAlign w:val="center"/>
                </w:tcPr>
                <w:p w14:paraId="1436C8C6">
                  <w:pPr>
                    <w:pStyle w:val="55"/>
                    <w:adjustRightInd w:val="0"/>
                    <w:spacing w:before="0" w:after="0" w:line="240" w:lineRule="auto"/>
                    <w:jc w:val="center"/>
                    <w:rPr>
                      <w:color w:val="auto"/>
                      <w:sz w:val="18"/>
                      <w:szCs w:val="18"/>
                    </w:rPr>
                  </w:pPr>
                  <w:r>
                    <w:rPr>
                      <w:color w:val="auto"/>
                      <w:sz w:val="18"/>
                      <w:szCs w:val="18"/>
                    </w:rPr>
                    <w:t>轮胎式装载机</w:t>
                  </w:r>
                </w:p>
              </w:tc>
              <w:tc>
                <w:tcPr>
                  <w:tcW w:w="1112" w:type="pct"/>
                  <w:noWrap w:val="0"/>
                  <w:vAlign w:val="center"/>
                </w:tcPr>
                <w:p w14:paraId="25BBF1A1">
                  <w:pPr>
                    <w:tabs>
                      <w:tab w:val="left" w:pos="720"/>
                    </w:tabs>
                    <w:adjustRightInd w:val="0"/>
                    <w:snapToGrid w:val="0"/>
                    <w:jc w:val="center"/>
                    <w:rPr>
                      <w:color w:val="auto"/>
                      <w:sz w:val="18"/>
                      <w:szCs w:val="18"/>
                    </w:rPr>
                  </w:pPr>
                  <w:r>
                    <w:rPr>
                      <w:color w:val="auto"/>
                      <w:sz w:val="18"/>
                      <w:szCs w:val="18"/>
                    </w:rPr>
                    <w:t>不稳态源</w:t>
                  </w:r>
                </w:p>
              </w:tc>
              <w:tc>
                <w:tcPr>
                  <w:tcW w:w="2155" w:type="pct"/>
                  <w:noWrap w:val="0"/>
                  <w:vAlign w:val="center"/>
                </w:tcPr>
                <w:p w14:paraId="5781BDBA">
                  <w:pPr>
                    <w:tabs>
                      <w:tab w:val="left" w:pos="720"/>
                    </w:tabs>
                    <w:adjustRightInd w:val="0"/>
                    <w:snapToGrid w:val="0"/>
                    <w:jc w:val="center"/>
                    <w:rPr>
                      <w:color w:val="auto"/>
                      <w:sz w:val="18"/>
                      <w:szCs w:val="18"/>
                    </w:rPr>
                  </w:pPr>
                  <w:r>
                    <w:rPr>
                      <w:color w:val="auto"/>
                      <w:sz w:val="18"/>
                      <w:szCs w:val="18"/>
                    </w:rPr>
                    <w:t>90</w:t>
                  </w:r>
                </w:p>
              </w:tc>
            </w:tr>
            <w:tr w14:paraId="27BF6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509" w:type="pct"/>
                  <w:noWrap w:val="0"/>
                  <w:vAlign w:val="center"/>
                </w:tcPr>
                <w:p w14:paraId="0F02CBB8">
                  <w:pPr>
                    <w:tabs>
                      <w:tab w:val="left" w:pos="720"/>
                    </w:tabs>
                    <w:adjustRightInd w:val="0"/>
                    <w:snapToGrid w:val="0"/>
                    <w:jc w:val="center"/>
                    <w:rPr>
                      <w:color w:val="auto"/>
                      <w:sz w:val="18"/>
                      <w:szCs w:val="18"/>
                    </w:rPr>
                  </w:pPr>
                  <w:r>
                    <w:rPr>
                      <w:color w:val="auto"/>
                      <w:sz w:val="18"/>
                      <w:szCs w:val="18"/>
                    </w:rPr>
                    <w:t>2</w:t>
                  </w:r>
                </w:p>
              </w:tc>
              <w:tc>
                <w:tcPr>
                  <w:tcW w:w="1221" w:type="pct"/>
                  <w:noWrap w:val="0"/>
                  <w:vAlign w:val="center"/>
                </w:tcPr>
                <w:p w14:paraId="3DD117A1">
                  <w:pPr>
                    <w:pStyle w:val="55"/>
                    <w:adjustRightInd w:val="0"/>
                    <w:spacing w:before="0" w:after="0" w:line="240" w:lineRule="auto"/>
                    <w:jc w:val="center"/>
                    <w:rPr>
                      <w:color w:val="auto"/>
                      <w:sz w:val="18"/>
                      <w:szCs w:val="18"/>
                    </w:rPr>
                  </w:pPr>
                  <w:r>
                    <w:rPr>
                      <w:color w:val="auto"/>
                      <w:sz w:val="18"/>
                      <w:szCs w:val="18"/>
                    </w:rPr>
                    <w:t>推土机</w:t>
                  </w:r>
                </w:p>
              </w:tc>
              <w:tc>
                <w:tcPr>
                  <w:tcW w:w="1112" w:type="pct"/>
                  <w:noWrap w:val="0"/>
                  <w:vAlign w:val="center"/>
                </w:tcPr>
                <w:p w14:paraId="1452FE2B">
                  <w:pPr>
                    <w:adjustRightInd w:val="0"/>
                    <w:snapToGrid w:val="0"/>
                    <w:jc w:val="center"/>
                    <w:rPr>
                      <w:color w:val="auto"/>
                      <w:sz w:val="18"/>
                      <w:szCs w:val="18"/>
                    </w:rPr>
                  </w:pPr>
                  <w:r>
                    <w:rPr>
                      <w:color w:val="auto"/>
                      <w:sz w:val="18"/>
                      <w:szCs w:val="18"/>
                    </w:rPr>
                    <w:t>流动不稳态源</w:t>
                  </w:r>
                </w:p>
              </w:tc>
              <w:tc>
                <w:tcPr>
                  <w:tcW w:w="2155" w:type="pct"/>
                  <w:noWrap w:val="0"/>
                  <w:vAlign w:val="center"/>
                </w:tcPr>
                <w:p w14:paraId="217E32BA">
                  <w:pPr>
                    <w:tabs>
                      <w:tab w:val="left" w:pos="720"/>
                    </w:tabs>
                    <w:adjustRightInd w:val="0"/>
                    <w:snapToGrid w:val="0"/>
                    <w:jc w:val="center"/>
                    <w:rPr>
                      <w:color w:val="auto"/>
                      <w:sz w:val="18"/>
                      <w:szCs w:val="18"/>
                    </w:rPr>
                  </w:pPr>
                  <w:r>
                    <w:rPr>
                      <w:color w:val="auto"/>
                      <w:sz w:val="18"/>
                      <w:szCs w:val="18"/>
                    </w:rPr>
                    <w:t>86</w:t>
                  </w:r>
                </w:p>
              </w:tc>
            </w:tr>
            <w:tr w14:paraId="03371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509" w:type="pct"/>
                  <w:noWrap w:val="0"/>
                  <w:vAlign w:val="center"/>
                </w:tcPr>
                <w:p w14:paraId="16A8BED4">
                  <w:pPr>
                    <w:tabs>
                      <w:tab w:val="left" w:pos="720"/>
                    </w:tabs>
                    <w:adjustRightInd w:val="0"/>
                    <w:snapToGrid w:val="0"/>
                    <w:jc w:val="center"/>
                    <w:rPr>
                      <w:color w:val="auto"/>
                      <w:sz w:val="18"/>
                      <w:szCs w:val="18"/>
                    </w:rPr>
                  </w:pPr>
                  <w:r>
                    <w:rPr>
                      <w:color w:val="auto"/>
                      <w:sz w:val="18"/>
                      <w:szCs w:val="18"/>
                    </w:rPr>
                    <w:t>3</w:t>
                  </w:r>
                </w:p>
              </w:tc>
              <w:tc>
                <w:tcPr>
                  <w:tcW w:w="1221" w:type="pct"/>
                  <w:noWrap w:val="0"/>
                  <w:vAlign w:val="center"/>
                </w:tcPr>
                <w:p w14:paraId="253F9FF8">
                  <w:pPr>
                    <w:pStyle w:val="55"/>
                    <w:adjustRightInd w:val="0"/>
                    <w:spacing w:before="0" w:after="0" w:line="240" w:lineRule="auto"/>
                    <w:jc w:val="center"/>
                    <w:rPr>
                      <w:color w:val="auto"/>
                      <w:sz w:val="18"/>
                      <w:szCs w:val="18"/>
                    </w:rPr>
                  </w:pPr>
                  <w:r>
                    <w:rPr>
                      <w:color w:val="auto"/>
                      <w:sz w:val="18"/>
                      <w:szCs w:val="18"/>
                    </w:rPr>
                    <w:t>卡车</w:t>
                  </w:r>
                </w:p>
              </w:tc>
              <w:tc>
                <w:tcPr>
                  <w:tcW w:w="1112" w:type="pct"/>
                  <w:noWrap w:val="0"/>
                  <w:vAlign w:val="center"/>
                </w:tcPr>
                <w:p w14:paraId="454FB0EB">
                  <w:pPr>
                    <w:tabs>
                      <w:tab w:val="left" w:pos="720"/>
                    </w:tabs>
                    <w:adjustRightInd w:val="0"/>
                    <w:snapToGrid w:val="0"/>
                    <w:jc w:val="center"/>
                    <w:rPr>
                      <w:color w:val="auto"/>
                      <w:sz w:val="18"/>
                      <w:szCs w:val="18"/>
                    </w:rPr>
                  </w:pPr>
                  <w:r>
                    <w:rPr>
                      <w:color w:val="auto"/>
                      <w:sz w:val="18"/>
                      <w:szCs w:val="18"/>
                    </w:rPr>
                    <w:t>流动不稳态源</w:t>
                  </w:r>
                </w:p>
              </w:tc>
              <w:tc>
                <w:tcPr>
                  <w:tcW w:w="2155" w:type="pct"/>
                  <w:noWrap w:val="0"/>
                  <w:vAlign w:val="center"/>
                </w:tcPr>
                <w:p w14:paraId="12360515">
                  <w:pPr>
                    <w:tabs>
                      <w:tab w:val="left" w:pos="720"/>
                    </w:tabs>
                    <w:adjustRightInd w:val="0"/>
                    <w:snapToGrid w:val="0"/>
                    <w:jc w:val="center"/>
                    <w:rPr>
                      <w:color w:val="auto"/>
                      <w:sz w:val="18"/>
                      <w:szCs w:val="18"/>
                    </w:rPr>
                  </w:pPr>
                  <w:r>
                    <w:rPr>
                      <w:color w:val="auto"/>
                      <w:sz w:val="18"/>
                      <w:szCs w:val="18"/>
                    </w:rPr>
                    <w:t>92</w:t>
                  </w:r>
                </w:p>
              </w:tc>
            </w:tr>
            <w:tr w14:paraId="00228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509" w:type="pct"/>
                  <w:noWrap w:val="0"/>
                  <w:vAlign w:val="center"/>
                </w:tcPr>
                <w:p w14:paraId="27B1C227">
                  <w:pPr>
                    <w:tabs>
                      <w:tab w:val="left" w:pos="720"/>
                    </w:tabs>
                    <w:adjustRightInd w:val="0"/>
                    <w:snapToGrid w:val="0"/>
                    <w:jc w:val="center"/>
                    <w:rPr>
                      <w:color w:val="auto"/>
                      <w:sz w:val="18"/>
                      <w:szCs w:val="18"/>
                    </w:rPr>
                  </w:pPr>
                  <w:r>
                    <w:rPr>
                      <w:color w:val="auto"/>
                      <w:sz w:val="18"/>
                      <w:szCs w:val="18"/>
                    </w:rPr>
                    <w:t>4</w:t>
                  </w:r>
                </w:p>
              </w:tc>
              <w:tc>
                <w:tcPr>
                  <w:tcW w:w="1221" w:type="pct"/>
                  <w:noWrap w:val="0"/>
                  <w:vAlign w:val="center"/>
                </w:tcPr>
                <w:p w14:paraId="133B3CCF">
                  <w:pPr>
                    <w:pStyle w:val="55"/>
                    <w:adjustRightInd w:val="0"/>
                    <w:spacing w:before="0" w:after="0" w:line="240" w:lineRule="auto"/>
                    <w:jc w:val="center"/>
                    <w:rPr>
                      <w:color w:val="auto"/>
                      <w:sz w:val="18"/>
                      <w:szCs w:val="18"/>
                    </w:rPr>
                  </w:pPr>
                  <w:r>
                    <w:rPr>
                      <w:color w:val="auto"/>
                      <w:sz w:val="18"/>
                      <w:szCs w:val="18"/>
                    </w:rPr>
                    <w:t>混凝土搅拌机</w:t>
                  </w:r>
                </w:p>
              </w:tc>
              <w:tc>
                <w:tcPr>
                  <w:tcW w:w="1112" w:type="pct"/>
                  <w:noWrap w:val="0"/>
                  <w:vAlign w:val="center"/>
                </w:tcPr>
                <w:p w14:paraId="67A25DBA">
                  <w:pPr>
                    <w:tabs>
                      <w:tab w:val="left" w:pos="720"/>
                    </w:tabs>
                    <w:adjustRightInd w:val="0"/>
                    <w:snapToGrid w:val="0"/>
                    <w:jc w:val="center"/>
                    <w:rPr>
                      <w:color w:val="auto"/>
                      <w:sz w:val="18"/>
                      <w:szCs w:val="18"/>
                    </w:rPr>
                  </w:pPr>
                  <w:r>
                    <w:rPr>
                      <w:color w:val="auto"/>
                      <w:sz w:val="18"/>
                      <w:szCs w:val="18"/>
                    </w:rPr>
                    <w:t>固定不稳态源</w:t>
                  </w:r>
                </w:p>
              </w:tc>
              <w:tc>
                <w:tcPr>
                  <w:tcW w:w="2155" w:type="pct"/>
                  <w:noWrap w:val="0"/>
                  <w:vAlign w:val="center"/>
                </w:tcPr>
                <w:p w14:paraId="3AFB33A6">
                  <w:pPr>
                    <w:tabs>
                      <w:tab w:val="left" w:pos="720"/>
                    </w:tabs>
                    <w:adjustRightInd w:val="0"/>
                    <w:snapToGrid w:val="0"/>
                    <w:jc w:val="center"/>
                    <w:rPr>
                      <w:color w:val="auto"/>
                      <w:sz w:val="18"/>
                      <w:szCs w:val="18"/>
                    </w:rPr>
                  </w:pPr>
                  <w:r>
                    <w:rPr>
                      <w:color w:val="auto"/>
                      <w:sz w:val="18"/>
                      <w:szCs w:val="18"/>
                    </w:rPr>
                    <w:t>91</w:t>
                  </w:r>
                </w:p>
              </w:tc>
            </w:tr>
          </w:tbl>
          <w:p w14:paraId="31EFE188">
            <w:pPr>
              <w:tabs>
                <w:tab w:val="left" w:pos="720"/>
              </w:tabs>
              <w:adjustRightInd w:val="0"/>
              <w:snapToGrid w:val="0"/>
              <w:spacing w:line="360" w:lineRule="auto"/>
              <w:ind w:firstLine="315" w:firstLineChars="150"/>
              <w:rPr>
                <w:color w:val="auto"/>
              </w:rPr>
            </w:pPr>
            <w:r>
              <w:rPr>
                <w:color w:val="auto"/>
              </w:rPr>
              <w:t>（2）施工期噪声影响预测</w:t>
            </w:r>
          </w:p>
          <w:p w14:paraId="36036808">
            <w:pPr>
              <w:adjustRightInd w:val="0"/>
              <w:snapToGrid w:val="0"/>
              <w:spacing w:line="360" w:lineRule="auto"/>
              <w:ind w:firstLine="420" w:firstLineChars="200"/>
              <w:rPr>
                <w:color w:val="auto"/>
              </w:rPr>
            </w:pPr>
            <w:r>
              <w:rPr>
                <w:color w:val="auto"/>
              </w:rPr>
              <w:t>施工噪声源可视为点声源。根据点声源噪声衰减模式，可估算出施工期间距声源不同距离处的噪声值。预测模式如下：</w:t>
            </w:r>
          </w:p>
          <w:p w14:paraId="585C2BFE">
            <w:pPr>
              <w:adjustRightInd w:val="0"/>
              <w:snapToGrid w:val="0"/>
              <w:spacing w:line="360" w:lineRule="auto"/>
              <w:ind w:firstLine="1470" w:firstLineChars="700"/>
              <w:outlineLvl w:val="0"/>
              <w:rPr>
                <w:color w:val="auto"/>
              </w:rPr>
            </w:pPr>
            <w:r>
              <w:rPr>
                <w:color w:val="auto"/>
              </w:rPr>
              <w:t>Lp=Lp</w:t>
            </w:r>
            <w:r>
              <w:rPr>
                <w:color w:val="auto"/>
                <w:vertAlign w:val="subscript"/>
              </w:rPr>
              <w:t>o</w:t>
            </w:r>
            <w:r>
              <w:rPr>
                <w:color w:val="auto"/>
              </w:rPr>
              <w:t>-20lg（r/r</w:t>
            </w:r>
            <w:r>
              <w:rPr>
                <w:color w:val="auto"/>
                <w:vertAlign w:val="subscript"/>
              </w:rPr>
              <w:t>0</w:t>
            </w:r>
            <w:r>
              <w:rPr>
                <w:color w:val="auto"/>
              </w:rPr>
              <w:t>）-ΔL</w:t>
            </w:r>
          </w:p>
          <w:p w14:paraId="3E27876C">
            <w:pPr>
              <w:adjustRightInd w:val="0"/>
              <w:snapToGrid w:val="0"/>
              <w:spacing w:line="360" w:lineRule="auto"/>
              <w:ind w:firstLine="420" w:firstLineChars="200"/>
              <w:rPr>
                <w:color w:val="auto"/>
              </w:rPr>
            </w:pPr>
            <w:r>
              <w:rPr>
                <w:color w:val="auto"/>
              </w:rPr>
              <w:t>式中</w:t>
            </w:r>
            <w:r>
              <w:rPr>
                <w:rFonts w:hint="eastAsia"/>
                <w:color w:val="auto"/>
                <w:lang w:eastAsia="zh-CN"/>
              </w:rPr>
              <w:t>：</w:t>
            </w:r>
            <w:r>
              <w:rPr>
                <w:color w:val="auto"/>
              </w:rPr>
              <w:t xml:space="preserve"> Lp—距声源r（m）处声压级，dB（A）；</w:t>
            </w:r>
          </w:p>
          <w:p w14:paraId="181131CC">
            <w:pPr>
              <w:adjustRightInd w:val="0"/>
              <w:snapToGrid w:val="0"/>
              <w:spacing w:line="360" w:lineRule="auto"/>
              <w:ind w:firstLine="1050" w:firstLineChars="500"/>
              <w:rPr>
                <w:color w:val="auto"/>
              </w:rPr>
            </w:pPr>
            <w:r>
              <w:rPr>
                <w:color w:val="auto"/>
              </w:rPr>
              <w:t>Lp</w:t>
            </w:r>
            <w:r>
              <w:rPr>
                <w:color w:val="auto"/>
                <w:vertAlign w:val="subscript"/>
              </w:rPr>
              <w:t>o</w:t>
            </w:r>
            <w:r>
              <w:rPr>
                <w:color w:val="auto"/>
              </w:rPr>
              <w:t>—距声源r</w:t>
            </w:r>
            <w:r>
              <w:rPr>
                <w:color w:val="auto"/>
                <w:vertAlign w:val="subscript"/>
              </w:rPr>
              <w:t>0</w:t>
            </w:r>
            <w:r>
              <w:rPr>
                <w:color w:val="auto"/>
              </w:rPr>
              <w:t>（m）处的声压级，dB（A）；</w:t>
            </w:r>
          </w:p>
          <w:p w14:paraId="35095214">
            <w:pPr>
              <w:adjustRightInd w:val="0"/>
              <w:snapToGrid w:val="0"/>
              <w:spacing w:line="360" w:lineRule="auto"/>
              <w:rPr>
                <w:color w:val="auto"/>
              </w:rPr>
            </w:pPr>
            <w:r>
              <w:rPr>
                <w:color w:val="auto"/>
              </w:rPr>
              <w:t xml:space="preserve">         </w:t>
            </w:r>
            <w:r>
              <w:rPr>
                <w:rFonts w:hint="eastAsia"/>
                <w:color w:val="auto"/>
              </w:rPr>
              <w:t xml:space="preserve">          </w:t>
            </w:r>
            <w:r>
              <w:rPr>
                <w:color w:val="auto"/>
              </w:rPr>
              <w:t xml:space="preserve"> r—距声源的距离，m；</w:t>
            </w:r>
          </w:p>
          <w:p w14:paraId="7083E386">
            <w:pPr>
              <w:adjustRightInd w:val="0"/>
              <w:snapToGrid w:val="0"/>
              <w:spacing w:line="360" w:lineRule="auto"/>
              <w:ind w:firstLine="824"/>
              <w:rPr>
                <w:color w:val="auto"/>
              </w:rPr>
            </w:pPr>
            <w:r>
              <w:rPr>
                <w:color w:val="auto"/>
              </w:rPr>
              <w:t xml:space="preserve">    r</w:t>
            </w:r>
            <w:r>
              <w:rPr>
                <w:color w:val="auto"/>
                <w:vertAlign w:val="subscript"/>
              </w:rPr>
              <w:t>0</w:t>
            </w:r>
            <w:r>
              <w:rPr>
                <w:color w:val="auto"/>
              </w:rPr>
              <w:t>—距声源1m；</w:t>
            </w:r>
          </w:p>
          <w:p w14:paraId="2927DC4B">
            <w:pPr>
              <w:adjustRightInd w:val="0"/>
              <w:snapToGrid w:val="0"/>
              <w:spacing w:line="360" w:lineRule="auto"/>
              <w:ind w:firstLine="600"/>
              <w:rPr>
                <w:color w:val="auto"/>
              </w:rPr>
            </w:pPr>
            <w:r>
              <w:rPr>
                <w:color w:val="auto"/>
              </w:rPr>
              <w:t xml:space="preserve">   </w:t>
            </w:r>
            <w:r>
              <w:rPr>
                <w:rFonts w:hint="eastAsia"/>
                <w:color w:val="auto"/>
              </w:rPr>
              <w:t xml:space="preserve">  </w:t>
            </w:r>
            <w:r>
              <w:rPr>
                <w:color w:val="auto"/>
              </w:rPr>
              <w:t xml:space="preserve">  ΔL—各种衰减量（除发散衰减外），dB（A）。室外噪声源ΔL取零。各类施工机械在不同距离外的噪声值（未与现状值叠加）预测结果见下表。</w:t>
            </w:r>
          </w:p>
          <w:p w14:paraId="00FDF08E">
            <w:pPr>
              <w:jc w:val="center"/>
              <w:rPr>
                <w:rFonts w:hint="eastAsia" w:eastAsia="宋体"/>
                <w:b/>
                <w:color w:val="auto"/>
                <w:lang w:eastAsia="zh-CN"/>
              </w:rPr>
            </w:pPr>
            <w:r>
              <w:rPr>
                <w:b/>
                <w:color w:val="auto"/>
              </w:rPr>
              <w:t xml:space="preserve">       表</w:t>
            </w:r>
            <w:r>
              <w:rPr>
                <w:rFonts w:hint="eastAsia"/>
                <w:b/>
                <w:color w:val="auto"/>
              </w:rPr>
              <w:t>4-</w:t>
            </w:r>
            <w:r>
              <w:rPr>
                <w:rFonts w:hint="eastAsia"/>
                <w:b/>
                <w:color w:val="auto"/>
                <w:lang w:val="en-US" w:eastAsia="zh-CN"/>
              </w:rPr>
              <w:t>3</w:t>
            </w:r>
            <w:r>
              <w:rPr>
                <w:b/>
                <w:color w:val="auto"/>
              </w:rPr>
              <w:t xml:space="preserve">   各种施工机械在不同距离处的噪声预测值     单位：dB</w:t>
            </w:r>
            <w:r>
              <w:rPr>
                <w:rFonts w:hint="eastAsia"/>
                <w:b/>
                <w:color w:val="auto"/>
                <w:lang w:eastAsia="zh-CN"/>
              </w:rPr>
              <w:t>（</w:t>
            </w:r>
            <w:r>
              <w:rPr>
                <w:b/>
                <w:color w:val="auto"/>
              </w:rPr>
              <w:t>A</w:t>
            </w:r>
            <w:r>
              <w:rPr>
                <w:rFonts w:hint="eastAsia"/>
                <w:b/>
                <w:color w:val="auto"/>
                <w:lang w:eastAsia="zh-CN"/>
              </w:rPr>
              <w:t>）</w:t>
            </w:r>
          </w:p>
          <w:tbl>
            <w:tblPr>
              <w:tblStyle w:val="8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5"/>
              <w:gridCol w:w="985"/>
              <w:gridCol w:w="1010"/>
              <w:gridCol w:w="1010"/>
              <w:gridCol w:w="1010"/>
              <w:gridCol w:w="1010"/>
              <w:gridCol w:w="1012"/>
            </w:tblGrid>
            <w:tr w14:paraId="5F76E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9" w:hRule="atLeast"/>
              </w:trPr>
              <w:tc>
                <w:tcPr>
                  <w:tcW w:w="1204" w:type="pct"/>
                  <w:vMerge w:val="restart"/>
                  <w:noWrap w:val="0"/>
                  <w:vAlign w:val="center"/>
                </w:tcPr>
                <w:p w14:paraId="63BDCDB3">
                  <w:pPr>
                    <w:tabs>
                      <w:tab w:val="left" w:pos="720"/>
                    </w:tabs>
                    <w:adjustRightInd w:val="0"/>
                    <w:snapToGrid w:val="0"/>
                    <w:jc w:val="center"/>
                    <w:rPr>
                      <w:color w:val="auto"/>
                      <w:sz w:val="18"/>
                      <w:szCs w:val="18"/>
                    </w:rPr>
                  </w:pPr>
                  <w:r>
                    <w:rPr>
                      <w:color w:val="auto"/>
                      <w:sz w:val="18"/>
                      <w:szCs w:val="18"/>
                    </w:rPr>
                    <w:t>机械类型</w:t>
                  </w:r>
                </w:p>
              </w:tc>
              <w:tc>
                <w:tcPr>
                  <w:tcW w:w="3795" w:type="pct"/>
                  <w:gridSpan w:val="6"/>
                  <w:noWrap w:val="0"/>
                  <w:vAlign w:val="center"/>
                </w:tcPr>
                <w:p w14:paraId="7E2BF11E">
                  <w:pPr>
                    <w:tabs>
                      <w:tab w:val="left" w:pos="720"/>
                    </w:tabs>
                    <w:adjustRightInd w:val="0"/>
                    <w:snapToGrid w:val="0"/>
                    <w:jc w:val="center"/>
                    <w:rPr>
                      <w:color w:val="auto"/>
                      <w:sz w:val="18"/>
                      <w:szCs w:val="18"/>
                    </w:rPr>
                  </w:pPr>
                  <w:r>
                    <w:rPr>
                      <w:color w:val="auto"/>
                      <w:sz w:val="18"/>
                      <w:szCs w:val="18"/>
                    </w:rPr>
                    <w:t>噪声预测值</w:t>
                  </w:r>
                </w:p>
              </w:tc>
            </w:tr>
            <w:tr w14:paraId="45F6B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9" w:hRule="atLeast"/>
              </w:trPr>
              <w:tc>
                <w:tcPr>
                  <w:tcW w:w="1204" w:type="pct"/>
                  <w:vMerge w:val="continue"/>
                  <w:noWrap w:val="0"/>
                  <w:vAlign w:val="center"/>
                </w:tcPr>
                <w:p w14:paraId="1235B761">
                  <w:pPr>
                    <w:tabs>
                      <w:tab w:val="left" w:pos="720"/>
                    </w:tabs>
                    <w:adjustRightInd w:val="0"/>
                    <w:snapToGrid w:val="0"/>
                    <w:jc w:val="center"/>
                    <w:rPr>
                      <w:color w:val="auto"/>
                      <w:sz w:val="18"/>
                      <w:szCs w:val="18"/>
                    </w:rPr>
                  </w:pPr>
                </w:p>
              </w:tc>
              <w:tc>
                <w:tcPr>
                  <w:tcW w:w="619" w:type="pct"/>
                  <w:noWrap w:val="0"/>
                  <w:vAlign w:val="center"/>
                </w:tcPr>
                <w:p w14:paraId="119CABB5">
                  <w:pPr>
                    <w:tabs>
                      <w:tab w:val="left" w:pos="720"/>
                    </w:tabs>
                    <w:adjustRightInd w:val="0"/>
                    <w:snapToGrid w:val="0"/>
                    <w:jc w:val="center"/>
                    <w:rPr>
                      <w:color w:val="auto"/>
                      <w:sz w:val="18"/>
                      <w:szCs w:val="18"/>
                    </w:rPr>
                  </w:pPr>
                  <w:r>
                    <w:rPr>
                      <w:color w:val="auto"/>
                      <w:sz w:val="18"/>
                      <w:szCs w:val="18"/>
                    </w:rPr>
                    <w:t>50m</w:t>
                  </w:r>
                </w:p>
              </w:tc>
              <w:tc>
                <w:tcPr>
                  <w:tcW w:w="635" w:type="pct"/>
                  <w:noWrap w:val="0"/>
                  <w:vAlign w:val="center"/>
                </w:tcPr>
                <w:p w14:paraId="16F22E59">
                  <w:pPr>
                    <w:tabs>
                      <w:tab w:val="left" w:pos="720"/>
                    </w:tabs>
                    <w:adjustRightInd w:val="0"/>
                    <w:snapToGrid w:val="0"/>
                    <w:jc w:val="center"/>
                    <w:rPr>
                      <w:color w:val="auto"/>
                      <w:sz w:val="18"/>
                      <w:szCs w:val="18"/>
                    </w:rPr>
                  </w:pPr>
                  <w:r>
                    <w:rPr>
                      <w:color w:val="auto"/>
                      <w:sz w:val="18"/>
                      <w:szCs w:val="18"/>
                    </w:rPr>
                    <w:t>100m</w:t>
                  </w:r>
                </w:p>
              </w:tc>
              <w:tc>
                <w:tcPr>
                  <w:tcW w:w="635" w:type="pct"/>
                  <w:noWrap w:val="0"/>
                  <w:vAlign w:val="center"/>
                </w:tcPr>
                <w:p w14:paraId="7A7863D5">
                  <w:pPr>
                    <w:tabs>
                      <w:tab w:val="left" w:pos="720"/>
                    </w:tabs>
                    <w:adjustRightInd w:val="0"/>
                    <w:snapToGrid w:val="0"/>
                    <w:jc w:val="center"/>
                    <w:rPr>
                      <w:color w:val="auto"/>
                      <w:sz w:val="18"/>
                      <w:szCs w:val="18"/>
                    </w:rPr>
                  </w:pPr>
                  <w:r>
                    <w:rPr>
                      <w:color w:val="auto"/>
                      <w:sz w:val="18"/>
                      <w:szCs w:val="18"/>
                    </w:rPr>
                    <w:t>150m</w:t>
                  </w:r>
                </w:p>
              </w:tc>
              <w:tc>
                <w:tcPr>
                  <w:tcW w:w="635" w:type="pct"/>
                  <w:noWrap w:val="0"/>
                  <w:vAlign w:val="center"/>
                </w:tcPr>
                <w:p w14:paraId="6D21203E">
                  <w:pPr>
                    <w:tabs>
                      <w:tab w:val="left" w:pos="720"/>
                    </w:tabs>
                    <w:adjustRightInd w:val="0"/>
                    <w:snapToGrid w:val="0"/>
                    <w:jc w:val="center"/>
                    <w:rPr>
                      <w:color w:val="auto"/>
                      <w:sz w:val="18"/>
                      <w:szCs w:val="18"/>
                    </w:rPr>
                  </w:pPr>
                  <w:r>
                    <w:rPr>
                      <w:color w:val="auto"/>
                      <w:sz w:val="18"/>
                      <w:szCs w:val="18"/>
                    </w:rPr>
                    <w:t>200m</w:t>
                  </w:r>
                </w:p>
              </w:tc>
              <w:tc>
                <w:tcPr>
                  <w:tcW w:w="635" w:type="pct"/>
                  <w:noWrap w:val="0"/>
                  <w:vAlign w:val="center"/>
                </w:tcPr>
                <w:p w14:paraId="21624FD8">
                  <w:pPr>
                    <w:tabs>
                      <w:tab w:val="left" w:pos="720"/>
                    </w:tabs>
                    <w:adjustRightInd w:val="0"/>
                    <w:snapToGrid w:val="0"/>
                    <w:jc w:val="center"/>
                    <w:rPr>
                      <w:color w:val="auto"/>
                      <w:sz w:val="18"/>
                      <w:szCs w:val="18"/>
                    </w:rPr>
                  </w:pPr>
                  <w:r>
                    <w:rPr>
                      <w:color w:val="auto"/>
                      <w:sz w:val="18"/>
                      <w:szCs w:val="18"/>
                    </w:rPr>
                    <w:t>300m</w:t>
                  </w:r>
                </w:p>
              </w:tc>
              <w:tc>
                <w:tcPr>
                  <w:tcW w:w="635" w:type="pct"/>
                  <w:noWrap w:val="0"/>
                  <w:vAlign w:val="center"/>
                </w:tcPr>
                <w:p w14:paraId="6D157252">
                  <w:pPr>
                    <w:tabs>
                      <w:tab w:val="left" w:pos="720"/>
                    </w:tabs>
                    <w:adjustRightInd w:val="0"/>
                    <w:snapToGrid w:val="0"/>
                    <w:jc w:val="center"/>
                    <w:rPr>
                      <w:color w:val="auto"/>
                      <w:sz w:val="18"/>
                      <w:szCs w:val="18"/>
                    </w:rPr>
                  </w:pPr>
                  <w:r>
                    <w:rPr>
                      <w:color w:val="auto"/>
                      <w:sz w:val="18"/>
                      <w:szCs w:val="18"/>
                    </w:rPr>
                    <w:t>500m</w:t>
                  </w:r>
                </w:p>
              </w:tc>
            </w:tr>
            <w:tr w14:paraId="72880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9" w:hRule="atLeast"/>
              </w:trPr>
              <w:tc>
                <w:tcPr>
                  <w:tcW w:w="1204" w:type="pct"/>
                  <w:noWrap w:val="0"/>
                  <w:vAlign w:val="center"/>
                </w:tcPr>
                <w:p w14:paraId="7E199627">
                  <w:pPr>
                    <w:tabs>
                      <w:tab w:val="left" w:pos="720"/>
                    </w:tabs>
                    <w:adjustRightInd w:val="0"/>
                    <w:snapToGrid w:val="0"/>
                    <w:jc w:val="center"/>
                    <w:rPr>
                      <w:color w:val="auto"/>
                      <w:sz w:val="18"/>
                      <w:szCs w:val="18"/>
                    </w:rPr>
                  </w:pPr>
                  <w:r>
                    <w:rPr>
                      <w:color w:val="auto"/>
                      <w:sz w:val="18"/>
                      <w:szCs w:val="18"/>
                    </w:rPr>
                    <w:t>轮式装载机</w:t>
                  </w:r>
                </w:p>
              </w:tc>
              <w:tc>
                <w:tcPr>
                  <w:tcW w:w="619" w:type="pct"/>
                  <w:noWrap w:val="0"/>
                  <w:vAlign w:val="center"/>
                </w:tcPr>
                <w:p w14:paraId="4803C93F">
                  <w:pPr>
                    <w:tabs>
                      <w:tab w:val="left" w:pos="720"/>
                    </w:tabs>
                    <w:adjustRightInd w:val="0"/>
                    <w:snapToGrid w:val="0"/>
                    <w:jc w:val="center"/>
                    <w:rPr>
                      <w:color w:val="auto"/>
                      <w:sz w:val="18"/>
                      <w:szCs w:val="18"/>
                    </w:rPr>
                  </w:pPr>
                  <w:r>
                    <w:rPr>
                      <w:color w:val="auto"/>
                      <w:sz w:val="18"/>
                      <w:szCs w:val="18"/>
                    </w:rPr>
                    <w:t>56</w:t>
                  </w:r>
                </w:p>
              </w:tc>
              <w:tc>
                <w:tcPr>
                  <w:tcW w:w="635" w:type="pct"/>
                  <w:noWrap w:val="0"/>
                  <w:vAlign w:val="center"/>
                </w:tcPr>
                <w:p w14:paraId="6957E518">
                  <w:pPr>
                    <w:tabs>
                      <w:tab w:val="left" w:pos="720"/>
                    </w:tabs>
                    <w:adjustRightInd w:val="0"/>
                    <w:snapToGrid w:val="0"/>
                    <w:jc w:val="center"/>
                    <w:rPr>
                      <w:color w:val="auto"/>
                      <w:sz w:val="18"/>
                      <w:szCs w:val="18"/>
                    </w:rPr>
                  </w:pPr>
                  <w:r>
                    <w:rPr>
                      <w:color w:val="auto"/>
                      <w:sz w:val="18"/>
                      <w:szCs w:val="18"/>
                    </w:rPr>
                    <w:t>50</w:t>
                  </w:r>
                </w:p>
              </w:tc>
              <w:tc>
                <w:tcPr>
                  <w:tcW w:w="635" w:type="pct"/>
                  <w:noWrap w:val="0"/>
                  <w:vAlign w:val="center"/>
                </w:tcPr>
                <w:p w14:paraId="0523DB8F">
                  <w:pPr>
                    <w:tabs>
                      <w:tab w:val="left" w:pos="720"/>
                    </w:tabs>
                    <w:adjustRightInd w:val="0"/>
                    <w:snapToGrid w:val="0"/>
                    <w:jc w:val="center"/>
                    <w:rPr>
                      <w:color w:val="auto"/>
                      <w:sz w:val="18"/>
                      <w:szCs w:val="18"/>
                    </w:rPr>
                  </w:pPr>
                  <w:r>
                    <w:rPr>
                      <w:color w:val="auto"/>
                      <w:sz w:val="18"/>
                      <w:szCs w:val="18"/>
                    </w:rPr>
                    <w:t>46</w:t>
                  </w:r>
                </w:p>
              </w:tc>
              <w:tc>
                <w:tcPr>
                  <w:tcW w:w="635" w:type="pct"/>
                  <w:noWrap w:val="0"/>
                  <w:vAlign w:val="center"/>
                </w:tcPr>
                <w:p w14:paraId="4A106E5E">
                  <w:pPr>
                    <w:tabs>
                      <w:tab w:val="left" w:pos="720"/>
                    </w:tabs>
                    <w:adjustRightInd w:val="0"/>
                    <w:snapToGrid w:val="0"/>
                    <w:jc w:val="center"/>
                    <w:rPr>
                      <w:color w:val="auto"/>
                      <w:sz w:val="18"/>
                      <w:szCs w:val="18"/>
                    </w:rPr>
                  </w:pPr>
                  <w:r>
                    <w:rPr>
                      <w:color w:val="auto"/>
                      <w:sz w:val="18"/>
                      <w:szCs w:val="18"/>
                    </w:rPr>
                    <w:t>44</w:t>
                  </w:r>
                </w:p>
              </w:tc>
              <w:tc>
                <w:tcPr>
                  <w:tcW w:w="635" w:type="pct"/>
                  <w:noWrap w:val="0"/>
                  <w:vAlign w:val="center"/>
                </w:tcPr>
                <w:p w14:paraId="1926ECB5">
                  <w:pPr>
                    <w:tabs>
                      <w:tab w:val="left" w:pos="720"/>
                    </w:tabs>
                    <w:adjustRightInd w:val="0"/>
                    <w:snapToGrid w:val="0"/>
                    <w:jc w:val="center"/>
                    <w:rPr>
                      <w:color w:val="auto"/>
                      <w:sz w:val="18"/>
                      <w:szCs w:val="18"/>
                    </w:rPr>
                  </w:pPr>
                  <w:r>
                    <w:rPr>
                      <w:color w:val="auto"/>
                      <w:sz w:val="18"/>
                      <w:szCs w:val="18"/>
                    </w:rPr>
                    <w:t>40</w:t>
                  </w:r>
                </w:p>
              </w:tc>
              <w:tc>
                <w:tcPr>
                  <w:tcW w:w="635" w:type="pct"/>
                  <w:noWrap w:val="0"/>
                  <w:vAlign w:val="center"/>
                </w:tcPr>
                <w:p w14:paraId="1CB24B3E">
                  <w:pPr>
                    <w:tabs>
                      <w:tab w:val="left" w:pos="720"/>
                    </w:tabs>
                    <w:adjustRightInd w:val="0"/>
                    <w:snapToGrid w:val="0"/>
                    <w:jc w:val="center"/>
                    <w:rPr>
                      <w:color w:val="auto"/>
                      <w:sz w:val="18"/>
                      <w:szCs w:val="18"/>
                    </w:rPr>
                  </w:pPr>
                  <w:r>
                    <w:rPr>
                      <w:color w:val="auto"/>
                      <w:sz w:val="18"/>
                      <w:szCs w:val="18"/>
                    </w:rPr>
                    <w:t>36</w:t>
                  </w:r>
                </w:p>
              </w:tc>
            </w:tr>
            <w:tr w14:paraId="010F3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9" w:hRule="atLeast"/>
              </w:trPr>
              <w:tc>
                <w:tcPr>
                  <w:tcW w:w="1204" w:type="pct"/>
                  <w:noWrap w:val="0"/>
                  <w:vAlign w:val="center"/>
                </w:tcPr>
                <w:p w14:paraId="1A7F702E">
                  <w:pPr>
                    <w:tabs>
                      <w:tab w:val="left" w:pos="720"/>
                    </w:tabs>
                    <w:adjustRightInd w:val="0"/>
                    <w:snapToGrid w:val="0"/>
                    <w:jc w:val="center"/>
                    <w:rPr>
                      <w:color w:val="auto"/>
                      <w:sz w:val="18"/>
                      <w:szCs w:val="18"/>
                    </w:rPr>
                  </w:pPr>
                  <w:r>
                    <w:rPr>
                      <w:color w:val="auto"/>
                      <w:sz w:val="18"/>
                      <w:szCs w:val="18"/>
                    </w:rPr>
                    <w:t>推土机</w:t>
                  </w:r>
                </w:p>
              </w:tc>
              <w:tc>
                <w:tcPr>
                  <w:tcW w:w="619" w:type="pct"/>
                  <w:noWrap w:val="0"/>
                  <w:vAlign w:val="center"/>
                </w:tcPr>
                <w:p w14:paraId="7F853910">
                  <w:pPr>
                    <w:tabs>
                      <w:tab w:val="left" w:pos="720"/>
                    </w:tabs>
                    <w:adjustRightInd w:val="0"/>
                    <w:snapToGrid w:val="0"/>
                    <w:jc w:val="center"/>
                    <w:rPr>
                      <w:color w:val="auto"/>
                      <w:sz w:val="18"/>
                      <w:szCs w:val="18"/>
                    </w:rPr>
                  </w:pPr>
                  <w:r>
                    <w:rPr>
                      <w:color w:val="auto"/>
                      <w:sz w:val="18"/>
                      <w:szCs w:val="18"/>
                    </w:rPr>
                    <w:t>52</w:t>
                  </w:r>
                </w:p>
              </w:tc>
              <w:tc>
                <w:tcPr>
                  <w:tcW w:w="635" w:type="pct"/>
                  <w:noWrap w:val="0"/>
                  <w:vAlign w:val="center"/>
                </w:tcPr>
                <w:p w14:paraId="4BCD0E13">
                  <w:pPr>
                    <w:tabs>
                      <w:tab w:val="left" w:pos="720"/>
                    </w:tabs>
                    <w:adjustRightInd w:val="0"/>
                    <w:snapToGrid w:val="0"/>
                    <w:jc w:val="center"/>
                    <w:rPr>
                      <w:color w:val="auto"/>
                      <w:sz w:val="18"/>
                      <w:szCs w:val="18"/>
                    </w:rPr>
                  </w:pPr>
                  <w:r>
                    <w:rPr>
                      <w:color w:val="auto"/>
                      <w:sz w:val="18"/>
                      <w:szCs w:val="18"/>
                    </w:rPr>
                    <w:t>46</w:t>
                  </w:r>
                </w:p>
              </w:tc>
              <w:tc>
                <w:tcPr>
                  <w:tcW w:w="635" w:type="pct"/>
                  <w:noWrap w:val="0"/>
                  <w:vAlign w:val="center"/>
                </w:tcPr>
                <w:p w14:paraId="19152AF5">
                  <w:pPr>
                    <w:tabs>
                      <w:tab w:val="left" w:pos="720"/>
                    </w:tabs>
                    <w:adjustRightInd w:val="0"/>
                    <w:snapToGrid w:val="0"/>
                    <w:jc w:val="center"/>
                    <w:rPr>
                      <w:color w:val="auto"/>
                      <w:sz w:val="18"/>
                      <w:szCs w:val="18"/>
                    </w:rPr>
                  </w:pPr>
                  <w:r>
                    <w:rPr>
                      <w:color w:val="auto"/>
                      <w:sz w:val="18"/>
                      <w:szCs w:val="18"/>
                    </w:rPr>
                    <w:t>42</w:t>
                  </w:r>
                </w:p>
              </w:tc>
              <w:tc>
                <w:tcPr>
                  <w:tcW w:w="635" w:type="pct"/>
                  <w:noWrap w:val="0"/>
                  <w:vAlign w:val="center"/>
                </w:tcPr>
                <w:p w14:paraId="71B4DB01">
                  <w:pPr>
                    <w:tabs>
                      <w:tab w:val="left" w:pos="720"/>
                    </w:tabs>
                    <w:adjustRightInd w:val="0"/>
                    <w:snapToGrid w:val="0"/>
                    <w:jc w:val="center"/>
                    <w:rPr>
                      <w:color w:val="auto"/>
                      <w:sz w:val="18"/>
                      <w:szCs w:val="18"/>
                    </w:rPr>
                  </w:pPr>
                  <w:r>
                    <w:rPr>
                      <w:color w:val="auto"/>
                      <w:sz w:val="18"/>
                      <w:szCs w:val="18"/>
                    </w:rPr>
                    <w:t>40</w:t>
                  </w:r>
                </w:p>
              </w:tc>
              <w:tc>
                <w:tcPr>
                  <w:tcW w:w="635" w:type="pct"/>
                  <w:noWrap w:val="0"/>
                  <w:vAlign w:val="center"/>
                </w:tcPr>
                <w:p w14:paraId="0AEB8EE9">
                  <w:pPr>
                    <w:tabs>
                      <w:tab w:val="left" w:pos="720"/>
                    </w:tabs>
                    <w:adjustRightInd w:val="0"/>
                    <w:snapToGrid w:val="0"/>
                    <w:jc w:val="center"/>
                    <w:rPr>
                      <w:color w:val="auto"/>
                      <w:sz w:val="18"/>
                      <w:szCs w:val="18"/>
                    </w:rPr>
                  </w:pPr>
                  <w:r>
                    <w:rPr>
                      <w:color w:val="auto"/>
                      <w:sz w:val="18"/>
                      <w:szCs w:val="18"/>
                    </w:rPr>
                    <w:t>36</w:t>
                  </w:r>
                </w:p>
              </w:tc>
              <w:tc>
                <w:tcPr>
                  <w:tcW w:w="635" w:type="pct"/>
                  <w:noWrap w:val="0"/>
                  <w:vAlign w:val="center"/>
                </w:tcPr>
                <w:p w14:paraId="551E7D61">
                  <w:pPr>
                    <w:tabs>
                      <w:tab w:val="left" w:pos="720"/>
                    </w:tabs>
                    <w:adjustRightInd w:val="0"/>
                    <w:snapToGrid w:val="0"/>
                    <w:jc w:val="center"/>
                    <w:rPr>
                      <w:color w:val="auto"/>
                      <w:sz w:val="18"/>
                      <w:szCs w:val="18"/>
                    </w:rPr>
                  </w:pPr>
                  <w:r>
                    <w:rPr>
                      <w:color w:val="auto"/>
                      <w:sz w:val="18"/>
                      <w:szCs w:val="18"/>
                    </w:rPr>
                    <w:t>32</w:t>
                  </w:r>
                </w:p>
              </w:tc>
            </w:tr>
            <w:tr w14:paraId="2B012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9" w:hRule="atLeast"/>
              </w:trPr>
              <w:tc>
                <w:tcPr>
                  <w:tcW w:w="1204" w:type="pct"/>
                  <w:noWrap w:val="0"/>
                  <w:vAlign w:val="center"/>
                </w:tcPr>
                <w:p w14:paraId="780BAA3C">
                  <w:pPr>
                    <w:tabs>
                      <w:tab w:val="left" w:pos="720"/>
                    </w:tabs>
                    <w:adjustRightInd w:val="0"/>
                    <w:snapToGrid w:val="0"/>
                    <w:jc w:val="center"/>
                    <w:rPr>
                      <w:color w:val="auto"/>
                      <w:sz w:val="18"/>
                      <w:szCs w:val="18"/>
                    </w:rPr>
                  </w:pPr>
                  <w:r>
                    <w:rPr>
                      <w:color w:val="auto"/>
                      <w:sz w:val="18"/>
                      <w:szCs w:val="18"/>
                    </w:rPr>
                    <w:t>卡车</w:t>
                  </w:r>
                </w:p>
              </w:tc>
              <w:tc>
                <w:tcPr>
                  <w:tcW w:w="619" w:type="pct"/>
                  <w:noWrap w:val="0"/>
                  <w:vAlign w:val="center"/>
                </w:tcPr>
                <w:p w14:paraId="3C791F5C">
                  <w:pPr>
                    <w:tabs>
                      <w:tab w:val="left" w:pos="720"/>
                    </w:tabs>
                    <w:adjustRightInd w:val="0"/>
                    <w:snapToGrid w:val="0"/>
                    <w:jc w:val="center"/>
                    <w:rPr>
                      <w:color w:val="auto"/>
                      <w:sz w:val="18"/>
                      <w:szCs w:val="18"/>
                    </w:rPr>
                  </w:pPr>
                  <w:r>
                    <w:rPr>
                      <w:color w:val="auto"/>
                      <w:sz w:val="18"/>
                      <w:szCs w:val="18"/>
                    </w:rPr>
                    <w:t>58</w:t>
                  </w:r>
                </w:p>
              </w:tc>
              <w:tc>
                <w:tcPr>
                  <w:tcW w:w="635" w:type="pct"/>
                  <w:noWrap w:val="0"/>
                  <w:vAlign w:val="center"/>
                </w:tcPr>
                <w:p w14:paraId="563C5836">
                  <w:pPr>
                    <w:tabs>
                      <w:tab w:val="left" w:pos="720"/>
                    </w:tabs>
                    <w:adjustRightInd w:val="0"/>
                    <w:snapToGrid w:val="0"/>
                    <w:jc w:val="center"/>
                    <w:rPr>
                      <w:color w:val="auto"/>
                      <w:sz w:val="18"/>
                      <w:szCs w:val="18"/>
                    </w:rPr>
                  </w:pPr>
                  <w:r>
                    <w:rPr>
                      <w:color w:val="auto"/>
                      <w:sz w:val="18"/>
                      <w:szCs w:val="18"/>
                    </w:rPr>
                    <w:t>52</w:t>
                  </w:r>
                </w:p>
              </w:tc>
              <w:tc>
                <w:tcPr>
                  <w:tcW w:w="635" w:type="pct"/>
                  <w:noWrap w:val="0"/>
                  <w:vAlign w:val="center"/>
                </w:tcPr>
                <w:p w14:paraId="53F28CF3">
                  <w:pPr>
                    <w:tabs>
                      <w:tab w:val="left" w:pos="720"/>
                    </w:tabs>
                    <w:adjustRightInd w:val="0"/>
                    <w:snapToGrid w:val="0"/>
                    <w:jc w:val="center"/>
                    <w:rPr>
                      <w:color w:val="auto"/>
                      <w:sz w:val="18"/>
                      <w:szCs w:val="18"/>
                    </w:rPr>
                  </w:pPr>
                  <w:r>
                    <w:rPr>
                      <w:color w:val="auto"/>
                      <w:sz w:val="18"/>
                      <w:szCs w:val="18"/>
                    </w:rPr>
                    <w:t>48</w:t>
                  </w:r>
                </w:p>
              </w:tc>
              <w:tc>
                <w:tcPr>
                  <w:tcW w:w="635" w:type="pct"/>
                  <w:noWrap w:val="0"/>
                  <w:vAlign w:val="center"/>
                </w:tcPr>
                <w:p w14:paraId="75BFCBC3">
                  <w:pPr>
                    <w:tabs>
                      <w:tab w:val="left" w:pos="720"/>
                    </w:tabs>
                    <w:adjustRightInd w:val="0"/>
                    <w:snapToGrid w:val="0"/>
                    <w:jc w:val="center"/>
                    <w:rPr>
                      <w:color w:val="auto"/>
                      <w:sz w:val="18"/>
                      <w:szCs w:val="18"/>
                    </w:rPr>
                  </w:pPr>
                  <w:r>
                    <w:rPr>
                      <w:color w:val="auto"/>
                      <w:sz w:val="18"/>
                      <w:szCs w:val="18"/>
                    </w:rPr>
                    <w:t>46</w:t>
                  </w:r>
                </w:p>
              </w:tc>
              <w:tc>
                <w:tcPr>
                  <w:tcW w:w="635" w:type="pct"/>
                  <w:noWrap w:val="0"/>
                  <w:vAlign w:val="center"/>
                </w:tcPr>
                <w:p w14:paraId="7AA71D0A">
                  <w:pPr>
                    <w:tabs>
                      <w:tab w:val="left" w:pos="720"/>
                    </w:tabs>
                    <w:adjustRightInd w:val="0"/>
                    <w:snapToGrid w:val="0"/>
                    <w:jc w:val="center"/>
                    <w:rPr>
                      <w:color w:val="auto"/>
                      <w:sz w:val="18"/>
                      <w:szCs w:val="18"/>
                    </w:rPr>
                  </w:pPr>
                  <w:r>
                    <w:rPr>
                      <w:color w:val="auto"/>
                      <w:sz w:val="18"/>
                      <w:szCs w:val="18"/>
                    </w:rPr>
                    <w:t>42</w:t>
                  </w:r>
                </w:p>
              </w:tc>
              <w:tc>
                <w:tcPr>
                  <w:tcW w:w="635" w:type="pct"/>
                  <w:noWrap w:val="0"/>
                  <w:vAlign w:val="center"/>
                </w:tcPr>
                <w:p w14:paraId="2BDCD6BA">
                  <w:pPr>
                    <w:tabs>
                      <w:tab w:val="left" w:pos="720"/>
                    </w:tabs>
                    <w:adjustRightInd w:val="0"/>
                    <w:snapToGrid w:val="0"/>
                    <w:jc w:val="center"/>
                    <w:rPr>
                      <w:color w:val="auto"/>
                      <w:sz w:val="18"/>
                      <w:szCs w:val="18"/>
                    </w:rPr>
                  </w:pPr>
                  <w:r>
                    <w:rPr>
                      <w:color w:val="auto"/>
                      <w:sz w:val="18"/>
                      <w:szCs w:val="18"/>
                    </w:rPr>
                    <w:t>38</w:t>
                  </w:r>
                </w:p>
              </w:tc>
            </w:tr>
            <w:tr w14:paraId="4D3B7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9" w:hRule="atLeast"/>
              </w:trPr>
              <w:tc>
                <w:tcPr>
                  <w:tcW w:w="1204" w:type="pct"/>
                  <w:noWrap w:val="0"/>
                  <w:vAlign w:val="center"/>
                </w:tcPr>
                <w:p w14:paraId="4C26E7D4">
                  <w:pPr>
                    <w:tabs>
                      <w:tab w:val="left" w:pos="720"/>
                    </w:tabs>
                    <w:adjustRightInd w:val="0"/>
                    <w:snapToGrid w:val="0"/>
                    <w:jc w:val="center"/>
                    <w:rPr>
                      <w:color w:val="auto"/>
                      <w:sz w:val="18"/>
                      <w:szCs w:val="18"/>
                    </w:rPr>
                  </w:pPr>
                  <w:r>
                    <w:rPr>
                      <w:color w:val="auto"/>
                      <w:sz w:val="18"/>
                      <w:szCs w:val="18"/>
                    </w:rPr>
                    <w:t>混凝土搅拌机</w:t>
                  </w:r>
                </w:p>
              </w:tc>
              <w:tc>
                <w:tcPr>
                  <w:tcW w:w="619" w:type="pct"/>
                  <w:noWrap w:val="0"/>
                  <w:vAlign w:val="center"/>
                </w:tcPr>
                <w:p w14:paraId="1CDEB24D">
                  <w:pPr>
                    <w:tabs>
                      <w:tab w:val="left" w:pos="720"/>
                    </w:tabs>
                    <w:adjustRightInd w:val="0"/>
                    <w:snapToGrid w:val="0"/>
                    <w:jc w:val="center"/>
                    <w:rPr>
                      <w:color w:val="auto"/>
                      <w:sz w:val="18"/>
                      <w:szCs w:val="18"/>
                    </w:rPr>
                  </w:pPr>
                  <w:r>
                    <w:rPr>
                      <w:color w:val="auto"/>
                      <w:sz w:val="18"/>
                      <w:szCs w:val="18"/>
                    </w:rPr>
                    <w:t>57</w:t>
                  </w:r>
                </w:p>
              </w:tc>
              <w:tc>
                <w:tcPr>
                  <w:tcW w:w="635" w:type="pct"/>
                  <w:noWrap w:val="0"/>
                  <w:vAlign w:val="center"/>
                </w:tcPr>
                <w:p w14:paraId="4D9CCB93">
                  <w:pPr>
                    <w:tabs>
                      <w:tab w:val="left" w:pos="720"/>
                    </w:tabs>
                    <w:adjustRightInd w:val="0"/>
                    <w:snapToGrid w:val="0"/>
                    <w:jc w:val="center"/>
                    <w:rPr>
                      <w:color w:val="auto"/>
                      <w:sz w:val="18"/>
                      <w:szCs w:val="18"/>
                    </w:rPr>
                  </w:pPr>
                  <w:r>
                    <w:rPr>
                      <w:color w:val="auto"/>
                      <w:sz w:val="18"/>
                      <w:szCs w:val="18"/>
                    </w:rPr>
                    <w:t>51</w:t>
                  </w:r>
                </w:p>
              </w:tc>
              <w:tc>
                <w:tcPr>
                  <w:tcW w:w="635" w:type="pct"/>
                  <w:noWrap w:val="0"/>
                  <w:vAlign w:val="center"/>
                </w:tcPr>
                <w:p w14:paraId="2DA51A58">
                  <w:pPr>
                    <w:tabs>
                      <w:tab w:val="left" w:pos="720"/>
                    </w:tabs>
                    <w:adjustRightInd w:val="0"/>
                    <w:snapToGrid w:val="0"/>
                    <w:jc w:val="center"/>
                    <w:rPr>
                      <w:color w:val="auto"/>
                      <w:sz w:val="18"/>
                      <w:szCs w:val="18"/>
                    </w:rPr>
                  </w:pPr>
                  <w:r>
                    <w:rPr>
                      <w:color w:val="auto"/>
                      <w:sz w:val="18"/>
                      <w:szCs w:val="18"/>
                    </w:rPr>
                    <w:t>47</w:t>
                  </w:r>
                </w:p>
              </w:tc>
              <w:tc>
                <w:tcPr>
                  <w:tcW w:w="635" w:type="pct"/>
                  <w:noWrap w:val="0"/>
                  <w:vAlign w:val="center"/>
                </w:tcPr>
                <w:p w14:paraId="7885F546">
                  <w:pPr>
                    <w:tabs>
                      <w:tab w:val="left" w:pos="720"/>
                    </w:tabs>
                    <w:adjustRightInd w:val="0"/>
                    <w:snapToGrid w:val="0"/>
                    <w:jc w:val="center"/>
                    <w:rPr>
                      <w:color w:val="auto"/>
                      <w:sz w:val="18"/>
                      <w:szCs w:val="18"/>
                    </w:rPr>
                  </w:pPr>
                  <w:r>
                    <w:rPr>
                      <w:color w:val="auto"/>
                      <w:sz w:val="18"/>
                      <w:szCs w:val="18"/>
                    </w:rPr>
                    <w:t>45</w:t>
                  </w:r>
                </w:p>
              </w:tc>
              <w:tc>
                <w:tcPr>
                  <w:tcW w:w="635" w:type="pct"/>
                  <w:noWrap w:val="0"/>
                  <w:vAlign w:val="center"/>
                </w:tcPr>
                <w:p w14:paraId="7C0BFE2E">
                  <w:pPr>
                    <w:tabs>
                      <w:tab w:val="left" w:pos="720"/>
                    </w:tabs>
                    <w:adjustRightInd w:val="0"/>
                    <w:snapToGrid w:val="0"/>
                    <w:jc w:val="center"/>
                    <w:rPr>
                      <w:color w:val="auto"/>
                      <w:sz w:val="18"/>
                      <w:szCs w:val="18"/>
                    </w:rPr>
                  </w:pPr>
                  <w:r>
                    <w:rPr>
                      <w:color w:val="auto"/>
                      <w:sz w:val="18"/>
                      <w:szCs w:val="18"/>
                    </w:rPr>
                    <w:t>41</w:t>
                  </w:r>
                </w:p>
              </w:tc>
              <w:tc>
                <w:tcPr>
                  <w:tcW w:w="635" w:type="pct"/>
                  <w:noWrap w:val="0"/>
                  <w:vAlign w:val="center"/>
                </w:tcPr>
                <w:p w14:paraId="1623D097">
                  <w:pPr>
                    <w:tabs>
                      <w:tab w:val="left" w:pos="720"/>
                    </w:tabs>
                    <w:adjustRightInd w:val="0"/>
                    <w:snapToGrid w:val="0"/>
                    <w:jc w:val="center"/>
                    <w:rPr>
                      <w:color w:val="auto"/>
                      <w:sz w:val="18"/>
                      <w:szCs w:val="18"/>
                    </w:rPr>
                  </w:pPr>
                  <w:r>
                    <w:rPr>
                      <w:color w:val="auto"/>
                      <w:sz w:val="18"/>
                      <w:szCs w:val="18"/>
                    </w:rPr>
                    <w:t>37</w:t>
                  </w:r>
                </w:p>
              </w:tc>
            </w:tr>
          </w:tbl>
          <w:p w14:paraId="3816CE2C">
            <w:pPr>
              <w:tabs>
                <w:tab w:val="left" w:pos="720"/>
              </w:tabs>
              <w:adjustRightInd w:val="0"/>
              <w:snapToGrid w:val="0"/>
              <w:spacing w:line="360" w:lineRule="auto"/>
              <w:ind w:firstLine="315" w:firstLineChars="150"/>
              <w:rPr>
                <w:color w:val="auto"/>
              </w:rPr>
            </w:pPr>
            <w:r>
              <w:rPr>
                <w:color w:val="auto"/>
              </w:rPr>
              <w:t>（3）施工期噪声影响评价</w:t>
            </w:r>
          </w:p>
          <w:p w14:paraId="6CD9676E">
            <w:pPr>
              <w:adjustRightInd w:val="0"/>
              <w:snapToGrid w:val="0"/>
              <w:spacing w:line="360" w:lineRule="auto"/>
              <w:ind w:firstLine="417" w:firstLineChars="199"/>
              <w:rPr>
                <w:color w:val="auto"/>
              </w:rPr>
            </w:pPr>
            <w:r>
              <w:rPr>
                <w:color w:val="auto"/>
              </w:rPr>
              <w:t>根据上表的预测结果，施工期各施工机械所产生的噪声在50m内约为52-58dB</w:t>
            </w:r>
            <w:r>
              <w:rPr>
                <w:rFonts w:hint="eastAsia"/>
                <w:color w:val="auto"/>
                <w:lang w:eastAsia="zh-CN"/>
              </w:rPr>
              <w:t>（</w:t>
            </w:r>
            <w:r>
              <w:rPr>
                <w:color w:val="auto"/>
              </w:rPr>
              <w:t>A</w:t>
            </w:r>
            <w:r>
              <w:rPr>
                <w:rFonts w:hint="eastAsia"/>
                <w:color w:val="auto"/>
                <w:lang w:eastAsia="zh-CN"/>
              </w:rPr>
              <w:t>）</w:t>
            </w:r>
            <w:r>
              <w:rPr>
                <w:color w:val="auto"/>
              </w:rPr>
              <w:t>之间，满足2类区昼间标准。由于</w:t>
            </w:r>
            <w:r>
              <w:rPr>
                <w:rFonts w:hint="eastAsia"/>
                <w:color w:val="auto"/>
                <w:lang w:eastAsia="zh-CN"/>
              </w:rPr>
              <w:t>项目</w:t>
            </w:r>
            <w:r>
              <w:rPr>
                <w:color w:val="auto"/>
              </w:rPr>
              <w:t>200m范围内不涉及居民区等环境敏感点，且施工期比较短，因此只要加强施工期环境管理，项目施工期对声环境影响很小。</w:t>
            </w:r>
          </w:p>
          <w:p w14:paraId="2201D6D8">
            <w:pPr>
              <w:tabs>
                <w:tab w:val="left" w:pos="720"/>
              </w:tabs>
              <w:adjustRightInd w:val="0"/>
              <w:snapToGrid w:val="0"/>
              <w:spacing w:line="360" w:lineRule="auto"/>
              <w:ind w:firstLine="420" w:firstLineChars="200"/>
              <w:rPr>
                <w:color w:val="auto"/>
              </w:rPr>
            </w:pPr>
            <w:r>
              <w:rPr>
                <w:color w:val="auto"/>
              </w:rPr>
              <w:t>4、固体废物环境影响分析</w:t>
            </w:r>
          </w:p>
          <w:p w14:paraId="5A448106">
            <w:pPr>
              <w:tabs>
                <w:tab w:val="left" w:pos="720"/>
              </w:tabs>
              <w:adjustRightInd w:val="0"/>
              <w:snapToGrid w:val="0"/>
              <w:spacing w:line="360" w:lineRule="auto"/>
              <w:ind w:firstLine="315" w:firstLineChars="150"/>
              <w:rPr>
                <w:color w:val="auto"/>
              </w:rPr>
            </w:pPr>
            <w:r>
              <w:rPr>
                <w:color w:val="auto"/>
              </w:rPr>
              <w:t>（1）施工垃圾</w:t>
            </w:r>
          </w:p>
          <w:p w14:paraId="07E0E3CB">
            <w:pPr>
              <w:adjustRightInd w:val="0"/>
              <w:snapToGrid w:val="0"/>
              <w:spacing w:line="360" w:lineRule="auto"/>
              <w:ind w:firstLine="420" w:firstLineChars="200"/>
              <w:rPr>
                <w:color w:val="auto"/>
                <w:sz w:val="21"/>
                <w:szCs w:val="21"/>
              </w:rPr>
            </w:pPr>
            <w:r>
              <w:rPr>
                <w:rFonts w:hint="eastAsia"/>
                <w:color w:val="auto"/>
                <w:lang w:eastAsia="zh-CN"/>
              </w:rPr>
              <w:t>项目</w:t>
            </w:r>
            <w:r>
              <w:rPr>
                <w:color w:val="auto"/>
              </w:rPr>
              <w:t>施工垃圾主要来源于施工前期平整土地过程中以及清除原有生长在地面上的杂草等过程中，该过程产生大量的固体废物；工程进入施工阶段要产生的建筑垃圾，主要</w:t>
            </w:r>
            <w:r>
              <w:rPr>
                <w:color w:val="auto"/>
                <w:sz w:val="21"/>
                <w:szCs w:val="21"/>
              </w:rPr>
              <w:t>是一些废弃的砖瓦沙石、水泥以及装修废弃物等。如任意排放，可造成将来厂区内土壤破坏，如土壤板结等，给未来厂区绿化造成困难。针对各废弃物的性质，建议建筑垃圾应及时清运至建筑工地作地基填土使用；施工区域内的作物杂草，清运至垃圾箱中，送垃圾站统一处理。通过采取上述措施后，对环境影响不大。</w:t>
            </w:r>
          </w:p>
          <w:p w14:paraId="0FCAD393">
            <w:pPr>
              <w:numPr>
                <w:ilvl w:val="0"/>
                <w:numId w:val="19"/>
              </w:numPr>
              <w:tabs>
                <w:tab w:val="left" w:pos="720"/>
              </w:tabs>
              <w:adjustRightInd w:val="0"/>
              <w:snapToGrid w:val="0"/>
              <w:spacing w:line="360" w:lineRule="auto"/>
              <w:ind w:firstLine="315" w:firstLineChars="150"/>
              <w:rPr>
                <w:color w:val="auto"/>
                <w:sz w:val="21"/>
                <w:szCs w:val="21"/>
              </w:rPr>
            </w:pPr>
            <w:r>
              <w:rPr>
                <w:color w:val="auto"/>
                <w:sz w:val="21"/>
                <w:szCs w:val="21"/>
              </w:rPr>
              <w:t>施工人员生活垃圾</w:t>
            </w:r>
          </w:p>
          <w:p w14:paraId="428A2AC7">
            <w:pPr>
              <w:pStyle w:val="80"/>
              <w:adjustRightInd w:val="0"/>
              <w:snapToGrid w:val="0"/>
              <w:spacing w:line="360" w:lineRule="auto"/>
              <w:ind w:left="0" w:leftChars="0" w:firstLine="420" w:firstLineChars="200"/>
              <w:rPr>
                <w:rFonts w:hint="eastAsia"/>
                <w:color w:val="auto"/>
                <w:sz w:val="21"/>
                <w:szCs w:val="21"/>
              </w:rPr>
            </w:pPr>
            <w:r>
              <w:rPr>
                <w:color w:val="auto"/>
                <w:sz w:val="21"/>
                <w:szCs w:val="21"/>
              </w:rPr>
              <w:t>施工期施工人数最高为10人，且大多来自附近区域，食宿不在施工现场，故生活垃圾排放量较小，按每人每天0.5kg计算，整个施工期产生垃圾量为5kg/d，为保护环境，可修建临时垃圾堆放点，生活垃圾集中堆放后定期清运，在采取上述</w:t>
            </w:r>
            <w:r>
              <w:rPr>
                <w:rFonts w:hint="eastAsia"/>
                <w:color w:val="auto"/>
                <w:sz w:val="21"/>
                <w:szCs w:val="21"/>
                <w:lang w:eastAsia="zh-CN"/>
              </w:rPr>
              <w:t>措施</w:t>
            </w:r>
            <w:r>
              <w:rPr>
                <w:color w:val="auto"/>
                <w:sz w:val="21"/>
                <w:szCs w:val="21"/>
              </w:rPr>
              <w:t>后，对环境影响不大。因此，</w:t>
            </w:r>
            <w:r>
              <w:rPr>
                <w:rFonts w:hint="eastAsia"/>
                <w:color w:val="auto"/>
                <w:sz w:val="21"/>
                <w:szCs w:val="21"/>
                <w:lang w:eastAsia="zh-CN"/>
              </w:rPr>
              <w:t>项目</w:t>
            </w:r>
            <w:r>
              <w:rPr>
                <w:color w:val="auto"/>
                <w:sz w:val="21"/>
                <w:szCs w:val="21"/>
              </w:rPr>
              <w:t>固废物不会对外界环境产生不利</w:t>
            </w:r>
            <w:r>
              <w:rPr>
                <w:rFonts w:hint="eastAsia"/>
                <w:color w:val="auto"/>
                <w:sz w:val="21"/>
                <w:szCs w:val="21"/>
              </w:rPr>
              <w:t>影响。</w:t>
            </w:r>
          </w:p>
          <w:p w14:paraId="08D034B4">
            <w:pPr>
              <w:pStyle w:val="80"/>
              <w:adjustRightInd w:val="0"/>
              <w:snapToGrid w:val="0"/>
              <w:spacing w:line="360" w:lineRule="auto"/>
              <w:ind w:left="0" w:leftChars="0" w:firstLine="420" w:firstLineChars="200"/>
              <w:rPr>
                <w:rFonts w:hint="eastAsia"/>
                <w:color w:val="auto"/>
                <w:sz w:val="21"/>
                <w:szCs w:val="21"/>
              </w:rPr>
            </w:pPr>
          </w:p>
          <w:p w14:paraId="6CB5ECCA">
            <w:pPr>
              <w:pStyle w:val="80"/>
              <w:adjustRightInd w:val="0"/>
              <w:snapToGrid w:val="0"/>
              <w:spacing w:line="360" w:lineRule="auto"/>
              <w:ind w:left="0" w:leftChars="0" w:firstLine="420" w:firstLineChars="200"/>
              <w:rPr>
                <w:rFonts w:hint="eastAsia"/>
                <w:color w:val="auto"/>
                <w:sz w:val="21"/>
                <w:szCs w:val="21"/>
              </w:rPr>
            </w:pPr>
          </w:p>
          <w:p w14:paraId="404CE1C5">
            <w:pPr>
              <w:pStyle w:val="80"/>
              <w:adjustRightInd w:val="0"/>
              <w:snapToGrid w:val="0"/>
              <w:spacing w:line="360" w:lineRule="auto"/>
              <w:ind w:left="0" w:leftChars="0" w:firstLine="420" w:firstLineChars="200"/>
              <w:rPr>
                <w:rFonts w:hint="eastAsia"/>
                <w:color w:val="auto"/>
                <w:sz w:val="21"/>
                <w:szCs w:val="21"/>
              </w:rPr>
            </w:pPr>
          </w:p>
          <w:p w14:paraId="31FCB785">
            <w:pPr>
              <w:pStyle w:val="80"/>
              <w:adjustRightInd w:val="0"/>
              <w:snapToGrid w:val="0"/>
              <w:spacing w:line="360" w:lineRule="auto"/>
              <w:ind w:left="0" w:leftChars="0" w:firstLine="420" w:firstLineChars="200"/>
              <w:rPr>
                <w:rFonts w:hint="eastAsia"/>
                <w:color w:val="auto"/>
                <w:sz w:val="21"/>
                <w:szCs w:val="21"/>
              </w:rPr>
            </w:pPr>
          </w:p>
          <w:p w14:paraId="66274AF5">
            <w:pPr>
              <w:pStyle w:val="80"/>
              <w:adjustRightInd w:val="0"/>
              <w:snapToGrid w:val="0"/>
              <w:spacing w:line="360" w:lineRule="auto"/>
              <w:ind w:left="0" w:leftChars="0" w:firstLine="420" w:firstLineChars="200"/>
              <w:rPr>
                <w:rFonts w:hint="eastAsia"/>
                <w:color w:val="auto"/>
                <w:sz w:val="21"/>
                <w:szCs w:val="21"/>
              </w:rPr>
            </w:pPr>
          </w:p>
          <w:p w14:paraId="53C33614">
            <w:pPr>
              <w:pStyle w:val="80"/>
              <w:adjustRightInd w:val="0"/>
              <w:snapToGrid w:val="0"/>
              <w:spacing w:line="360" w:lineRule="auto"/>
              <w:ind w:left="0" w:leftChars="0" w:firstLine="420" w:firstLineChars="200"/>
              <w:rPr>
                <w:rFonts w:hint="eastAsia"/>
                <w:color w:val="auto"/>
                <w:sz w:val="21"/>
                <w:szCs w:val="21"/>
              </w:rPr>
            </w:pPr>
          </w:p>
          <w:p w14:paraId="3A4228BB">
            <w:pPr>
              <w:pStyle w:val="80"/>
              <w:adjustRightInd w:val="0"/>
              <w:snapToGrid w:val="0"/>
              <w:spacing w:line="360" w:lineRule="auto"/>
              <w:ind w:left="0" w:leftChars="0" w:firstLine="420" w:firstLineChars="200"/>
              <w:rPr>
                <w:rFonts w:hint="eastAsia"/>
                <w:color w:val="auto"/>
                <w:sz w:val="21"/>
                <w:szCs w:val="21"/>
              </w:rPr>
            </w:pPr>
          </w:p>
          <w:p w14:paraId="76AA9CCF">
            <w:pPr>
              <w:pStyle w:val="80"/>
              <w:adjustRightInd w:val="0"/>
              <w:snapToGrid w:val="0"/>
              <w:spacing w:line="360" w:lineRule="auto"/>
              <w:ind w:left="0" w:leftChars="0" w:firstLine="420" w:firstLineChars="200"/>
              <w:rPr>
                <w:rFonts w:hint="eastAsia"/>
                <w:color w:val="auto"/>
                <w:sz w:val="21"/>
                <w:szCs w:val="21"/>
              </w:rPr>
            </w:pPr>
          </w:p>
          <w:p w14:paraId="405C2C48">
            <w:pPr>
              <w:pStyle w:val="80"/>
              <w:adjustRightInd w:val="0"/>
              <w:snapToGrid w:val="0"/>
              <w:spacing w:line="360" w:lineRule="auto"/>
              <w:ind w:left="0" w:leftChars="0" w:firstLine="420" w:firstLineChars="200"/>
              <w:rPr>
                <w:rFonts w:hint="eastAsia"/>
                <w:color w:val="auto"/>
                <w:sz w:val="21"/>
                <w:szCs w:val="21"/>
              </w:rPr>
            </w:pPr>
          </w:p>
          <w:p w14:paraId="006C4FD9">
            <w:pPr>
              <w:pStyle w:val="80"/>
              <w:adjustRightInd w:val="0"/>
              <w:snapToGrid w:val="0"/>
              <w:spacing w:line="360" w:lineRule="auto"/>
              <w:ind w:left="0" w:leftChars="0" w:firstLine="420" w:firstLineChars="200"/>
              <w:rPr>
                <w:rFonts w:hint="eastAsia"/>
                <w:color w:val="auto"/>
                <w:sz w:val="21"/>
                <w:szCs w:val="21"/>
              </w:rPr>
            </w:pPr>
          </w:p>
          <w:p w14:paraId="34450F5B">
            <w:pPr>
              <w:pStyle w:val="80"/>
              <w:adjustRightInd w:val="0"/>
              <w:snapToGrid w:val="0"/>
              <w:spacing w:line="360" w:lineRule="auto"/>
              <w:ind w:left="0" w:leftChars="0" w:firstLine="420" w:firstLineChars="200"/>
              <w:rPr>
                <w:rFonts w:hint="eastAsia"/>
                <w:color w:val="auto"/>
                <w:sz w:val="21"/>
                <w:szCs w:val="21"/>
              </w:rPr>
            </w:pPr>
          </w:p>
          <w:p w14:paraId="39E06CD0">
            <w:pPr>
              <w:pStyle w:val="80"/>
              <w:adjustRightInd w:val="0"/>
              <w:snapToGrid w:val="0"/>
              <w:spacing w:line="360" w:lineRule="auto"/>
              <w:ind w:left="0" w:leftChars="0" w:firstLine="420" w:firstLineChars="200"/>
              <w:rPr>
                <w:rFonts w:hint="eastAsia"/>
                <w:color w:val="auto"/>
                <w:sz w:val="21"/>
                <w:szCs w:val="21"/>
              </w:rPr>
            </w:pPr>
          </w:p>
          <w:p w14:paraId="4114ED47">
            <w:pPr>
              <w:pStyle w:val="80"/>
              <w:adjustRightInd w:val="0"/>
              <w:snapToGrid w:val="0"/>
              <w:spacing w:line="360" w:lineRule="auto"/>
              <w:ind w:left="0" w:leftChars="0" w:firstLine="420" w:firstLineChars="200"/>
              <w:rPr>
                <w:rFonts w:hint="eastAsia"/>
                <w:color w:val="auto"/>
                <w:sz w:val="21"/>
                <w:szCs w:val="21"/>
              </w:rPr>
            </w:pPr>
          </w:p>
          <w:p w14:paraId="6BA4FA9A">
            <w:pPr>
              <w:pStyle w:val="80"/>
              <w:adjustRightInd w:val="0"/>
              <w:snapToGrid w:val="0"/>
              <w:spacing w:line="360" w:lineRule="auto"/>
              <w:ind w:left="0" w:leftChars="0" w:firstLine="420" w:firstLineChars="200"/>
              <w:rPr>
                <w:rFonts w:hint="eastAsia"/>
                <w:color w:val="auto"/>
                <w:sz w:val="21"/>
                <w:szCs w:val="21"/>
              </w:rPr>
            </w:pPr>
          </w:p>
          <w:p w14:paraId="39320245">
            <w:pPr>
              <w:pStyle w:val="80"/>
              <w:adjustRightInd w:val="0"/>
              <w:snapToGrid w:val="0"/>
              <w:spacing w:line="360" w:lineRule="auto"/>
              <w:ind w:left="0" w:leftChars="0" w:firstLine="420" w:firstLineChars="200"/>
              <w:rPr>
                <w:rFonts w:hint="eastAsia"/>
                <w:color w:val="auto"/>
                <w:sz w:val="21"/>
                <w:szCs w:val="21"/>
              </w:rPr>
            </w:pPr>
          </w:p>
          <w:p w14:paraId="305CCBD8">
            <w:pPr>
              <w:pStyle w:val="80"/>
              <w:adjustRightInd w:val="0"/>
              <w:snapToGrid w:val="0"/>
              <w:spacing w:line="360" w:lineRule="auto"/>
              <w:ind w:left="0" w:leftChars="0" w:firstLine="420" w:firstLineChars="200"/>
              <w:rPr>
                <w:rFonts w:hint="eastAsia"/>
                <w:color w:val="auto"/>
                <w:sz w:val="21"/>
                <w:szCs w:val="21"/>
              </w:rPr>
            </w:pPr>
          </w:p>
          <w:p w14:paraId="02320260">
            <w:pPr>
              <w:pStyle w:val="80"/>
              <w:adjustRightInd w:val="0"/>
              <w:snapToGrid w:val="0"/>
              <w:spacing w:line="360" w:lineRule="auto"/>
              <w:ind w:left="0" w:leftChars="0" w:firstLine="420" w:firstLineChars="200"/>
              <w:rPr>
                <w:rFonts w:hint="eastAsia"/>
                <w:color w:val="auto"/>
                <w:sz w:val="21"/>
                <w:szCs w:val="21"/>
              </w:rPr>
            </w:pPr>
          </w:p>
          <w:p w14:paraId="0FFF86C1">
            <w:pPr>
              <w:pStyle w:val="80"/>
              <w:adjustRightInd w:val="0"/>
              <w:snapToGrid w:val="0"/>
              <w:spacing w:line="360" w:lineRule="auto"/>
              <w:ind w:left="0" w:leftChars="0" w:firstLine="420" w:firstLineChars="200"/>
              <w:rPr>
                <w:rFonts w:hint="eastAsia"/>
                <w:color w:val="auto"/>
                <w:sz w:val="21"/>
                <w:szCs w:val="21"/>
              </w:rPr>
            </w:pPr>
          </w:p>
          <w:p w14:paraId="7239D6E2">
            <w:pPr>
              <w:pStyle w:val="80"/>
              <w:adjustRightInd w:val="0"/>
              <w:snapToGrid w:val="0"/>
              <w:spacing w:line="360" w:lineRule="auto"/>
              <w:ind w:left="0" w:leftChars="0" w:firstLine="420" w:firstLineChars="200"/>
              <w:rPr>
                <w:rFonts w:hint="eastAsia"/>
                <w:color w:val="auto"/>
                <w:sz w:val="21"/>
                <w:szCs w:val="21"/>
              </w:rPr>
            </w:pPr>
          </w:p>
          <w:p w14:paraId="324F1BB9">
            <w:pPr>
              <w:pStyle w:val="80"/>
              <w:adjustRightInd w:val="0"/>
              <w:snapToGrid w:val="0"/>
              <w:spacing w:line="360" w:lineRule="auto"/>
              <w:ind w:left="0" w:leftChars="0" w:firstLine="420" w:firstLineChars="200"/>
              <w:rPr>
                <w:rFonts w:hint="eastAsia"/>
                <w:color w:val="auto"/>
                <w:sz w:val="21"/>
                <w:szCs w:val="21"/>
              </w:rPr>
            </w:pPr>
          </w:p>
          <w:p w14:paraId="4D43E325">
            <w:pPr>
              <w:pStyle w:val="80"/>
              <w:adjustRightInd w:val="0"/>
              <w:snapToGrid w:val="0"/>
              <w:spacing w:line="360" w:lineRule="auto"/>
              <w:ind w:left="0" w:leftChars="0" w:firstLine="420" w:firstLineChars="200"/>
              <w:rPr>
                <w:rFonts w:hint="eastAsia"/>
                <w:color w:val="auto"/>
                <w:sz w:val="21"/>
                <w:szCs w:val="21"/>
              </w:rPr>
            </w:pPr>
          </w:p>
          <w:p w14:paraId="46D84729">
            <w:pPr>
              <w:pStyle w:val="80"/>
              <w:adjustRightInd w:val="0"/>
              <w:snapToGrid w:val="0"/>
              <w:spacing w:line="360" w:lineRule="auto"/>
              <w:ind w:left="0" w:leftChars="0" w:firstLine="420" w:firstLineChars="200"/>
              <w:rPr>
                <w:rFonts w:hint="eastAsia"/>
                <w:color w:val="auto"/>
                <w:sz w:val="21"/>
                <w:szCs w:val="21"/>
              </w:rPr>
            </w:pPr>
          </w:p>
          <w:p w14:paraId="0437F523">
            <w:pPr>
              <w:pStyle w:val="80"/>
              <w:adjustRightInd w:val="0"/>
              <w:snapToGrid w:val="0"/>
              <w:spacing w:line="360" w:lineRule="auto"/>
              <w:ind w:left="0" w:leftChars="0" w:firstLine="420" w:firstLineChars="200"/>
              <w:rPr>
                <w:rFonts w:hint="eastAsia"/>
                <w:color w:val="auto"/>
                <w:sz w:val="21"/>
                <w:szCs w:val="21"/>
              </w:rPr>
            </w:pPr>
          </w:p>
          <w:p w14:paraId="0AE5DE35">
            <w:pPr>
              <w:pStyle w:val="80"/>
              <w:adjustRightInd w:val="0"/>
              <w:snapToGrid w:val="0"/>
              <w:spacing w:line="360" w:lineRule="auto"/>
              <w:ind w:left="0" w:leftChars="0" w:firstLine="480" w:firstLineChars="200"/>
              <w:rPr>
                <w:rFonts w:hint="eastAsia" w:ascii="Times New Roman" w:hAnsi="Times New Roman" w:eastAsia="宋体" w:cs="Times New Roman"/>
                <w:color w:val="auto"/>
                <w:lang w:eastAsia="zh-CN"/>
              </w:rPr>
            </w:pPr>
          </w:p>
        </w:tc>
      </w:tr>
    </w:tbl>
    <w:p w14:paraId="1CF24424">
      <w:pPr>
        <w:adjustRightInd w:val="0"/>
        <w:snapToGrid w:val="0"/>
        <w:spacing w:line="420" w:lineRule="exact"/>
        <w:rPr>
          <w:rFonts w:hint="default" w:ascii="Times New Roman" w:hAnsi="Times New Roman" w:cs="Times New Roman"/>
          <w:b/>
          <w:color w:val="auto"/>
          <w:kern w:val="0"/>
          <w:sz w:val="28"/>
          <w:szCs w:val="28"/>
        </w:rPr>
        <w:sectPr>
          <w:footerReference r:id="rId6" w:type="default"/>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5"/>
        <w:gridCol w:w="12807"/>
      </w:tblGrid>
      <w:tr w14:paraId="1CFA0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5" w:hRule="atLeast"/>
          <w:jc w:val="center"/>
        </w:trPr>
        <w:tc>
          <w:tcPr>
            <w:tcW w:w="845" w:type="dxa"/>
            <w:vAlign w:val="center"/>
          </w:tcPr>
          <w:p w14:paraId="1C4EEB79">
            <w:pPr>
              <w:adjustRightInd w:val="0"/>
              <w:snapToGrid w:val="0"/>
              <w:spacing w:line="420" w:lineRule="exact"/>
              <w:jc w:val="center"/>
              <w:rPr>
                <w:rFonts w:hint="default" w:ascii="Times New Roman" w:hAnsi="Times New Roman" w:cs="Times New Roman"/>
                <w:bCs/>
                <w:color w:val="auto"/>
              </w:rPr>
            </w:pPr>
            <w:r>
              <w:rPr>
                <w:rFonts w:hint="default" w:ascii="Times New Roman" w:hAnsi="Times New Roman" w:cs="Times New Roman"/>
                <w:bCs/>
                <w:color w:val="auto"/>
              </w:rPr>
              <w:t>运营</w:t>
            </w:r>
          </w:p>
          <w:p w14:paraId="76B4DADA">
            <w:pPr>
              <w:adjustRightInd w:val="0"/>
              <w:snapToGrid w:val="0"/>
              <w:spacing w:line="420" w:lineRule="exact"/>
              <w:jc w:val="center"/>
              <w:rPr>
                <w:rFonts w:hint="default" w:ascii="Times New Roman" w:hAnsi="Times New Roman" w:cs="Times New Roman"/>
                <w:bCs/>
                <w:color w:val="auto"/>
              </w:rPr>
            </w:pPr>
            <w:r>
              <w:rPr>
                <w:rFonts w:hint="default" w:ascii="Times New Roman" w:hAnsi="Times New Roman" w:cs="Times New Roman"/>
                <w:bCs/>
                <w:color w:val="auto"/>
              </w:rPr>
              <w:t>期环</w:t>
            </w:r>
          </w:p>
          <w:p w14:paraId="77ABCC5F">
            <w:pPr>
              <w:adjustRightInd w:val="0"/>
              <w:snapToGrid w:val="0"/>
              <w:spacing w:line="420" w:lineRule="exact"/>
              <w:jc w:val="center"/>
              <w:rPr>
                <w:rFonts w:hint="default" w:ascii="Times New Roman" w:hAnsi="Times New Roman" w:cs="Times New Roman"/>
                <w:bCs/>
                <w:color w:val="auto"/>
              </w:rPr>
            </w:pPr>
            <w:r>
              <w:rPr>
                <w:rFonts w:hint="default" w:ascii="Times New Roman" w:hAnsi="Times New Roman" w:cs="Times New Roman"/>
                <w:bCs/>
                <w:color w:val="auto"/>
              </w:rPr>
              <w:t>境影</w:t>
            </w:r>
          </w:p>
          <w:p w14:paraId="6A313A77">
            <w:pPr>
              <w:adjustRightInd w:val="0"/>
              <w:snapToGrid w:val="0"/>
              <w:spacing w:line="420" w:lineRule="exact"/>
              <w:jc w:val="center"/>
              <w:rPr>
                <w:rFonts w:hint="default" w:ascii="Times New Roman" w:hAnsi="Times New Roman" w:cs="Times New Roman"/>
                <w:bCs/>
                <w:color w:val="auto"/>
              </w:rPr>
            </w:pPr>
            <w:r>
              <w:rPr>
                <w:rFonts w:hint="default" w:ascii="Times New Roman" w:hAnsi="Times New Roman" w:cs="Times New Roman"/>
                <w:bCs/>
                <w:color w:val="auto"/>
              </w:rPr>
              <w:t>响和</w:t>
            </w:r>
          </w:p>
          <w:p w14:paraId="2ABEDE20">
            <w:pPr>
              <w:adjustRightInd w:val="0"/>
              <w:snapToGrid w:val="0"/>
              <w:spacing w:line="420" w:lineRule="exact"/>
              <w:jc w:val="center"/>
              <w:rPr>
                <w:rFonts w:hint="default" w:ascii="Times New Roman" w:hAnsi="Times New Roman" w:cs="Times New Roman"/>
                <w:bCs/>
                <w:color w:val="auto"/>
              </w:rPr>
            </w:pPr>
            <w:r>
              <w:rPr>
                <w:rFonts w:hint="default" w:ascii="Times New Roman" w:hAnsi="Times New Roman" w:cs="Times New Roman"/>
                <w:bCs/>
                <w:color w:val="auto"/>
              </w:rPr>
              <w:t>保护</w:t>
            </w:r>
          </w:p>
          <w:p w14:paraId="06CAA32D">
            <w:pPr>
              <w:adjustRightInd w:val="0"/>
              <w:snapToGrid w:val="0"/>
              <w:spacing w:line="420" w:lineRule="exact"/>
              <w:jc w:val="center"/>
              <w:rPr>
                <w:rFonts w:hint="default" w:ascii="Times New Roman" w:hAnsi="Times New Roman" w:cs="Times New Roman"/>
                <w:color w:val="auto"/>
              </w:rPr>
            </w:pPr>
            <w:r>
              <w:rPr>
                <w:rFonts w:hint="default" w:ascii="Times New Roman" w:hAnsi="Times New Roman" w:cs="Times New Roman"/>
                <w:bCs/>
                <w:color w:val="auto"/>
              </w:rPr>
              <w:t>措施</w:t>
            </w:r>
          </w:p>
        </w:tc>
        <w:tc>
          <w:tcPr>
            <w:tcW w:w="12807" w:type="dxa"/>
          </w:tcPr>
          <w:p w14:paraId="3F7DE8AA">
            <w:pPr>
              <w:pStyle w:val="381"/>
              <w:ind w:firstLine="422"/>
              <w:rPr>
                <w:rFonts w:hint="default" w:ascii="Times New Roman" w:hAnsi="Times New Roman" w:cs="Times New Roman"/>
                <w:b/>
                <w:bCs/>
                <w:color w:val="auto"/>
                <w:sz w:val="21"/>
              </w:rPr>
            </w:pPr>
            <w:r>
              <w:rPr>
                <w:rFonts w:hint="default" w:ascii="Times New Roman" w:hAnsi="Times New Roman" w:cs="Times New Roman"/>
                <w:b/>
                <w:bCs/>
                <w:color w:val="auto"/>
                <w:sz w:val="21"/>
              </w:rPr>
              <w:t>一、大气污染物</w:t>
            </w:r>
          </w:p>
          <w:p w14:paraId="1F3D7192">
            <w:pPr>
              <w:pStyle w:val="80"/>
              <w:ind w:firstLine="422"/>
              <w:jc w:val="left"/>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（一）产排污环节、污染物及污染治理设施</w:t>
            </w:r>
          </w:p>
          <w:p w14:paraId="5EACB8EC">
            <w:pPr>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 4-</w:t>
            </w:r>
            <w:r>
              <w:rPr>
                <w:rFonts w:hint="eastAsia" w:cs="Times New Roman"/>
                <w:b/>
                <w:bCs/>
                <w:color w:val="auto"/>
                <w:highlight w:val="none"/>
                <w:lang w:val="en-US" w:eastAsia="zh-CN"/>
              </w:rPr>
              <w:t>4</w:t>
            </w:r>
            <w:r>
              <w:rPr>
                <w:rFonts w:hint="eastAsia" w:cs="Times New Roman"/>
                <w:b/>
                <w:bCs/>
                <w:color w:val="auto"/>
                <w:highlight w:val="none"/>
                <w:lang w:eastAsia="zh-CN"/>
              </w:rPr>
              <w:t>一期项目</w:t>
            </w:r>
            <w:r>
              <w:rPr>
                <w:rFonts w:hint="default" w:ascii="Times New Roman" w:hAnsi="Times New Roman" w:cs="Times New Roman"/>
                <w:b/>
                <w:bCs/>
                <w:color w:val="auto"/>
                <w:highlight w:val="none"/>
              </w:rPr>
              <w:t>废气产排污节点、污染物及污染治理设施信息表</w:t>
            </w:r>
          </w:p>
          <w:tbl>
            <w:tblPr>
              <w:tblStyle w:val="81"/>
              <w:tblW w:w="125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63"/>
              <w:gridCol w:w="356"/>
              <w:gridCol w:w="574"/>
              <w:gridCol w:w="601"/>
              <w:gridCol w:w="870"/>
              <w:gridCol w:w="813"/>
              <w:gridCol w:w="860"/>
              <w:gridCol w:w="670"/>
              <w:gridCol w:w="888"/>
              <w:gridCol w:w="714"/>
              <w:gridCol w:w="728"/>
              <w:gridCol w:w="640"/>
              <w:gridCol w:w="933"/>
              <w:gridCol w:w="771"/>
              <w:gridCol w:w="912"/>
              <w:gridCol w:w="870"/>
              <w:gridCol w:w="713"/>
            </w:tblGrid>
            <w:tr w14:paraId="4DC24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vMerge w:val="restart"/>
                  <w:vAlign w:val="center"/>
                </w:tcPr>
                <w:p w14:paraId="5ED90CBD">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产污环节</w:t>
                  </w:r>
                </w:p>
              </w:tc>
              <w:tc>
                <w:tcPr>
                  <w:tcW w:w="356" w:type="dxa"/>
                  <w:vMerge w:val="restart"/>
                  <w:vAlign w:val="center"/>
                </w:tcPr>
                <w:p w14:paraId="64B31B88">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排放形式</w:t>
                  </w:r>
                </w:p>
              </w:tc>
              <w:tc>
                <w:tcPr>
                  <w:tcW w:w="574" w:type="dxa"/>
                  <w:vMerge w:val="restart"/>
                  <w:vAlign w:val="center"/>
                </w:tcPr>
                <w:p w14:paraId="43E2C6DE">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w:t>
                  </w:r>
                </w:p>
                <w:p w14:paraId="08C07AC7">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种类</w:t>
                  </w:r>
                </w:p>
              </w:tc>
              <w:tc>
                <w:tcPr>
                  <w:tcW w:w="2284" w:type="dxa"/>
                  <w:gridSpan w:val="3"/>
                  <w:vAlign w:val="center"/>
                </w:tcPr>
                <w:p w14:paraId="21987F9C">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污染物产生</w:t>
                  </w:r>
                </w:p>
              </w:tc>
              <w:tc>
                <w:tcPr>
                  <w:tcW w:w="3860" w:type="dxa"/>
                  <w:gridSpan w:val="5"/>
                  <w:vAlign w:val="center"/>
                </w:tcPr>
                <w:p w14:paraId="574028A7">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治理设施</w:t>
                  </w:r>
                </w:p>
              </w:tc>
              <w:tc>
                <w:tcPr>
                  <w:tcW w:w="3256" w:type="dxa"/>
                  <w:gridSpan w:val="4"/>
                </w:tcPr>
                <w:p w14:paraId="3BAC7A49">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污染物排放</w:t>
                  </w:r>
                </w:p>
              </w:tc>
              <w:tc>
                <w:tcPr>
                  <w:tcW w:w="1583" w:type="dxa"/>
                  <w:gridSpan w:val="2"/>
                  <w:vAlign w:val="center"/>
                </w:tcPr>
                <w:p w14:paraId="03E45952">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标准限值</w:t>
                  </w:r>
                </w:p>
              </w:tc>
            </w:tr>
            <w:tr w14:paraId="171FE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vMerge w:val="continue"/>
                  <w:vAlign w:val="center"/>
                </w:tcPr>
                <w:p w14:paraId="7DEDA888">
                  <w:pPr>
                    <w:spacing w:line="240" w:lineRule="exact"/>
                    <w:jc w:val="center"/>
                    <w:rPr>
                      <w:rFonts w:hint="default" w:ascii="Times New Roman" w:hAnsi="Times New Roman" w:cs="Times New Roman"/>
                      <w:b/>
                      <w:bCs/>
                      <w:color w:val="auto"/>
                      <w:sz w:val="18"/>
                      <w:szCs w:val="18"/>
                      <w:highlight w:val="none"/>
                    </w:rPr>
                  </w:pPr>
                </w:p>
              </w:tc>
              <w:tc>
                <w:tcPr>
                  <w:tcW w:w="356" w:type="dxa"/>
                  <w:vMerge w:val="continue"/>
                  <w:vAlign w:val="center"/>
                </w:tcPr>
                <w:p w14:paraId="36EEA8E9">
                  <w:pPr>
                    <w:spacing w:line="240" w:lineRule="exact"/>
                    <w:jc w:val="center"/>
                    <w:rPr>
                      <w:rFonts w:hint="default" w:ascii="Times New Roman" w:hAnsi="Times New Roman" w:cs="Times New Roman"/>
                      <w:b/>
                      <w:bCs/>
                      <w:color w:val="auto"/>
                      <w:sz w:val="18"/>
                      <w:szCs w:val="18"/>
                      <w:highlight w:val="none"/>
                    </w:rPr>
                  </w:pPr>
                </w:p>
              </w:tc>
              <w:tc>
                <w:tcPr>
                  <w:tcW w:w="574" w:type="dxa"/>
                  <w:vMerge w:val="continue"/>
                  <w:vAlign w:val="center"/>
                </w:tcPr>
                <w:p w14:paraId="7095EF71">
                  <w:pPr>
                    <w:spacing w:line="240" w:lineRule="exact"/>
                    <w:jc w:val="center"/>
                    <w:rPr>
                      <w:rFonts w:hint="default" w:ascii="Times New Roman" w:hAnsi="Times New Roman" w:cs="Times New Roman"/>
                      <w:b/>
                      <w:bCs/>
                      <w:color w:val="auto"/>
                      <w:sz w:val="18"/>
                      <w:szCs w:val="18"/>
                      <w:highlight w:val="none"/>
                    </w:rPr>
                  </w:pPr>
                </w:p>
              </w:tc>
              <w:tc>
                <w:tcPr>
                  <w:tcW w:w="601" w:type="dxa"/>
                  <w:vAlign w:val="center"/>
                </w:tcPr>
                <w:p w14:paraId="234A275A">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产生量（t/a）</w:t>
                  </w:r>
                </w:p>
              </w:tc>
              <w:tc>
                <w:tcPr>
                  <w:tcW w:w="870" w:type="dxa"/>
                  <w:vAlign w:val="center"/>
                </w:tcPr>
                <w:p w14:paraId="2298E4D7">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产生浓度（mg/m</w:t>
                  </w:r>
                  <w:r>
                    <w:rPr>
                      <w:rFonts w:hint="default" w:ascii="Times New Roman" w:hAnsi="Times New Roman" w:cs="Times New Roman"/>
                      <w:b/>
                      <w:bCs/>
                      <w:color w:val="auto"/>
                      <w:sz w:val="18"/>
                      <w:szCs w:val="18"/>
                      <w:highlight w:val="none"/>
                      <w:vertAlign w:val="superscript"/>
                    </w:rPr>
                    <w:t>3</w:t>
                  </w:r>
                  <w:r>
                    <w:rPr>
                      <w:rFonts w:hint="default" w:ascii="Times New Roman" w:hAnsi="Times New Roman" w:cs="Times New Roman"/>
                      <w:b/>
                      <w:bCs/>
                      <w:color w:val="auto"/>
                      <w:sz w:val="18"/>
                      <w:szCs w:val="18"/>
                      <w:highlight w:val="none"/>
                    </w:rPr>
                    <w:t>）</w:t>
                  </w:r>
                </w:p>
              </w:tc>
              <w:tc>
                <w:tcPr>
                  <w:tcW w:w="813" w:type="dxa"/>
                  <w:vAlign w:val="center"/>
                </w:tcPr>
                <w:p w14:paraId="4D5BAFF8">
                  <w:pPr>
                    <w:spacing w:line="240" w:lineRule="exact"/>
                    <w:jc w:val="center"/>
                    <w:rPr>
                      <w:rFonts w:hint="default" w:ascii="Times New Roman" w:hAnsi="Times New Roman" w:eastAsia="宋体" w:cs="Times New Roman"/>
                      <w:b/>
                      <w:bCs/>
                      <w:color w:val="auto"/>
                      <w:sz w:val="18"/>
                      <w:szCs w:val="18"/>
                      <w:highlight w:val="none"/>
                      <w:lang w:eastAsia="zh-CN"/>
                    </w:rPr>
                  </w:pPr>
                  <w:r>
                    <w:rPr>
                      <w:rFonts w:hint="default" w:ascii="Times New Roman" w:hAnsi="Times New Roman" w:cs="Times New Roman"/>
                      <w:b/>
                      <w:bCs/>
                      <w:color w:val="auto"/>
                      <w:sz w:val="18"/>
                      <w:szCs w:val="18"/>
                      <w:highlight w:val="none"/>
                      <w:lang w:eastAsia="zh-CN"/>
                    </w:rPr>
                    <w:t>产生速率（</w:t>
                  </w:r>
                  <w:r>
                    <w:rPr>
                      <w:rFonts w:hint="default" w:ascii="Times New Roman" w:hAnsi="Times New Roman" w:cs="Times New Roman"/>
                      <w:b/>
                      <w:bCs/>
                      <w:color w:val="auto"/>
                      <w:sz w:val="18"/>
                      <w:szCs w:val="18"/>
                      <w:highlight w:val="none"/>
                      <w:lang w:val="en-US" w:eastAsia="zh-CN"/>
                    </w:rPr>
                    <w:t>kg/h</w:t>
                  </w:r>
                  <w:r>
                    <w:rPr>
                      <w:rFonts w:hint="default" w:ascii="Times New Roman" w:hAnsi="Times New Roman" w:cs="Times New Roman"/>
                      <w:b/>
                      <w:bCs/>
                      <w:color w:val="auto"/>
                      <w:sz w:val="18"/>
                      <w:szCs w:val="18"/>
                      <w:highlight w:val="none"/>
                      <w:lang w:eastAsia="zh-CN"/>
                    </w:rPr>
                    <w:t>）</w:t>
                  </w:r>
                </w:p>
              </w:tc>
              <w:tc>
                <w:tcPr>
                  <w:tcW w:w="860" w:type="dxa"/>
                  <w:vAlign w:val="center"/>
                </w:tcPr>
                <w:p w14:paraId="78FBEFB5">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处理能力（m</w:t>
                  </w:r>
                  <w:r>
                    <w:rPr>
                      <w:rFonts w:hint="default" w:ascii="Times New Roman" w:hAnsi="Times New Roman" w:cs="Times New Roman"/>
                      <w:b/>
                      <w:bCs/>
                      <w:color w:val="auto"/>
                      <w:sz w:val="18"/>
                      <w:szCs w:val="18"/>
                      <w:highlight w:val="none"/>
                      <w:vertAlign w:val="superscript"/>
                    </w:rPr>
                    <w:t>3</w:t>
                  </w:r>
                  <w:r>
                    <w:rPr>
                      <w:rFonts w:hint="default" w:ascii="Times New Roman" w:hAnsi="Times New Roman" w:cs="Times New Roman"/>
                      <w:b/>
                      <w:bCs/>
                      <w:color w:val="auto"/>
                      <w:sz w:val="18"/>
                      <w:szCs w:val="18"/>
                      <w:highlight w:val="none"/>
                    </w:rPr>
                    <w:t>/h）</w:t>
                  </w:r>
                </w:p>
              </w:tc>
              <w:tc>
                <w:tcPr>
                  <w:tcW w:w="670" w:type="dxa"/>
                  <w:vAlign w:val="center"/>
                </w:tcPr>
                <w:p w14:paraId="1A6324EA">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收集率（%）</w:t>
                  </w:r>
                </w:p>
              </w:tc>
              <w:tc>
                <w:tcPr>
                  <w:tcW w:w="888" w:type="dxa"/>
                  <w:vAlign w:val="center"/>
                </w:tcPr>
                <w:p w14:paraId="7A2C0AFB">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治理工艺</w:t>
                  </w:r>
                </w:p>
              </w:tc>
              <w:tc>
                <w:tcPr>
                  <w:tcW w:w="714" w:type="dxa"/>
                  <w:vAlign w:val="center"/>
                </w:tcPr>
                <w:p w14:paraId="113A8BEC">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去除率（%）</w:t>
                  </w:r>
                </w:p>
              </w:tc>
              <w:tc>
                <w:tcPr>
                  <w:tcW w:w="728" w:type="dxa"/>
                  <w:vAlign w:val="center"/>
                </w:tcPr>
                <w:p w14:paraId="128D96F0">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是否为可行技术</w:t>
                  </w:r>
                </w:p>
              </w:tc>
              <w:tc>
                <w:tcPr>
                  <w:tcW w:w="640" w:type="dxa"/>
                  <w:vAlign w:val="center"/>
                </w:tcPr>
                <w:p w14:paraId="0C43036E">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排放量（t/a）</w:t>
                  </w:r>
                </w:p>
              </w:tc>
              <w:tc>
                <w:tcPr>
                  <w:tcW w:w="933" w:type="dxa"/>
                  <w:vAlign w:val="center"/>
                </w:tcPr>
                <w:p w14:paraId="24FEA581">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排放浓度（mg/m</w:t>
                  </w:r>
                  <w:r>
                    <w:rPr>
                      <w:rFonts w:hint="default" w:ascii="Times New Roman" w:hAnsi="Times New Roman" w:cs="Times New Roman"/>
                      <w:b/>
                      <w:bCs/>
                      <w:color w:val="auto"/>
                      <w:sz w:val="18"/>
                      <w:szCs w:val="18"/>
                      <w:highlight w:val="none"/>
                      <w:vertAlign w:val="superscript"/>
                    </w:rPr>
                    <w:t>3</w:t>
                  </w:r>
                  <w:r>
                    <w:rPr>
                      <w:rFonts w:hint="default" w:ascii="Times New Roman" w:hAnsi="Times New Roman" w:cs="Times New Roman"/>
                      <w:b/>
                      <w:bCs/>
                      <w:color w:val="auto"/>
                      <w:sz w:val="18"/>
                      <w:szCs w:val="18"/>
                      <w:highlight w:val="none"/>
                    </w:rPr>
                    <w:t>）</w:t>
                  </w:r>
                </w:p>
              </w:tc>
              <w:tc>
                <w:tcPr>
                  <w:tcW w:w="771" w:type="dxa"/>
                  <w:vAlign w:val="center"/>
                </w:tcPr>
                <w:p w14:paraId="52DE84EC">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排放速率（kg/h）</w:t>
                  </w:r>
                </w:p>
              </w:tc>
              <w:tc>
                <w:tcPr>
                  <w:tcW w:w="912" w:type="dxa"/>
                  <w:vAlign w:val="center"/>
                </w:tcPr>
                <w:p w14:paraId="3AB61C04">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排放时间（h）</w:t>
                  </w:r>
                </w:p>
              </w:tc>
              <w:tc>
                <w:tcPr>
                  <w:tcW w:w="870" w:type="dxa"/>
                  <w:vAlign w:val="center"/>
                </w:tcPr>
                <w:p w14:paraId="0519364F">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浓度限值（mg/m</w:t>
                  </w:r>
                  <w:r>
                    <w:rPr>
                      <w:rFonts w:hint="default" w:ascii="Times New Roman" w:hAnsi="Times New Roman" w:cs="Times New Roman"/>
                      <w:b/>
                      <w:bCs/>
                      <w:color w:val="auto"/>
                      <w:sz w:val="18"/>
                      <w:szCs w:val="18"/>
                      <w:highlight w:val="none"/>
                      <w:vertAlign w:val="superscript"/>
                    </w:rPr>
                    <w:t>3</w:t>
                  </w:r>
                  <w:r>
                    <w:rPr>
                      <w:rFonts w:hint="default" w:ascii="Times New Roman" w:hAnsi="Times New Roman" w:cs="Times New Roman"/>
                      <w:b/>
                      <w:bCs/>
                      <w:color w:val="auto"/>
                      <w:sz w:val="18"/>
                      <w:szCs w:val="18"/>
                      <w:highlight w:val="none"/>
                    </w:rPr>
                    <w:t>）</w:t>
                  </w:r>
                </w:p>
              </w:tc>
              <w:tc>
                <w:tcPr>
                  <w:tcW w:w="713" w:type="dxa"/>
                  <w:vAlign w:val="center"/>
                </w:tcPr>
                <w:p w14:paraId="41563362">
                  <w:pPr>
                    <w:spacing w:line="24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速率限值（kg/h）</w:t>
                  </w:r>
                </w:p>
              </w:tc>
            </w:tr>
            <w:tr w14:paraId="10467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vMerge w:val="restart"/>
                  <w:vAlign w:val="center"/>
                </w:tcPr>
                <w:p w14:paraId="1541CDE6">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天然气燃烧</w:t>
                  </w:r>
                </w:p>
              </w:tc>
              <w:tc>
                <w:tcPr>
                  <w:tcW w:w="356" w:type="dxa"/>
                  <w:vMerge w:val="restart"/>
                  <w:vAlign w:val="center"/>
                </w:tcPr>
                <w:p w14:paraId="6E99A79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DA001有组织</w:t>
                  </w:r>
                </w:p>
              </w:tc>
              <w:tc>
                <w:tcPr>
                  <w:tcW w:w="574" w:type="dxa"/>
                  <w:vAlign w:val="center"/>
                </w:tcPr>
                <w:p w14:paraId="33C86E3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SO</w:t>
                  </w:r>
                  <w:r>
                    <w:rPr>
                      <w:rFonts w:hint="eastAsia" w:ascii="Times New Roman" w:hAnsi="Times New Roman" w:eastAsia="宋体" w:cs="Times New Roman"/>
                      <w:bCs/>
                      <w:color w:val="auto"/>
                      <w:kern w:val="2"/>
                      <w:sz w:val="18"/>
                      <w:szCs w:val="18"/>
                      <w:highlight w:val="none"/>
                      <w:vertAlign w:val="subscript"/>
                      <w:lang w:val="en-US" w:eastAsia="zh-CN" w:bidi="ar-SA"/>
                    </w:rPr>
                    <w:t>2</w:t>
                  </w:r>
                </w:p>
              </w:tc>
              <w:tc>
                <w:tcPr>
                  <w:tcW w:w="601" w:type="dxa"/>
                  <w:shd w:val="clear" w:color="auto" w:fill="auto"/>
                  <w:vAlign w:val="center"/>
                </w:tcPr>
                <w:p w14:paraId="05047AEE">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0.12</w:t>
                  </w:r>
                </w:p>
              </w:tc>
              <w:tc>
                <w:tcPr>
                  <w:tcW w:w="870" w:type="dxa"/>
                  <w:shd w:val="clear" w:color="auto" w:fill="auto"/>
                  <w:vAlign w:val="center"/>
                </w:tcPr>
                <w:p w14:paraId="65DD4B39">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2.56</w:t>
                  </w:r>
                </w:p>
              </w:tc>
              <w:tc>
                <w:tcPr>
                  <w:tcW w:w="813" w:type="dxa"/>
                  <w:shd w:val="clear" w:color="auto" w:fill="auto"/>
                  <w:vAlign w:val="center"/>
                </w:tcPr>
                <w:p w14:paraId="222F99F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0.017</w:t>
                  </w:r>
                </w:p>
              </w:tc>
              <w:tc>
                <w:tcPr>
                  <w:tcW w:w="860" w:type="dxa"/>
                  <w:vMerge w:val="restart"/>
                  <w:vAlign w:val="center"/>
                </w:tcPr>
                <w:p w14:paraId="67307BC8">
                  <w:pPr>
                    <w:spacing w:line="240" w:lineRule="auto"/>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6500</w:t>
                  </w:r>
                </w:p>
              </w:tc>
              <w:tc>
                <w:tcPr>
                  <w:tcW w:w="670" w:type="dxa"/>
                  <w:vAlign w:val="center"/>
                </w:tcPr>
                <w:p w14:paraId="6144F6D2">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100</w:t>
                  </w:r>
                </w:p>
              </w:tc>
              <w:tc>
                <w:tcPr>
                  <w:tcW w:w="888" w:type="dxa"/>
                  <w:vAlign w:val="center"/>
                </w:tcPr>
                <w:p w14:paraId="1CC7E44F">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w:t>
                  </w:r>
                </w:p>
              </w:tc>
              <w:tc>
                <w:tcPr>
                  <w:tcW w:w="714" w:type="dxa"/>
                  <w:vAlign w:val="center"/>
                </w:tcPr>
                <w:p w14:paraId="334EA7D9">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w:t>
                  </w:r>
                </w:p>
              </w:tc>
              <w:tc>
                <w:tcPr>
                  <w:tcW w:w="728" w:type="dxa"/>
                  <w:vAlign w:val="center"/>
                </w:tcPr>
                <w:p w14:paraId="26EE4D0D">
                  <w:pPr>
                    <w:spacing w:line="240" w:lineRule="auto"/>
                    <w:jc w:val="center"/>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val="en-US" w:eastAsia="zh-CN"/>
                    </w:rPr>
                    <w:t>/</w:t>
                  </w:r>
                </w:p>
              </w:tc>
              <w:tc>
                <w:tcPr>
                  <w:tcW w:w="640" w:type="dxa"/>
                  <w:shd w:val="clear" w:color="auto" w:fill="auto"/>
                  <w:vAlign w:val="center"/>
                </w:tcPr>
                <w:p w14:paraId="00611604">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0.12</w:t>
                  </w:r>
                </w:p>
              </w:tc>
              <w:tc>
                <w:tcPr>
                  <w:tcW w:w="933" w:type="dxa"/>
                  <w:shd w:val="clear" w:color="auto" w:fill="auto"/>
                  <w:vAlign w:val="center"/>
                </w:tcPr>
                <w:p w14:paraId="61C5AFF7">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2.56</w:t>
                  </w:r>
                </w:p>
              </w:tc>
              <w:tc>
                <w:tcPr>
                  <w:tcW w:w="771" w:type="dxa"/>
                  <w:shd w:val="clear" w:color="auto" w:fill="auto"/>
                  <w:vAlign w:val="center"/>
                </w:tcPr>
                <w:p w14:paraId="4B51843E">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0.017</w:t>
                  </w:r>
                </w:p>
              </w:tc>
              <w:tc>
                <w:tcPr>
                  <w:tcW w:w="912" w:type="dxa"/>
                  <w:vMerge w:val="restart"/>
                  <w:vAlign w:val="center"/>
                </w:tcPr>
                <w:p w14:paraId="31754FF3">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7200</w:t>
                  </w:r>
                </w:p>
              </w:tc>
              <w:tc>
                <w:tcPr>
                  <w:tcW w:w="870" w:type="dxa"/>
                  <w:vAlign w:val="center"/>
                </w:tcPr>
                <w:p w14:paraId="6A2242A9">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50</w:t>
                  </w:r>
                </w:p>
              </w:tc>
              <w:tc>
                <w:tcPr>
                  <w:tcW w:w="713" w:type="dxa"/>
                  <w:vAlign w:val="center"/>
                </w:tcPr>
                <w:p w14:paraId="45F187AD">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r>
            <w:tr w14:paraId="437E3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vMerge w:val="continue"/>
                  <w:vAlign w:val="center"/>
                </w:tcPr>
                <w:p w14:paraId="07503D07">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56" w:type="dxa"/>
                  <w:vMerge w:val="continue"/>
                  <w:vAlign w:val="center"/>
                </w:tcPr>
                <w:p w14:paraId="58FF7A0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p>
              </w:tc>
              <w:tc>
                <w:tcPr>
                  <w:tcW w:w="574" w:type="dxa"/>
                  <w:vAlign w:val="center"/>
                </w:tcPr>
                <w:p w14:paraId="78B034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NOx</w:t>
                  </w:r>
                </w:p>
              </w:tc>
              <w:tc>
                <w:tcPr>
                  <w:tcW w:w="601" w:type="dxa"/>
                  <w:shd w:val="clear" w:color="auto" w:fill="auto"/>
                  <w:vAlign w:val="center"/>
                </w:tcPr>
                <w:p w14:paraId="259BD0A4">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0.4182</w:t>
                  </w:r>
                </w:p>
              </w:tc>
              <w:tc>
                <w:tcPr>
                  <w:tcW w:w="870" w:type="dxa"/>
                  <w:shd w:val="clear" w:color="auto" w:fill="auto"/>
                  <w:vAlign w:val="center"/>
                </w:tcPr>
                <w:p w14:paraId="318EB38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8.94</w:t>
                  </w:r>
                </w:p>
              </w:tc>
              <w:tc>
                <w:tcPr>
                  <w:tcW w:w="813" w:type="dxa"/>
                  <w:shd w:val="clear" w:color="auto" w:fill="auto"/>
                  <w:vAlign w:val="center"/>
                </w:tcPr>
                <w:p w14:paraId="672359C6">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0.058</w:t>
                  </w:r>
                </w:p>
              </w:tc>
              <w:tc>
                <w:tcPr>
                  <w:tcW w:w="860" w:type="dxa"/>
                  <w:vMerge w:val="continue"/>
                  <w:vAlign w:val="center"/>
                </w:tcPr>
                <w:p w14:paraId="1FF6F7FC">
                  <w:pPr>
                    <w:spacing w:line="240" w:lineRule="auto"/>
                    <w:jc w:val="center"/>
                    <w:rPr>
                      <w:rFonts w:hint="default" w:ascii="Times New Roman" w:hAnsi="Times New Roman" w:cs="Times New Roman"/>
                      <w:color w:val="auto"/>
                      <w:sz w:val="18"/>
                      <w:szCs w:val="18"/>
                      <w:highlight w:val="none"/>
                      <w:lang w:val="en-US" w:eastAsia="zh-CN"/>
                    </w:rPr>
                  </w:pPr>
                </w:p>
              </w:tc>
              <w:tc>
                <w:tcPr>
                  <w:tcW w:w="670" w:type="dxa"/>
                  <w:vAlign w:val="center"/>
                </w:tcPr>
                <w:p w14:paraId="2B5B6A25">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100</w:t>
                  </w:r>
                </w:p>
              </w:tc>
              <w:tc>
                <w:tcPr>
                  <w:tcW w:w="888" w:type="dxa"/>
                  <w:vAlign w:val="center"/>
                </w:tcPr>
                <w:p w14:paraId="4BC087EB">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低氮燃烧</w:t>
                  </w:r>
                </w:p>
              </w:tc>
              <w:tc>
                <w:tcPr>
                  <w:tcW w:w="714" w:type="dxa"/>
                  <w:vAlign w:val="center"/>
                </w:tcPr>
                <w:p w14:paraId="5F009CEB">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w:t>
                  </w:r>
                </w:p>
              </w:tc>
              <w:tc>
                <w:tcPr>
                  <w:tcW w:w="728" w:type="dxa"/>
                  <w:vAlign w:val="center"/>
                </w:tcPr>
                <w:p w14:paraId="690ED3F9">
                  <w:pPr>
                    <w:spacing w:line="240" w:lineRule="auto"/>
                    <w:jc w:val="center"/>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val="en-US" w:eastAsia="zh-CN"/>
                    </w:rPr>
                    <w:t>是</w:t>
                  </w:r>
                </w:p>
              </w:tc>
              <w:tc>
                <w:tcPr>
                  <w:tcW w:w="640" w:type="dxa"/>
                  <w:shd w:val="clear" w:color="auto" w:fill="auto"/>
                  <w:vAlign w:val="center"/>
                </w:tcPr>
                <w:p w14:paraId="6BFF927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0.4182</w:t>
                  </w:r>
                </w:p>
              </w:tc>
              <w:tc>
                <w:tcPr>
                  <w:tcW w:w="933" w:type="dxa"/>
                  <w:shd w:val="clear" w:color="auto" w:fill="auto"/>
                  <w:vAlign w:val="center"/>
                </w:tcPr>
                <w:p w14:paraId="17F9C8A7">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8.94</w:t>
                  </w:r>
                </w:p>
              </w:tc>
              <w:tc>
                <w:tcPr>
                  <w:tcW w:w="771" w:type="dxa"/>
                  <w:shd w:val="clear" w:color="auto" w:fill="auto"/>
                  <w:vAlign w:val="center"/>
                </w:tcPr>
                <w:p w14:paraId="71B4CB2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0.058</w:t>
                  </w:r>
                </w:p>
              </w:tc>
              <w:tc>
                <w:tcPr>
                  <w:tcW w:w="912" w:type="dxa"/>
                  <w:vMerge w:val="continue"/>
                  <w:vAlign w:val="center"/>
                </w:tcPr>
                <w:p w14:paraId="507069E2">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870" w:type="dxa"/>
                  <w:vAlign w:val="center"/>
                </w:tcPr>
                <w:p w14:paraId="474C7A3A">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100</w:t>
                  </w:r>
                </w:p>
              </w:tc>
              <w:tc>
                <w:tcPr>
                  <w:tcW w:w="713" w:type="dxa"/>
                  <w:vAlign w:val="center"/>
                </w:tcPr>
                <w:p w14:paraId="7473E220">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r>
            <w:tr w14:paraId="1C49D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vMerge w:val="continue"/>
                  <w:vAlign w:val="center"/>
                </w:tcPr>
                <w:p w14:paraId="1CEFE7DC">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56" w:type="dxa"/>
                  <w:vMerge w:val="continue"/>
                  <w:vAlign w:val="center"/>
                </w:tcPr>
                <w:p w14:paraId="53FD4F0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p>
              </w:tc>
              <w:tc>
                <w:tcPr>
                  <w:tcW w:w="574" w:type="dxa"/>
                  <w:vAlign w:val="center"/>
                </w:tcPr>
                <w:p w14:paraId="75D805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601" w:type="dxa"/>
                  <w:shd w:val="clear" w:color="auto" w:fill="auto"/>
                  <w:vAlign w:val="center"/>
                </w:tcPr>
                <w:p w14:paraId="2B603A6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0.062</w:t>
                  </w:r>
                </w:p>
              </w:tc>
              <w:tc>
                <w:tcPr>
                  <w:tcW w:w="870" w:type="dxa"/>
                  <w:shd w:val="clear" w:color="auto" w:fill="auto"/>
                  <w:vAlign w:val="center"/>
                </w:tcPr>
                <w:p w14:paraId="12121BF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1.32</w:t>
                  </w:r>
                </w:p>
              </w:tc>
              <w:tc>
                <w:tcPr>
                  <w:tcW w:w="813" w:type="dxa"/>
                  <w:shd w:val="clear" w:color="auto" w:fill="auto"/>
                  <w:vAlign w:val="center"/>
                </w:tcPr>
                <w:p w14:paraId="0F73C26D">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0.009</w:t>
                  </w:r>
                </w:p>
              </w:tc>
              <w:tc>
                <w:tcPr>
                  <w:tcW w:w="860" w:type="dxa"/>
                  <w:vMerge w:val="continue"/>
                  <w:vAlign w:val="center"/>
                </w:tcPr>
                <w:p w14:paraId="09C9A099">
                  <w:pPr>
                    <w:spacing w:line="240" w:lineRule="auto"/>
                    <w:jc w:val="center"/>
                    <w:rPr>
                      <w:rFonts w:hint="default" w:ascii="Times New Roman" w:hAnsi="Times New Roman" w:cs="Times New Roman"/>
                      <w:color w:val="auto"/>
                      <w:sz w:val="18"/>
                      <w:szCs w:val="18"/>
                      <w:highlight w:val="none"/>
                      <w:lang w:val="en-US" w:eastAsia="zh-CN"/>
                    </w:rPr>
                  </w:pPr>
                </w:p>
              </w:tc>
              <w:tc>
                <w:tcPr>
                  <w:tcW w:w="670" w:type="dxa"/>
                  <w:vAlign w:val="center"/>
                </w:tcPr>
                <w:p w14:paraId="7CEE98A3">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100</w:t>
                  </w:r>
                </w:p>
              </w:tc>
              <w:tc>
                <w:tcPr>
                  <w:tcW w:w="888" w:type="dxa"/>
                  <w:vMerge w:val="restart"/>
                  <w:vAlign w:val="center"/>
                </w:tcPr>
                <w:p w14:paraId="1645597E">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布袋除尘器+水喷淋</w:t>
                  </w:r>
                </w:p>
              </w:tc>
              <w:tc>
                <w:tcPr>
                  <w:tcW w:w="714" w:type="dxa"/>
                  <w:vMerge w:val="restart"/>
                  <w:vAlign w:val="center"/>
                </w:tcPr>
                <w:p w14:paraId="1B7C467D">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w:t>
                  </w:r>
                  <w:r>
                    <w:rPr>
                      <w:rFonts w:hint="eastAsia" w:cs="Times New Roman"/>
                      <w:color w:val="auto"/>
                      <w:sz w:val="18"/>
                      <w:szCs w:val="18"/>
                      <w:highlight w:val="none"/>
                      <w:lang w:val="en-US" w:eastAsia="zh-CN"/>
                    </w:rPr>
                    <w:t>9.5</w:t>
                  </w:r>
                </w:p>
              </w:tc>
              <w:tc>
                <w:tcPr>
                  <w:tcW w:w="728" w:type="dxa"/>
                  <w:vMerge w:val="restart"/>
                  <w:vAlign w:val="center"/>
                </w:tcPr>
                <w:p w14:paraId="2DF5403E">
                  <w:pPr>
                    <w:spacing w:line="240" w:lineRule="auto"/>
                    <w:jc w:val="center"/>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val="en-US" w:eastAsia="zh-CN"/>
                    </w:rPr>
                    <w:t>是</w:t>
                  </w:r>
                </w:p>
              </w:tc>
              <w:tc>
                <w:tcPr>
                  <w:tcW w:w="640" w:type="dxa"/>
                  <w:vMerge w:val="restart"/>
                  <w:shd w:val="clear" w:color="auto" w:fill="auto"/>
                  <w:vAlign w:val="center"/>
                </w:tcPr>
                <w:p w14:paraId="740D6DED">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0.0</w:t>
                  </w:r>
                  <w:r>
                    <w:rPr>
                      <w:rFonts w:hint="eastAsia" w:cs="Times New Roman"/>
                      <w:color w:val="auto"/>
                      <w:sz w:val="18"/>
                      <w:szCs w:val="18"/>
                      <w:highlight w:val="none"/>
                      <w:lang w:val="en-US" w:eastAsia="zh-CN"/>
                    </w:rPr>
                    <w:t>49</w:t>
                  </w:r>
                </w:p>
                <w:p w14:paraId="6AD49CC9">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p>
              </w:tc>
              <w:tc>
                <w:tcPr>
                  <w:tcW w:w="933" w:type="dxa"/>
                  <w:vMerge w:val="restart"/>
                  <w:shd w:val="clear" w:color="auto" w:fill="auto"/>
                  <w:vAlign w:val="center"/>
                </w:tcPr>
                <w:p w14:paraId="1384DF7B">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1.05</w:t>
                  </w:r>
                </w:p>
                <w:p w14:paraId="3AA385CF">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771" w:type="dxa"/>
                  <w:vMerge w:val="restart"/>
                  <w:shd w:val="clear" w:color="auto" w:fill="auto"/>
                  <w:vAlign w:val="center"/>
                </w:tcPr>
                <w:p w14:paraId="4D3E1B1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0.007</w:t>
                  </w:r>
                </w:p>
                <w:p w14:paraId="12A1681F">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912" w:type="dxa"/>
                  <w:vMerge w:val="continue"/>
                  <w:vAlign w:val="center"/>
                </w:tcPr>
                <w:p w14:paraId="32057283">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870" w:type="dxa"/>
                  <w:vMerge w:val="restart"/>
                  <w:vAlign w:val="center"/>
                </w:tcPr>
                <w:p w14:paraId="3B059355">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713" w:type="dxa"/>
                  <w:vMerge w:val="restart"/>
                  <w:vAlign w:val="center"/>
                </w:tcPr>
                <w:p w14:paraId="18E670D1">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r>
            <w:tr w14:paraId="24215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vAlign w:val="center"/>
                </w:tcPr>
                <w:p w14:paraId="4206C011">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造粒</w:t>
                  </w:r>
                </w:p>
              </w:tc>
              <w:tc>
                <w:tcPr>
                  <w:tcW w:w="356" w:type="dxa"/>
                  <w:vMerge w:val="continue"/>
                  <w:vAlign w:val="center"/>
                </w:tcPr>
                <w:p w14:paraId="7AD27A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p>
              </w:tc>
              <w:tc>
                <w:tcPr>
                  <w:tcW w:w="574" w:type="dxa"/>
                  <w:vAlign w:val="center"/>
                </w:tcPr>
                <w:p w14:paraId="2E09AC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601" w:type="dxa"/>
                  <w:shd w:val="clear" w:color="auto" w:fill="auto"/>
                  <w:vAlign w:val="center"/>
                </w:tcPr>
                <w:p w14:paraId="363A9376">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5.693</w:t>
                  </w:r>
                </w:p>
              </w:tc>
              <w:tc>
                <w:tcPr>
                  <w:tcW w:w="870" w:type="dxa"/>
                  <w:shd w:val="clear" w:color="auto" w:fill="auto"/>
                  <w:vAlign w:val="center"/>
                </w:tcPr>
                <w:p w14:paraId="5B0ADA0D">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121.6</w:t>
                  </w:r>
                </w:p>
              </w:tc>
              <w:tc>
                <w:tcPr>
                  <w:tcW w:w="813" w:type="dxa"/>
                  <w:shd w:val="clear" w:color="auto" w:fill="auto"/>
                  <w:vAlign w:val="center"/>
                </w:tcPr>
                <w:p w14:paraId="179BCE7C">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0.79</w:t>
                  </w:r>
                </w:p>
              </w:tc>
              <w:tc>
                <w:tcPr>
                  <w:tcW w:w="860" w:type="dxa"/>
                  <w:vMerge w:val="continue"/>
                  <w:vAlign w:val="center"/>
                </w:tcPr>
                <w:p w14:paraId="19D729B7">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p>
              </w:tc>
              <w:tc>
                <w:tcPr>
                  <w:tcW w:w="670" w:type="dxa"/>
                  <w:vAlign w:val="center"/>
                </w:tcPr>
                <w:p w14:paraId="2269E895">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95</w:t>
                  </w:r>
                </w:p>
              </w:tc>
              <w:tc>
                <w:tcPr>
                  <w:tcW w:w="888" w:type="dxa"/>
                  <w:vMerge w:val="continue"/>
                  <w:vAlign w:val="center"/>
                </w:tcPr>
                <w:p w14:paraId="4349F041">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p>
              </w:tc>
              <w:tc>
                <w:tcPr>
                  <w:tcW w:w="714" w:type="dxa"/>
                  <w:vMerge w:val="continue"/>
                  <w:vAlign w:val="center"/>
                </w:tcPr>
                <w:p w14:paraId="0B0D3DCD">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p>
              </w:tc>
              <w:tc>
                <w:tcPr>
                  <w:tcW w:w="728" w:type="dxa"/>
                  <w:vMerge w:val="continue"/>
                  <w:vAlign w:val="center"/>
                </w:tcPr>
                <w:p w14:paraId="2E2A7D8B">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p>
              </w:tc>
              <w:tc>
                <w:tcPr>
                  <w:tcW w:w="640" w:type="dxa"/>
                  <w:vMerge w:val="continue"/>
                  <w:vAlign w:val="center"/>
                </w:tcPr>
                <w:p w14:paraId="08F313B0">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p>
              </w:tc>
              <w:tc>
                <w:tcPr>
                  <w:tcW w:w="933" w:type="dxa"/>
                  <w:vMerge w:val="continue"/>
                  <w:vAlign w:val="center"/>
                </w:tcPr>
                <w:p w14:paraId="73C5BB7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p>
              </w:tc>
              <w:tc>
                <w:tcPr>
                  <w:tcW w:w="771" w:type="dxa"/>
                  <w:vMerge w:val="continue"/>
                  <w:vAlign w:val="center"/>
                </w:tcPr>
                <w:p w14:paraId="45EE0E7E">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p>
              </w:tc>
              <w:tc>
                <w:tcPr>
                  <w:tcW w:w="912" w:type="dxa"/>
                  <w:vMerge w:val="continue"/>
                  <w:vAlign w:val="center"/>
                </w:tcPr>
                <w:p w14:paraId="7DB32507">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p>
              </w:tc>
              <w:tc>
                <w:tcPr>
                  <w:tcW w:w="870" w:type="dxa"/>
                  <w:vMerge w:val="continue"/>
                  <w:vAlign w:val="center"/>
                </w:tcPr>
                <w:p w14:paraId="44B9830A">
                  <w:pPr>
                    <w:spacing w:line="240" w:lineRule="exact"/>
                    <w:jc w:val="center"/>
                    <w:rPr>
                      <w:rFonts w:hint="default" w:ascii="Times New Roman" w:hAnsi="Times New Roman" w:cs="Times New Roman"/>
                      <w:color w:val="auto"/>
                      <w:sz w:val="18"/>
                      <w:szCs w:val="18"/>
                      <w:highlight w:val="none"/>
                      <w:lang w:val="en-US" w:eastAsia="zh-CN"/>
                    </w:rPr>
                  </w:pPr>
                </w:p>
              </w:tc>
              <w:tc>
                <w:tcPr>
                  <w:tcW w:w="713" w:type="dxa"/>
                  <w:vMerge w:val="continue"/>
                  <w:vAlign w:val="center"/>
                </w:tcPr>
                <w:p w14:paraId="6EB16379">
                  <w:pPr>
                    <w:spacing w:line="240" w:lineRule="exact"/>
                    <w:jc w:val="center"/>
                    <w:rPr>
                      <w:rFonts w:hint="default" w:ascii="Times New Roman" w:hAnsi="Times New Roman" w:cs="Times New Roman"/>
                      <w:color w:val="auto"/>
                      <w:sz w:val="18"/>
                      <w:szCs w:val="18"/>
                      <w:highlight w:val="none"/>
                      <w:lang w:val="en-US" w:eastAsia="zh-CN"/>
                    </w:rPr>
                  </w:pPr>
                </w:p>
              </w:tc>
            </w:tr>
            <w:tr w14:paraId="15199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vAlign w:val="center"/>
                </w:tcPr>
                <w:p w14:paraId="291C73AC">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烘干</w:t>
                  </w:r>
                </w:p>
              </w:tc>
              <w:tc>
                <w:tcPr>
                  <w:tcW w:w="356" w:type="dxa"/>
                  <w:vMerge w:val="continue"/>
                  <w:vAlign w:val="center"/>
                </w:tcPr>
                <w:p w14:paraId="0D77A9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p>
              </w:tc>
              <w:tc>
                <w:tcPr>
                  <w:tcW w:w="574" w:type="dxa"/>
                  <w:vAlign w:val="center"/>
                </w:tcPr>
                <w:p w14:paraId="3F397A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601" w:type="dxa"/>
                  <w:shd w:val="clear" w:color="auto" w:fill="auto"/>
                  <w:vAlign w:val="center"/>
                </w:tcPr>
                <w:p w14:paraId="4A46405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3.96</w:t>
                  </w:r>
                </w:p>
              </w:tc>
              <w:tc>
                <w:tcPr>
                  <w:tcW w:w="870" w:type="dxa"/>
                  <w:shd w:val="clear" w:color="auto" w:fill="auto"/>
                  <w:vAlign w:val="center"/>
                </w:tcPr>
                <w:p w14:paraId="53BA121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84.6</w:t>
                  </w:r>
                </w:p>
              </w:tc>
              <w:tc>
                <w:tcPr>
                  <w:tcW w:w="813" w:type="dxa"/>
                  <w:shd w:val="clear" w:color="auto" w:fill="auto"/>
                  <w:vAlign w:val="center"/>
                </w:tcPr>
                <w:p w14:paraId="18843BB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0.55</w:t>
                  </w:r>
                </w:p>
              </w:tc>
              <w:tc>
                <w:tcPr>
                  <w:tcW w:w="860" w:type="dxa"/>
                  <w:vMerge w:val="continue"/>
                  <w:vAlign w:val="center"/>
                </w:tcPr>
                <w:p w14:paraId="3A79CE4D">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p>
              </w:tc>
              <w:tc>
                <w:tcPr>
                  <w:tcW w:w="670" w:type="dxa"/>
                  <w:vAlign w:val="center"/>
                </w:tcPr>
                <w:p w14:paraId="755A1EDE">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100</w:t>
                  </w:r>
                </w:p>
              </w:tc>
              <w:tc>
                <w:tcPr>
                  <w:tcW w:w="888" w:type="dxa"/>
                  <w:vMerge w:val="continue"/>
                  <w:vAlign w:val="center"/>
                </w:tcPr>
                <w:p w14:paraId="664864A1">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p>
              </w:tc>
              <w:tc>
                <w:tcPr>
                  <w:tcW w:w="714" w:type="dxa"/>
                  <w:vMerge w:val="continue"/>
                  <w:vAlign w:val="center"/>
                </w:tcPr>
                <w:p w14:paraId="2FB60C3C">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p>
              </w:tc>
              <w:tc>
                <w:tcPr>
                  <w:tcW w:w="728" w:type="dxa"/>
                  <w:vMerge w:val="continue"/>
                  <w:vAlign w:val="center"/>
                </w:tcPr>
                <w:p w14:paraId="0A34D7B6">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p>
              </w:tc>
              <w:tc>
                <w:tcPr>
                  <w:tcW w:w="640" w:type="dxa"/>
                  <w:vMerge w:val="continue"/>
                  <w:vAlign w:val="center"/>
                </w:tcPr>
                <w:p w14:paraId="7FE78DB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p>
              </w:tc>
              <w:tc>
                <w:tcPr>
                  <w:tcW w:w="933" w:type="dxa"/>
                  <w:vMerge w:val="continue"/>
                  <w:vAlign w:val="center"/>
                </w:tcPr>
                <w:p w14:paraId="78FF8D3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p>
              </w:tc>
              <w:tc>
                <w:tcPr>
                  <w:tcW w:w="771" w:type="dxa"/>
                  <w:vMerge w:val="continue"/>
                  <w:vAlign w:val="center"/>
                </w:tcPr>
                <w:p w14:paraId="3FC91CED">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p>
              </w:tc>
              <w:tc>
                <w:tcPr>
                  <w:tcW w:w="912" w:type="dxa"/>
                  <w:vMerge w:val="continue"/>
                  <w:vAlign w:val="center"/>
                </w:tcPr>
                <w:p w14:paraId="37DAD6CC">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p>
              </w:tc>
              <w:tc>
                <w:tcPr>
                  <w:tcW w:w="870" w:type="dxa"/>
                  <w:vMerge w:val="continue"/>
                  <w:vAlign w:val="center"/>
                </w:tcPr>
                <w:p w14:paraId="7518DA9E">
                  <w:pPr>
                    <w:spacing w:line="240" w:lineRule="exact"/>
                    <w:jc w:val="center"/>
                    <w:rPr>
                      <w:rFonts w:hint="default" w:ascii="Times New Roman" w:hAnsi="Times New Roman" w:cs="Times New Roman"/>
                      <w:color w:val="auto"/>
                      <w:sz w:val="18"/>
                      <w:szCs w:val="18"/>
                      <w:highlight w:val="none"/>
                      <w:lang w:val="en-US"/>
                    </w:rPr>
                  </w:pPr>
                </w:p>
              </w:tc>
              <w:tc>
                <w:tcPr>
                  <w:tcW w:w="713" w:type="dxa"/>
                  <w:vMerge w:val="continue"/>
                  <w:vAlign w:val="center"/>
                </w:tcPr>
                <w:p w14:paraId="07E09A09">
                  <w:pPr>
                    <w:spacing w:line="240" w:lineRule="exact"/>
                    <w:jc w:val="center"/>
                    <w:rPr>
                      <w:rFonts w:hint="default" w:ascii="Times New Roman" w:hAnsi="Times New Roman" w:eastAsia="宋体" w:cs="Times New Roman"/>
                      <w:color w:val="auto"/>
                      <w:sz w:val="18"/>
                      <w:szCs w:val="18"/>
                      <w:highlight w:val="none"/>
                      <w:lang w:val="en-US" w:eastAsia="zh-CN"/>
                    </w:rPr>
                  </w:pPr>
                </w:p>
              </w:tc>
            </w:tr>
            <w:tr w14:paraId="4E5D4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vAlign w:val="center"/>
                </w:tcPr>
                <w:p w14:paraId="16E7D085">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造粒</w:t>
                  </w:r>
                </w:p>
              </w:tc>
              <w:tc>
                <w:tcPr>
                  <w:tcW w:w="356" w:type="dxa"/>
                  <w:vMerge w:val="continue"/>
                  <w:vAlign w:val="center"/>
                </w:tcPr>
                <w:p w14:paraId="7721156E">
                  <w:pPr>
                    <w:spacing w:line="240" w:lineRule="exact"/>
                    <w:jc w:val="center"/>
                    <w:rPr>
                      <w:rFonts w:hint="default" w:ascii="Times New Roman" w:hAnsi="Times New Roman" w:cs="Times New Roman"/>
                      <w:color w:val="auto"/>
                      <w:sz w:val="18"/>
                      <w:szCs w:val="18"/>
                      <w:highlight w:val="none"/>
                    </w:rPr>
                  </w:pPr>
                </w:p>
              </w:tc>
              <w:tc>
                <w:tcPr>
                  <w:tcW w:w="574" w:type="dxa"/>
                  <w:vAlign w:val="center"/>
                </w:tcPr>
                <w:p w14:paraId="6E5D36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氨</w:t>
                  </w:r>
                </w:p>
              </w:tc>
              <w:tc>
                <w:tcPr>
                  <w:tcW w:w="601" w:type="dxa"/>
                  <w:shd w:val="clear" w:color="auto" w:fill="auto"/>
                  <w:vAlign w:val="center"/>
                </w:tcPr>
                <w:p w14:paraId="36F6DE40">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5.225</w:t>
                  </w:r>
                </w:p>
              </w:tc>
              <w:tc>
                <w:tcPr>
                  <w:tcW w:w="870" w:type="dxa"/>
                  <w:shd w:val="clear" w:color="auto" w:fill="auto"/>
                  <w:vAlign w:val="center"/>
                </w:tcPr>
                <w:p w14:paraId="027A401C">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111.6</w:t>
                  </w:r>
                </w:p>
              </w:tc>
              <w:tc>
                <w:tcPr>
                  <w:tcW w:w="813" w:type="dxa"/>
                  <w:shd w:val="clear" w:color="auto" w:fill="auto"/>
                  <w:vAlign w:val="center"/>
                </w:tcPr>
                <w:p w14:paraId="1901094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0.73</w:t>
                  </w:r>
                </w:p>
              </w:tc>
              <w:tc>
                <w:tcPr>
                  <w:tcW w:w="860" w:type="dxa"/>
                  <w:vMerge w:val="continue"/>
                  <w:vAlign w:val="center"/>
                </w:tcPr>
                <w:p w14:paraId="65499992">
                  <w:pPr>
                    <w:spacing w:line="240" w:lineRule="exact"/>
                    <w:jc w:val="center"/>
                    <w:rPr>
                      <w:rFonts w:hint="default" w:ascii="Times New Roman" w:hAnsi="Times New Roman" w:cs="Times New Roman"/>
                      <w:color w:val="auto"/>
                      <w:sz w:val="18"/>
                      <w:szCs w:val="18"/>
                      <w:highlight w:val="none"/>
                      <w:lang w:val="en-US" w:eastAsia="zh-CN"/>
                    </w:rPr>
                  </w:pPr>
                </w:p>
              </w:tc>
              <w:tc>
                <w:tcPr>
                  <w:tcW w:w="670" w:type="dxa"/>
                  <w:vAlign w:val="center"/>
                </w:tcPr>
                <w:p w14:paraId="489AB1B1">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95</w:t>
                  </w:r>
                </w:p>
              </w:tc>
              <w:tc>
                <w:tcPr>
                  <w:tcW w:w="888" w:type="dxa"/>
                  <w:vMerge w:val="continue"/>
                  <w:vAlign w:val="center"/>
                </w:tcPr>
                <w:p w14:paraId="3D5A6E3F">
                  <w:pPr>
                    <w:spacing w:line="240" w:lineRule="auto"/>
                    <w:jc w:val="center"/>
                    <w:rPr>
                      <w:rFonts w:hint="default" w:ascii="Times New Roman" w:hAnsi="Times New Roman" w:cs="Times New Roman"/>
                      <w:color w:val="auto"/>
                      <w:sz w:val="18"/>
                      <w:szCs w:val="18"/>
                      <w:highlight w:val="none"/>
                    </w:rPr>
                  </w:pPr>
                </w:p>
              </w:tc>
              <w:tc>
                <w:tcPr>
                  <w:tcW w:w="714" w:type="dxa"/>
                  <w:vMerge w:val="restart"/>
                  <w:vAlign w:val="center"/>
                </w:tcPr>
                <w:p w14:paraId="2C7D7A20">
                  <w:pPr>
                    <w:spacing w:line="240" w:lineRule="auto"/>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9</w:t>
                  </w:r>
                  <w:r>
                    <w:rPr>
                      <w:rFonts w:hint="eastAsia" w:ascii="Times New Roman" w:hAnsi="Times New Roman" w:eastAsia="宋体" w:cs="Times New Roman"/>
                      <w:color w:val="auto"/>
                      <w:sz w:val="18"/>
                      <w:szCs w:val="18"/>
                      <w:highlight w:val="none"/>
                      <w:lang w:val="en-US" w:eastAsia="zh-CN"/>
                    </w:rPr>
                    <w:t>0</w:t>
                  </w:r>
                </w:p>
              </w:tc>
              <w:tc>
                <w:tcPr>
                  <w:tcW w:w="728" w:type="dxa"/>
                  <w:vMerge w:val="restart"/>
                  <w:vAlign w:val="center"/>
                </w:tcPr>
                <w:p w14:paraId="558A4A01">
                  <w:pPr>
                    <w:spacing w:line="240" w:lineRule="auto"/>
                    <w:jc w:val="center"/>
                    <w:rPr>
                      <w:rFonts w:hint="default" w:ascii="Times New Roman" w:hAnsi="Times New Roman"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是</w:t>
                  </w:r>
                </w:p>
              </w:tc>
              <w:tc>
                <w:tcPr>
                  <w:tcW w:w="640" w:type="dxa"/>
                  <w:vMerge w:val="restart"/>
                  <w:shd w:val="clear" w:color="auto" w:fill="auto"/>
                  <w:vAlign w:val="center"/>
                </w:tcPr>
                <w:p w14:paraId="5B7083E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0.798</w:t>
                  </w:r>
                </w:p>
              </w:tc>
              <w:tc>
                <w:tcPr>
                  <w:tcW w:w="933" w:type="dxa"/>
                  <w:vMerge w:val="restart"/>
                  <w:shd w:val="clear" w:color="auto" w:fill="auto"/>
                  <w:vAlign w:val="center"/>
                </w:tcPr>
                <w:p w14:paraId="006F3C0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17.05</w:t>
                  </w:r>
                </w:p>
              </w:tc>
              <w:tc>
                <w:tcPr>
                  <w:tcW w:w="771" w:type="dxa"/>
                  <w:vMerge w:val="restart"/>
                  <w:shd w:val="clear" w:color="auto" w:fill="auto"/>
                  <w:vAlign w:val="center"/>
                </w:tcPr>
                <w:p w14:paraId="6595D1D9">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0.111</w:t>
                  </w:r>
                </w:p>
              </w:tc>
              <w:tc>
                <w:tcPr>
                  <w:tcW w:w="912" w:type="dxa"/>
                  <w:vMerge w:val="continue"/>
                  <w:vAlign w:val="center"/>
                </w:tcPr>
                <w:p w14:paraId="50B8B1B2">
                  <w:pPr>
                    <w:spacing w:line="240" w:lineRule="exact"/>
                    <w:jc w:val="center"/>
                    <w:rPr>
                      <w:rFonts w:hint="default" w:ascii="Times New Roman" w:hAnsi="Times New Roman" w:cs="Times New Roman"/>
                      <w:color w:val="auto"/>
                      <w:sz w:val="18"/>
                      <w:szCs w:val="18"/>
                      <w:highlight w:val="none"/>
                      <w:lang w:val="en-US" w:eastAsia="zh-CN"/>
                    </w:rPr>
                  </w:pPr>
                </w:p>
              </w:tc>
              <w:tc>
                <w:tcPr>
                  <w:tcW w:w="870" w:type="dxa"/>
                  <w:vMerge w:val="restart"/>
                  <w:vAlign w:val="center"/>
                </w:tcPr>
                <w:p w14:paraId="3A998A1E">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w:t>
                  </w:r>
                </w:p>
              </w:tc>
              <w:tc>
                <w:tcPr>
                  <w:tcW w:w="713" w:type="dxa"/>
                  <w:vMerge w:val="restart"/>
                  <w:vAlign w:val="center"/>
                </w:tcPr>
                <w:p w14:paraId="57E6E9A0">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4.9</w:t>
                  </w:r>
                </w:p>
              </w:tc>
            </w:tr>
            <w:tr w14:paraId="2577A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vAlign w:val="center"/>
                </w:tcPr>
                <w:p w14:paraId="52A0267C">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烘干</w:t>
                  </w:r>
                </w:p>
              </w:tc>
              <w:tc>
                <w:tcPr>
                  <w:tcW w:w="356" w:type="dxa"/>
                  <w:vMerge w:val="continue"/>
                  <w:vAlign w:val="center"/>
                </w:tcPr>
                <w:p w14:paraId="17E764A7">
                  <w:pPr>
                    <w:spacing w:line="240" w:lineRule="exact"/>
                    <w:jc w:val="center"/>
                    <w:rPr>
                      <w:rFonts w:hint="default" w:ascii="Times New Roman" w:hAnsi="Times New Roman" w:cs="Times New Roman"/>
                      <w:color w:val="auto"/>
                      <w:sz w:val="18"/>
                      <w:szCs w:val="18"/>
                      <w:highlight w:val="none"/>
                    </w:rPr>
                  </w:pPr>
                </w:p>
              </w:tc>
              <w:tc>
                <w:tcPr>
                  <w:tcW w:w="574" w:type="dxa"/>
                  <w:vAlign w:val="center"/>
                </w:tcPr>
                <w:p w14:paraId="5864ED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氨</w:t>
                  </w:r>
                </w:p>
              </w:tc>
              <w:tc>
                <w:tcPr>
                  <w:tcW w:w="601" w:type="dxa"/>
                  <w:shd w:val="clear" w:color="auto" w:fill="auto"/>
                  <w:vAlign w:val="center"/>
                </w:tcPr>
                <w:p w14:paraId="1BA31244">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2.75</w:t>
                  </w:r>
                </w:p>
              </w:tc>
              <w:tc>
                <w:tcPr>
                  <w:tcW w:w="870" w:type="dxa"/>
                  <w:shd w:val="clear" w:color="auto" w:fill="auto"/>
                  <w:vAlign w:val="center"/>
                </w:tcPr>
                <w:p w14:paraId="6E2AD4E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58.8</w:t>
                  </w:r>
                </w:p>
              </w:tc>
              <w:tc>
                <w:tcPr>
                  <w:tcW w:w="813" w:type="dxa"/>
                  <w:shd w:val="clear" w:color="auto" w:fill="auto"/>
                  <w:vAlign w:val="center"/>
                </w:tcPr>
                <w:p w14:paraId="2D9B81DA">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0.38</w:t>
                  </w:r>
                </w:p>
              </w:tc>
              <w:tc>
                <w:tcPr>
                  <w:tcW w:w="860" w:type="dxa"/>
                  <w:vMerge w:val="continue"/>
                  <w:vAlign w:val="center"/>
                </w:tcPr>
                <w:p w14:paraId="092D77F2">
                  <w:pPr>
                    <w:spacing w:line="240" w:lineRule="exact"/>
                    <w:jc w:val="center"/>
                    <w:rPr>
                      <w:rFonts w:hint="default" w:ascii="Times New Roman" w:hAnsi="Times New Roman" w:cs="Times New Roman"/>
                      <w:color w:val="auto"/>
                      <w:sz w:val="18"/>
                      <w:szCs w:val="18"/>
                      <w:highlight w:val="none"/>
                      <w:lang w:val="en-US" w:eastAsia="zh-CN"/>
                    </w:rPr>
                  </w:pPr>
                </w:p>
              </w:tc>
              <w:tc>
                <w:tcPr>
                  <w:tcW w:w="670" w:type="dxa"/>
                  <w:vAlign w:val="center"/>
                </w:tcPr>
                <w:p w14:paraId="0C047527">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100</w:t>
                  </w:r>
                </w:p>
              </w:tc>
              <w:tc>
                <w:tcPr>
                  <w:tcW w:w="888" w:type="dxa"/>
                  <w:vMerge w:val="continue"/>
                  <w:vAlign w:val="center"/>
                </w:tcPr>
                <w:p w14:paraId="0D5DB47A">
                  <w:pPr>
                    <w:spacing w:line="240" w:lineRule="exact"/>
                    <w:jc w:val="center"/>
                    <w:rPr>
                      <w:rFonts w:hint="default" w:ascii="Times New Roman" w:hAnsi="Times New Roman" w:cs="Times New Roman"/>
                      <w:color w:val="auto"/>
                      <w:sz w:val="18"/>
                      <w:szCs w:val="18"/>
                      <w:highlight w:val="none"/>
                    </w:rPr>
                  </w:pPr>
                </w:p>
              </w:tc>
              <w:tc>
                <w:tcPr>
                  <w:tcW w:w="714" w:type="dxa"/>
                  <w:vMerge w:val="continue"/>
                  <w:vAlign w:val="center"/>
                </w:tcPr>
                <w:p w14:paraId="0C000C17">
                  <w:pPr>
                    <w:spacing w:line="240" w:lineRule="exact"/>
                    <w:jc w:val="center"/>
                    <w:rPr>
                      <w:rFonts w:hint="default" w:ascii="Times New Roman" w:hAnsi="Times New Roman" w:cs="Times New Roman"/>
                      <w:color w:val="auto"/>
                      <w:sz w:val="18"/>
                      <w:szCs w:val="18"/>
                      <w:highlight w:val="none"/>
                      <w:lang w:val="en-US" w:eastAsia="zh-CN"/>
                    </w:rPr>
                  </w:pPr>
                </w:p>
              </w:tc>
              <w:tc>
                <w:tcPr>
                  <w:tcW w:w="728" w:type="dxa"/>
                  <w:vMerge w:val="continue"/>
                  <w:vAlign w:val="center"/>
                </w:tcPr>
                <w:p w14:paraId="71C6BA8B">
                  <w:pPr>
                    <w:spacing w:line="240" w:lineRule="exact"/>
                    <w:jc w:val="center"/>
                    <w:rPr>
                      <w:rFonts w:hint="default" w:ascii="Times New Roman" w:hAnsi="Times New Roman" w:cs="Times New Roman"/>
                      <w:color w:val="auto"/>
                      <w:sz w:val="18"/>
                      <w:szCs w:val="18"/>
                      <w:highlight w:val="none"/>
                      <w:lang w:val="en-US" w:eastAsia="zh-CN"/>
                    </w:rPr>
                  </w:pPr>
                </w:p>
              </w:tc>
              <w:tc>
                <w:tcPr>
                  <w:tcW w:w="640" w:type="dxa"/>
                  <w:vMerge w:val="continue"/>
                  <w:vAlign w:val="center"/>
                </w:tcPr>
                <w:p w14:paraId="12D0A062">
                  <w:pPr>
                    <w:spacing w:line="240" w:lineRule="exact"/>
                    <w:jc w:val="center"/>
                    <w:rPr>
                      <w:rFonts w:hint="default" w:ascii="Times New Roman" w:hAnsi="Times New Roman" w:cs="Times New Roman"/>
                      <w:color w:val="auto"/>
                      <w:sz w:val="18"/>
                      <w:szCs w:val="18"/>
                      <w:highlight w:val="none"/>
                      <w:lang w:val="en-US" w:eastAsia="zh-CN"/>
                    </w:rPr>
                  </w:pPr>
                </w:p>
              </w:tc>
              <w:tc>
                <w:tcPr>
                  <w:tcW w:w="933" w:type="dxa"/>
                  <w:vMerge w:val="continue"/>
                  <w:vAlign w:val="center"/>
                </w:tcPr>
                <w:p w14:paraId="0DCE653C">
                  <w:pPr>
                    <w:spacing w:line="240" w:lineRule="exact"/>
                    <w:jc w:val="center"/>
                    <w:rPr>
                      <w:rFonts w:hint="default" w:ascii="Times New Roman" w:hAnsi="Times New Roman" w:cs="Times New Roman"/>
                      <w:color w:val="auto"/>
                      <w:sz w:val="18"/>
                      <w:szCs w:val="18"/>
                      <w:highlight w:val="none"/>
                      <w:lang w:val="en-US" w:eastAsia="zh-CN"/>
                    </w:rPr>
                  </w:pPr>
                </w:p>
              </w:tc>
              <w:tc>
                <w:tcPr>
                  <w:tcW w:w="771" w:type="dxa"/>
                  <w:vMerge w:val="continue"/>
                  <w:vAlign w:val="center"/>
                </w:tcPr>
                <w:p w14:paraId="5FCFC0CF">
                  <w:pPr>
                    <w:spacing w:line="240" w:lineRule="exact"/>
                    <w:jc w:val="center"/>
                    <w:rPr>
                      <w:rFonts w:hint="default" w:ascii="Times New Roman" w:hAnsi="Times New Roman" w:cs="Times New Roman"/>
                      <w:color w:val="auto"/>
                      <w:sz w:val="18"/>
                      <w:szCs w:val="18"/>
                      <w:highlight w:val="none"/>
                      <w:lang w:val="en-US" w:eastAsia="zh-CN"/>
                    </w:rPr>
                  </w:pPr>
                </w:p>
              </w:tc>
              <w:tc>
                <w:tcPr>
                  <w:tcW w:w="912" w:type="dxa"/>
                  <w:vMerge w:val="continue"/>
                  <w:vAlign w:val="center"/>
                </w:tcPr>
                <w:p w14:paraId="1E926FD3">
                  <w:pPr>
                    <w:spacing w:line="240" w:lineRule="exact"/>
                    <w:jc w:val="center"/>
                    <w:rPr>
                      <w:rFonts w:hint="default" w:ascii="Times New Roman" w:hAnsi="Times New Roman" w:cs="Times New Roman"/>
                      <w:color w:val="auto"/>
                      <w:sz w:val="18"/>
                      <w:szCs w:val="18"/>
                      <w:highlight w:val="none"/>
                      <w:lang w:val="en-US" w:eastAsia="zh-CN"/>
                    </w:rPr>
                  </w:pPr>
                </w:p>
              </w:tc>
              <w:tc>
                <w:tcPr>
                  <w:tcW w:w="870" w:type="dxa"/>
                  <w:vMerge w:val="continue"/>
                  <w:vAlign w:val="center"/>
                </w:tcPr>
                <w:p w14:paraId="2A865289">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c>
                <w:tcPr>
                  <w:tcW w:w="713" w:type="dxa"/>
                  <w:vMerge w:val="continue"/>
                  <w:vAlign w:val="center"/>
                </w:tcPr>
                <w:p w14:paraId="69255647">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r>
            <w:tr w14:paraId="53B44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vAlign w:val="center"/>
                </w:tcPr>
                <w:p w14:paraId="492E8090">
                  <w:pPr>
                    <w:spacing w:line="240" w:lineRule="auto"/>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造粒、烘干</w:t>
                  </w:r>
                </w:p>
              </w:tc>
              <w:tc>
                <w:tcPr>
                  <w:tcW w:w="356" w:type="dxa"/>
                  <w:vMerge w:val="continue"/>
                  <w:vAlign w:val="center"/>
                </w:tcPr>
                <w:p w14:paraId="20EA2111">
                  <w:pPr>
                    <w:spacing w:line="240" w:lineRule="exact"/>
                    <w:jc w:val="center"/>
                    <w:rPr>
                      <w:rFonts w:hint="default" w:ascii="Times New Roman" w:hAnsi="Times New Roman" w:cs="Times New Roman"/>
                      <w:color w:val="auto"/>
                      <w:sz w:val="18"/>
                      <w:szCs w:val="18"/>
                      <w:highlight w:val="none"/>
                    </w:rPr>
                  </w:pPr>
                </w:p>
              </w:tc>
              <w:tc>
                <w:tcPr>
                  <w:tcW w:w="574" w:type="dxa"/>
                  <w:vAlign w:val="center"/>
                </w:tcPr>
                <w:p w14:paraId="3D8E2A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臭气浓度</w:t>
                  </w:r>
                </w:p>
              </w:tc>
              <w:tc>
                <w:tcPr>
                  <w:tcW w:w="601" w:type="dxa"/>
                  <w:shd w:val="clear" w:color="auto" w:fill="auto"/>
                  <w:vAlign w:val="center"/>
                </w:tcPr>
                <w:p w14:paraId="3E0B36BD">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2000（无量纲）</w:t>
                  </w:r>
                </w:p>
              </w:tc>
              <w:tc>
                <w:tcPr>
                  <w:tcW w:w="870" w:type="dxa"/>
                  <w:shd w:val="clear" w:color="auto" w:fill="auto"/>
                  <w:vAlign w:val="center"/>
                </w:tcPr>
                <w:p w14:paraId="365CDCAF">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w:t>
                  </w:r>
                </w:p>
              </w:tc>
              <w:tc>
                <w:tcPr>
                  <w:tcW w:w="813" w:type="dxa"/>
                  <w:shd w:val="clear" w:color="auto" w:fill="auto"/>
                  <w:vAlign w:val="center"/>
                </w:tcPr>
                <w:p w14:paraId="2F633D54">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w:t>
                  </w:r>
                </w:p>
              </w:tc>
              <w:tc>
                <w:tcPr>
                  <w:tcW w:w="860" w:type="dxa"/>
                  <w:vMerge w:val="continue"/>
                  <w:vAlign w:val="center"/>
                </w:tcPr>
                <w:p w14:paraId="5424BB20">
                  <w:pPr>
                    <w:spacing w:line="240" w:lineRule="exact"/>
                    <w:jc w:val="center"/>
                    <w:rPr>
                      <w:rFonts w:hint="default" w:ascii="Times New Roman" w:hAnsi="Times New Roman" w:cs="Times New Roman"/>
                      <w:color w:val="auto"/>
                      <w:sz w:val="18"/>
                      <w:szCs w:val="18"/>
                      <w:highlight w:val="none"/>
                      <w:lang w:val="en-US" w:eastAsia="zh-CN"/>
                    </w:rPr>
                  </w:pPr>
                </w:p>
              </w:tc>
              <w:tc>
                <w:tcPr>
                  <w:tcW w:w="670" w:type="dxa"/>
                  <w:vAlign w:val="center"/>
                </w:tcPr>
                <w:p w14:paraId="78F9F9CD">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888" w:type="dxa"/>
                  <w:vMerge w:val="continue"/>
                  <w:vAlign w:val="center"/>
                </w:tcPr>
                <w:p w14:paraId="19123EFC">
                  <w:pPr>
                    <w:spacing w:line="240" w:lineRule="exact"/>
                    <w:jc w:val="center"/>
                    <w:rPr>
                      <w:rFonts w:hint="default" w:ascii="Times New Roman" w:hAnsi="Times New Roman" w:cs="Times New Roman"/>
                      <w:color w:val="auto"/>
                      <w:sz w:val="18"/>
                      <w:szCs w:val="18"/>
                      <w:highlight w:val="none"/>
                    </w:rPr>
                  </w:pPr>
                </w:p>
              </w:tc>
              <w:tc>
                <w:tcPr>
                  <w:tcW w:w="714" w:type="dxa"/>
                  <w:vAlign w:val="center"/>
                </w:tcPr>
                <w:p w14:paraId="09DF8941">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728" w:type="dxa"/>
                  <w:vAlign w:val="center"/>
                </w:tcPr>
                <w:p w14:paraId="1A3A5992">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640" w:type="dxa"/>
                  <w:shd w:val="clear" w:color="auto" w:fill="auto"/>
                  <w:vAlign w:val="center"/>
                </w:tcPr>
                <w:p w14:paraId="1ACAFAFA">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2000（无量纲）</w:t>
                  </w:r>
                </w:p>
              </w:tc>
              <w:tc>
                <w:tcPr>
                  <w:tcW w:w="933" w:type="dxa"/>
                  <w:shd w:val="clear" w:color="auto" w:fill="auto"/>
                  <w:vAlign w:val="center"/>
                </w:tcPr>
                <w:p w14:paraId="59E3ACD6">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w:t>
                  </w:r>
                </w:p>
              </w:tc>
              <w:tc>
                <w:tcPr>
                  <w:tcW w:w="771" w:type="dxa"/>
                  <w:shd w:val="clear" w:color="auto" w:fill="auto"/>
                  <w:vAlign w:val="center"/>
                </w:tcPr>
                <w:p w14:paraId="7990185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w:t>
                  </w:r>
                </w:p>
              </w:tc>
              <w:tc>
                <w:tcPr>
                  <w:tcW w:w="912" w:type="dxa"/>
                  <w:vMerge w:val="continue"/>
                  <w:vAlign w:val="center"/>
                </w:tcPr>
                <w:p w14:paraId="72D63C72">
                  <w:pPr>
                    <w:spacing w:line="240" w:lineRule="exact"/>
                    <w:jc w:val="center"/>
                    <w:rPr>
                      <w:rFonts w:hint="default" w:ascii="Times New Roman" w:hAnsi="Times New Roman" w:cs="Times New Roman"/>
                      <w:color w:val="auto"/>
                      <w:sz w:val="18"/>
                      <w:szCs w:val="18"/>
                      <w:highlight w:val="none"/>
                      <w:lang w:val="en-US" w:eastAsia="zh-CN"/>
                    </w:rPr>
                  </w:pPr>
                </w:p>
              </w:tc>
              <w:tc>
                <w:tcPr>
                  <w:tcW w:w="870" w:type="dxa"/>
                  <w:vAlign w:val="center"/>
                </w:tcPr>
                <w:p w14:paraId="1B4F396C">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2000（无量纲）</w:t>
                  </w:r>
                </w:p>
              </w:tc>
              <w:tc>
                <w:tcPr>
                  <w:tcW w:w="713" w:type="dxa"/>
                  <w:vAlign w:val="center"/>
                </w:tcPr>
                <w:p w14:paraId="67864488">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w:t>
                  </w:r>
                </w:p>
              </w:tc>
            </w:tr>
            <w:tr w14:paraId="6DF88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63" w:type="dxa"/>
                  <w:shd w:val="clear" w:color="auto" w:fill="auto"/>
                  <w:vAlign w:val="center"/>
                </w:tcPr>
                <w:p w14:paraId="48404E02">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冷却</w:t>
                  </w:r>
                </w:p>
              </w:tc>
              <w:tc>
                <w:tcPr>
                  <w:tcW w:w="356" w:type="dxa"/>
                  <w:vMerge w:val="restart"/>
                  <w:vAlign w:val="center"/>
                </w:tcPr>
                <w:p w14:paraId="7780A2DB">
                  <w:pPr>
                    <w:spacing w:line="240" w:lineRule="exact"/>
                    <w:jc w:val="center"/>
                    <w:rPr>
                      <w:rFonts w:hint="default" w:ascii="Times New Roman" w:hAnsi="Times New Roman" w:cs="Times New Roman"/>
                      <w:color w:val="auto"/>
                      <w:sz w:val="18"/>
                      <w:szCs w:val="18"/>
                      <w:highlight w:val="none"/>
                    </w:rPr>
                  </w:pPr>
                  <w:r>
                    <w:rPr>
                      <w:rFonts w:hint="eastAsia" w:cs="Times New Roman"/>
                      <w:bCs/>
                      <w:color w:val="auto"/>
                      <w:kern w:val="2"/>
                      <w:sz w:val="18"/>
                      <w:szCs w:val="18"/>
                      <w:highlight w:val="none"/>
                      <w:vertAlign w:val="baseline"/>
                      <w:lang w:val="en-US" w:eastAsia="zh-CN" w:bidi="ar-SA"/>
                    </w:rPr>
                    <w:t>DA002有组织</w:t>
                  </w:r>
                </w:p>
              </w:tc>
              <w:tc>
                <w:tcPr>
                  <w:tcW w:w="574" w:type="dxa"/>
                  <w:shd w:val="clear" w:color="auto" w:fill="auto"/>
                  <w:vAlign w:val="center"/>
                </w:tcPr>
                <w:p w14:paraId="3E2C0E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601" w:type="dxa"/>
                  <w:shd w:val="clear" w:color="auto" w:fill="auto"/>
                  <w:vAlign w:val="center"/>
                </w:tcPr>
                <w:p w14:paraId="1C2C2865">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7.838</w:t>
                  </w:r>
                </w:p>
              </w:tc>
              <w:tc>
                <w:tcPr>
                  <w:tcW w:w="870" w:type="dxa"/>
                  <w:shd w:val="clear" w:color="auto" w:fill="auto"/>
                  <w:vAlign w:val="center"/>
                </w:tcPr>
                <w:p w14:paraId="3D90FC40">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90.7</w:t>
                  </w:r>
                </w:p>
              </w:tc>
              <w:tc>
                <w:tcPr>
                  <w:tcW w:w="813" w:type="dxa"/>
                  <w:shd w:val="clear" w:color="auto" w:fill="auto"/>
                  <w:vAlign w:val="center"/>
                </w:tcPr>
                <w:p w14:paraId="6224AE3B">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1.09</w:t>
                  </w:r>
                </w:p>
              </w:tc>
              <w:tc>
                <w:tcPr>
                  <w:tcW w:w="860" w:type="dxa"/>
                  <w:vMerge w:val="restart"/>
                  <w:vAlign w:val="center"/>
                </w:tcPr>
                <w:p w14:paraId="00BAB666">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20000</w:t>
                  </w:r>
                </w:p>
              </w:tc>
              <w:tc>
                <w:tcPr>
                  <w:tcW w:w="670" w:type="dxa"/>
                  <w:shd w:val="clear" w:color="auto" w:fill="auto"/>
                  <w:vAlign w:val="center"/>
                </w:tcPr>
                <w:p w14:paraId="2847CF65">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95</w:t>
                  </w:r>
                </w:p>
              </w:tc>
              <w:tc>
                <w:tcPr>
                  <w:tcW w:w="888" w:type="dxa"/>
                  <w:vMerge w:val="restart"/>
                  <w:shd w:val="clear" w:color="auto" w:fill="auto"/>
                  <w:vAlign w:val="center"/>
                </w:tcPr>
                <w:p w14:paraId="2FDA7631">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布袋除尘器</w:t>
                  </w:r>
                </w:p>
              </w:tc>
              <w:tc>
                <w:tcPr>
                  <w:tcW w:w="714" w:type="dxa"/>
                  <w:vMerge w:val="restart"/>
                  <w:shd w:val="clear" w:color="auto" w:fill="auto"/>
                  <w:vAlign w:val="center"/>
                </w:tcPr>
                <w:p w14:paraId="0E5C221C">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99</w:t>
                  </w:r>
                </w:p>
              </w:tc>
              <w:tc>
                <w:tcPr>
                  <w:tcW w:w="728" w:type="dxa"/>
                  <w:vMerge w:val="restart"/>
                  <w:shd w:val="clear" w:color="auto" w:fill="auto"/>
                  <w:vAlign w:val="center"/>
                </w:tcPr>
                <w:p w14:paraId="4B5EECF5">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是</w:t>
                  </w:r>
                </w:p>
              </w:tc>
              <w:tc>
                <w:tcPr>
                  <w:tcW w:w="640" w:type="dxa"/>
                  <w:vMerge w:val="restart"/>
                  <w:shd w:val="clear" w:color="auto" w:fill="auto"/>
                  <w:vAlign w:val="center"/>
                </w:tcPr>
                <w:p w14:paraId="6230314C">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0.215</w:t>
                  </w:r>
                </w:p>
              </w:tc>
              <w:tc>
                <w:tcPr>
                  <w:tcW w:w="933" w:type="dxa"/>
                  <w:vMerge w:val="restart"/>
                  <w:shd w:val="clear" w:color="auto" w:fill="auto"/>
                  <w:vAlign w:val="center"/>
                </w:tcPr>
                <w:p w14:paraId="03A76E4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2.5</w:t>
                  </w:r>
                </w:p>
              </w:tc>
              <w:tc>
                <w:tcPr>
                  <w:tcW w:w="771" w:type="dxa"/>
                  <w:vMerge w:val="restart"/>
                  <w:shd w:val="clear" w:color="auto" w:fill="auto"/>
                  <w:vAlign w:val="center"/>
                </w:tcPr>
                <w:p w14:paraId="06FF552B">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0.03</w:t>
                  </w:r>
                </w:p>
              </w:tc>
              <w:tc>
                <w:tcPr>
                  <w:tcW w:w="912" w:type="dxa"/>
                  <w:vMerge w:val="restart"/>
                  <w:shd w:val="clear" w:color="auto" w:fill="auto"/>
                  <w:vAlign w:val="center"/>
                </w:tcPr>
                <w:p w14:paraId="71EEF2C0">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7200</w:t>
                  </w:r>
                </w:p>
              </w:tc>
              <w:tc>
                <w:tcPr>
                  <w:tcW w:w="870" w:type="dxa"/>
                  <w:vMerge w:val="restart"/>
                  <w:shd w:val="clear" w:color="auto" w:fill="auto"/>
                  <w:vAlign w:val="center"/>
                </w:tcPr>
                <w:p w14:paraId="66313789">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10</w:t>
                  </w:r>
                </w:p>
              </w:tc>
              <w:tc>
                <w:tcPr>
                  <w:tcW w:w="713" w:type="dxa"/>
                  <w:vMerge w:val="restart"/>
                  <w:shd w:val="clear" w:color="auto" w:fill="auto"/>
                  <w:vAlign w:val="center"/>
                </w:tcPr>
                <w:p w14:paraId="5610ADDD">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w:t>
                  </w:r>
                </w:p>
              </w:tc>
            </w:tr>
            <w:tr w14:paraId="2859C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shd w:val="clear" w:color="auto" w:fill="auto"/>
                  <w:vAlign w:val="center"/>
                </w:tcPr>
                <w:p w14:paraId="2D6B11D5">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精筛</w:t>
                  </w:r>
                </w:p>
              </w:tc>
              <w:tc>
                <w:tcPr>
                  <w:tcW w:w="356" w:type="dxa"/>
                  <w:vMerge w:val="continue"/>
                  <w:vAlign w:val="center"/>
                </w:tcPr>
                <w:p w14:paraId="2328C842">
                  <w:pPr>
                    <w:spacing w:line="240" w:lineRule="exact"/>
                    <w:jc w:val="center"/>
                    <w:rPr>
                      <w:rFonts w:hint="default" w:ascii="Times New Roman" w:hAnsi="Times New Roman" w:cs="Times New Roman"/>
                      <w:color w:val="auto"/>
                      <w:sz w:val="18"/>
                      <w:szCs w:val="18"/>
                      <w:highlight w:val="none"/>
                    </w:rPr>
                  </w:pPr>
                </w:p>
              </w:tc>
              <w:tc>
                <w:tcPr>
                  <w:tcW w:w="574" w:type="dxa"/>
                  <w:shd w:val="clear" w:color="auto" w:fill="auto"/>
                  <w:vAlign w:val="center"/>
                </w:tcPr>
                <w:p w14:paraId="1676D1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601" w:type="dxa"/>
                  <w:shd w:val="clear" w:color="auto" w:fill="auto"/>
                  <w:vAlign w:val="center"/>
                </w:tcPr>
                <w:p w14:paraId="3A613B05">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7.125</w:t>
                  </w:r>
                </w:p>
              </w:tc>
              <w:tc>
                <w:tcPr>
                  <w:tcW w:w="870" w:type="dxa"/>
                  <w:shd w:val="clear" w:color="auto" w:fill="auto"/>
                  <w:vAlign w:val="center"/>
                </w:tcPr>
                <w:p w14:paraId="51F80AA3">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85.5</w:t>
                  </w:r>
                </w:p>
              </w:tc>
              <w:tc>
                <w:tcPr>
                  <w:tcW w:w="813" w:type="dxa"/>
                  <w:shd w:val="clear" w:color="auto" w:fill="auto"/>
                  <w:vAlign w:val="center"/>
                </w:tcPr>
                <w:p w14:paraId="13068A8A">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0.99</w:t>
                  </w:r>
                </w:p>
              </w:tc>
              <w:tc>
                <w:tcPr>
                  <w:tcW w:w="860" w:type="dxa"/>
                  <w:vMerge w:val="continue"/>
                  <w:vAlign w:val="center"/>
                </w:tcPr>
                <w:p w14:paraId="098CAB5E">
                  <w:pPr>
                    <w:spacing w:line="240" w:lineRule="exact"/>
                    <w:jc w:val="center"/>
                    <w:rPr>
                      <w:rFonts w:hint="default" w:ascii="Times New Roman" w:hAnsi="Times New Roman" w:cs="Times New Roman"/>
                      <w:color w:val="auto"/>
                      <w:sz w:val="18"/>
                      <w:szCs w:val="18"/>
                      <w:highlight w:val="none"/>
                      <w:lang w:val="en-US" w:eastAsia="zh-CN"/>
                    </w:rPr>
                  </w:pPr>
                </w:p>
              </w:tc>
              <w:tc>
                <w:tcPr>
                  <w:tcW w:w="670" w:type="dxa"/>
                  <w:shd w:val="clear" w:color="auto" w:fill="auto"/>
                  <w:vAlign w:val="center"/>
                </w:tcPr>
                <w:p w14:paraId="00EA7095">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95</w:t>
                  </w:r>
                </w:p>
              </w:tc>
              <w:tc>
                <w:tcPr>
                  <w:tcW w:w="888" w:type="dxa"/>
                  <w:vMerge w:val="continue"/>
                  <w:vAlign w:val="center"/>
                </w:tcPr>
                <w:p w14:paraId="5B68D3BA">
                  <w:pPr>
                    <w:spacing w:line="240" w:lineRule="exact"/>
                    <w:jc w:val="center"/>
                    <w:rPr>
                      <w:rFonts w:hint="default" w:ascii="Times New Roman" w:hAnsi="Times New Roman" w:cs="Times New Roman"/>
                      <w:color w:val="auto"/>
                      <w:sz w:val="18"/>
                      <w:szCs w:val="18"/>
                      <w:highlight w:val="none"/>
                    </w:rPr>
                  </w:pPr>
                </w:p>
              </w:tc>
              <w:tc>
                <w:tcPr>
                  <w:tcW w:w="714" w:type="dxa"/>
                  <w:vMerge w:val="continue"/>
                  <w:vAlign w:val="center"/>
                </w:tcPr>
                <w:p w14:paraId="15AD5446">
                  <w:pPr>
                    <w:spacing w:line="240" w:lineRule="exact"/>
                    <w:jc w:val="center"/>
                    <w:rPr>
                      <w:rFonts w:hint="default" w:ascii="Times New Roman" w:hAnsi="Times New Roman" w:cs="Times New Roman"/>
                      <w:color w:val="auto"/>
                      <w:sz w:val="18"/>
                      <w:szCs w:val="18"/>
                      <w:highlight w:val="none"/>
                      <w:lang w:val="en-US" w:eastAsia="zh-CN"/>
                    </w:rPr>
                  </w:pPr>
                </w:p>
              </w:tc>
              <w:tc>
                <w:tcPr>
                  <w:tcW w:w="728" w:type="dxa"/>
                  <w:vMerge w:val="continue"/>
                  <w:vAlign w:val="center"/>
                </w:tcPr>
                <w:p w14:paraId="3FA6C60D">
                  <w:pPr>
                    <w:spacing w:line="240" w:lineRule="exact"/>
                    <w:jc w:val="center"/>
                    <w:rPr>
                      <w:rFonts w:hint="default" w:ascii="Times New Roman" w:hAnsi="Times New Roman" w:cs="Times New Roman"/>
                      <w:color w:val="auto"/>
                      <w:sz w:val="18"/>
                      <w:szCs w:val="18"/>
                      <w:highlight w:val="none"/>
                      <w:lang w:val="en-US" w:eastAsia="zh-CN"/>
                    </w:rPr>
                  </w:pPr>
                </w:p>
              </w:tc>
              <w:tc>
                <w:tcPr>
                  <w:tcW w:w="640" w:type="dxa"/>
                  <w:vMerge w:val="continue"/>
                  <w:vAlign w:val="center"/>
                </w:tcPr>
                <w:p w14:paraId="5D796BF5">
                  <w:pPr>
                    <w:spacing w:line="240" w:lineRule="exact"/>
                    <w:jc w:val="center"/>
                    <w:rPr>
                      <w:rFonts w:hint="default" w:ascii="Times New Roman" w:hAnsi="Times New Roman" w:cs="Times New Roman"/>
                      <w:color w:val="auto"/>
                      <w:sz w:val="18"/>
                      <w:szCs w:val="18"/>
                      <w:highlight w:val="none"/>
                      <w:lang w:val="en-US" w:eastAsia="zh-CN"/>
                    </w:rPr>
                  </w:pPr>
                </w:p>
              </w:tc>
              <w:tc>
                <w:tcPr>
                  <w:tcW w:w="933" w:type="dxa"/>
                  <w:vMerge w:val="continue"/>
                  <w:vAlign w:val="center"/>
                </w:tcPr>
                <w:p w14:paraId="7C1025E7">
                  <w:pPr>
                    <w:spacing w:line="240" w:lineRule="exact"/>
                    <w:jc w:val="center"/>
                    <w:rPr>
                      <w:rFonts w:hint="default" w:ascii="Times New Roman" w:hAnsi="Times New Roman" w:cs="Times New Roman"/>
                      <w:color w:val="auto"/>
                      <w:sz w:val="18"/>
                      <w:szCs w:val="18"/>
                      <w:highlight w:val="none"/>
                      <w:lang w:val="en-US" w:eastAsia="zh-CN"/>
                    </w:rPr>
                  </w:pPr>
                </w:p>
              </w:tc>
              <w:tc>
                <w:tcPr>
                  <w:tcW w:w="771" w:type="dxa"/>
                  <w:vMerge w:val="continue"/>
                  <w:vAlign w:val="center"/>
                </w:tcPr>
                <w:p w14:paraId="2B93CA22">
                  <w:pPr>
                    <w:spacing w:line="240" w:lineRule="exact"/>
                    <w:jc w:val="center"/>
                    <w:rPr>
                      <w:rFonts w:hint="default" w:ascii="Times New Roman" w:hAnsi="Times New Roman" w:cs="Times New Roman"/>
                      <w:color w:val="auto"/>
                      <w:sz w:val="18"/>
                      <w:szCs w:val="18"/>
                      <w:highlight w:val="none"/>
                      <w:lang w:val="en-US" w:eastAsia="zh-CN"/>
                    </w:rPr>
                  </w:pPr>
                </w:p>
              </w:tc>
              <w:tc>
                <w:tcPr>
                  <w:tcW w:w="912" w:type="dxa"/>
                  <w:vMerge w:val="continue"/>
                  <w:vAlign w:val="center"/>
                </w:tcPr>
                <w:p w14:paraId="40494E85">
                  <w:pPr>
                    <w:spacing w:line="240" w:lineRule="exact"/>
                    <w:jc w:val="center"/>
                    <w:rPr>
                      <w:rFonts w:hint="default" w:ascii="Times New Roman" w:hAnsi="Times New Roman" w:cs="Times New Roman"/>
                      <w:color w:val="auto"/>
                      <w:sz w:val="18"/>
                      <w:szCs w:val="18"/>
                      <w:highlight w:val="none"/>
                      <w:lang w:val="en-US" w:eastAsia="zh-CN"/>
                    </w:rPr>
                  </w:pPr>
                </w:p>
              </w:tc>
              <w:tc>
                <w:tcPr>
                  <w:tcW w:w="870" w:type="dxa"/>
                  <w:vMerge w:val="continue"/>
                  <w:vAlign w:val="center"/>
                </w:tcPr>
                <w:p w14:paraId="0579391F">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c>
                <w:tcPr>
                  <w:tcW w:w="713" w:type="dxa"/>
                  <w:vMerge w:val="continue"/>
                  <w:vAlign w:val="center"/>
                </w:tcPr>
                <w:p w14:paraId="51A4FE82">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r>
            <w:tr w14:paraId="40785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shd w:val="clear" w:color="auto" w:fill="auto"/>
                  <w:vAlign w:val="center"/>
                </w:tcPr>
                <w:p w14:paraId="46DFFC1C">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入仓</w:t>
                  </w:r>
                </w:p>
              </w:tc>
              <w:tc>
                <w:tcPr>
                  <w:tcW w:w="356" w:type="dxa"/>
                  <w:vMerge w:val="continue"/>
                  <w:vAlign w:val="center"/>
                </w:tcPr>
                <w:p w14:paraId="78F97E20">
                  <w:pPr>
                    <w:spacing w:line="240" w:lineRule="exact"/>
                    <w:jc w:val="center"/>
                    <w:rPr>
                      <w:rFonts w:hint="default" w:ascii="Times New Roman" w:hAnsi="Times New Roman" w:cs="Times New Roman"/>
                      <w:color w:val="auto"/>
                      <w:sz w:val="18"/>
                      <w:szCs w:val="18"/>
                      <w:highlight w:val="none"/>
                    </w:rPr>
                  </w:pPr>
                </w:p>
              </w:tc>
              <w:tc>
                <w:tcPr>
                  <w:tcW w:w="574" w:type="dxa"/>
                  <w:shd w:val="clear" w:color="auto" w:fill="auto"/>
                  <w:vAlign w:val="center"/>
                </w:tcPr>
                <w:p w14:paraId="51409A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601" w:type="dxa"/>
                  <w:shd w:val="clear" w:color="auto" w:fill="auto"/>
                  <w:vAlign w:val="center"/>
                </w:tcPr>
                <w:p w14:paraId="3BDFAA11">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3</w:t>
                  </w:r>
                </w:p>
              </w:tc>
              <w:tc>
                <w:tcPr>
                  <w:tcW w:w="870" w:type="dxa"/>
                  <w:shd w:val="clear" w:color="auto" w:fill="auto"/>
                  <w:vAlign w:val="center"/>
                </w:tcPr>
                <w:p w14:paraId="14931915">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34.7</w:t>
                  </w:r>
                </w:p>
              </w:tc>
              <w:tc>
                <w:tcPr>
                  <w:tcW w:w="813" w:type="dxa"/>
                  <w:shd w:val="clear" w:color="auto" w:fill="auto"/>
                  <w:vAlign w:val="center"/>
                </w:tcPr>
                <w:p w14:paraId="0E779F13">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0.42</w:t>
                  </w:r>
                </w:p>
              </w:tc>
              <w:tc>
                <w:tcPr>
                  <w:tcW w:w="860" w:type="dxa"/>
                  <w:vMerge w:val="continue"/>
                  <w:vAlign w:val="center"/>
                </w:tcPr>
                <w:p w14:paraId="695D3023">
                  <w:pPr>
                    <w:spacing w:line="240" w:lineRule="exact"/>
                    <w:jc w:val="center"/>
                    <w:rPr>
                      <w:rFonts w:hint="default" w:ascii="Times New Roman" w:hAnsi="Times New Roman" w:cs="Times New Roman"/>
                      <w:color w:val="auto"/>
                      <w:sz w:val="18"/>
                      <w:szCs w:val="18"/>
                      <w:highlight w:val="none"/>
                      <w:lang w:val="en-US" w:eastAsia="zh-CN"/>
                    </w:rPr>
                  </w:pPr>
                </w:p>
              </w:tc>
              <w:tc>
                <w:tcPr>
                  <w:tcW w:w="670" w:type="dxa"/>
                  <w:shd w:val="clear" w:color="auto" w:fill="auto"/>
                  <w:vAlign w:val="center"/>
                </w:tcPr>
                <w:p w14:paraId="01D61BC6">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100</w:t>
                  </w:r>
                </w:p>
              </w:tc>
              <w:tc>
                <w:tcPr>
                  <w:tcW w:w="888" w:type="dxa"/>
                  <w:vMerge w:val="continue"/>
                  <w:vAlign w:val="center"/>
                </w:tcPr>
                <w:p w14:paraId="7FA614CB">
                  <w:pPr>
                    <w:spacing w:line="240" w:lineRule="exact"/>
                    <w:jc w:val="center"/>
                    <w:rPr>
                      <w:rFonts w:hint="default" w:ascii="Times New Roman" w:hAnsi="Times New Roman" w:cs="Times New Roman"/>
                      <w:color w:val="auto"/>
                      <w:sz w:val="18"/>
                      <w:szCs w:val="18"/>
                      <w:highlight w:val="none"/>
                    </w:rPr>
                  </w:pPr>
                </w:p>
              </w:tc>
              <w:tc>
                <w:tcPr>
                  <w:tcW w:w="714" w:type="dxa"/>
                  <w:vMerge w:val="continue"/>
                  <w:vAlign w:val="center"/>
                </w:tcPr>
                <w:p w14:paraId="26ABB8E9">
                  <w:pPr>
                    <w:spacing w:line="240" w:lineRule="exact"/>
                    <w:jc w:val="center"/>
                    <w:rPr>
                      <w:rFonts w:hint="default" w:ascii="Times New Roman" w:hAnsi="Times New Roman" w:cs="Times New Roman"/>
                      <w:color w:val="auto"/>
                      <w:sz w:val="18"/>
                      <w:szCs w:val="18"/>
                      <w:highlight w:val="none"/>
                      <w:lang w:val="en-US" w:eastAsia="zh-CN"/>
                    </w:rPr>
                  </w:pPr>
                </w:p>
              </w:tc>
              <w:tc>
                <w:tcPr>
                  <w:tcW w:w="728" w:type="dxa"/>
                  <w:vMerge w:val="continue"/>
                  <w:vAlign w:val="center"/>
                </w:tcPr>
                <w:p w14:paraId="0EA1B42E">
                  <w:pPr>
                    <w:spacing w:line="240" w:lineRule="exact"/>
                    <w:jc w:val="center"/>
                    <w:rPr>
                      <w:rFonts w:hint="default" w:ascii="Times New Roman" w:hAnsi="Times New Roman" w:cs="Times New Roman"/>
                      <w:color w:val="auto"/>
                      <w:sz w:val="18"/>
                      <w:szCs w:val="18"/>
                      <w:highlight w:val="none"/>
                      <w:lang w:val="en-US" w:eastAsia="zh-CN"/>
                    </w:rPr>
                  </w:pPr>
                </w:p>
              </w:tc>
              <w:tc>
                <w:tcPr>
                  <w:tcW w:w="640" w:type="dxa"/>
                  <w:vMerge w:val="continue"/>
                  <w:vAlign w:val="center"/>
                </w:tcPr>
                <w:p w14:paraId="1D51A5F5">
                  <w:pPr>
                    <w:spacing w:line="240" w:lineRule="exact"/>
                    <w:jc w:val="center"/>
                    <w:rPr>
                      <w:rFonts w:hint="default" w:ascii="Times New Roman" w:hAnsi="Times New Roman" w:cs="Times New Roman"/>
                      <w:color w:val="auto"/>
                      <w:sz w:val="18"/>
                      <w:szCs w:val="18"/>
                      <w:highlight w:val="none"/>
                      <w:lang w:val="en-US" w:eastAsia="zh-CN"/>
                    </w:rPr>
                  </w:pPr>
                </w:p>
              </w:tc>
              <w:tc>
                <w:tcPr>
                  <w:tcW w:w="933" w:type="dxa"/>
                  <w:vMerge w:val="continue"/>
                  <w:vAlign w:val="center"/>
                </w:tcPr>
                <w:p w14:paraId="14CA2425">
                  <w:pPr>
                    <w:spacing w:line="240" w:lineRule="exact"/>
                    <w:jc w:val="center"/>
                    <w:rPr>
                      <w:rFonts w:hint="default" w:ascii="Times New Roman" w:hAnsi="Times New Roman" w:cs="Times New Roman"/>
                      <w:color w:val="auto"/>
                      <w:sz w:val="18"/>
                      <w:szCs w:val="18"/>
                      <w:highlight w:val="none"/>
                      <w:lang w:val="en-US" w:eastAsia="zh-CN"/>
                    </w:rPr>
                  </w:pPr>
                </w:p>
              </w:tc>
              <w:tc>
                <w:tcPr>
                  <w:tcW w:w="771" w:type="dxa"/>
                  <w:vMerge w:val="continue"/>
                  <w:vAlign w:val="center"/>
                </w:tcPr>
                <w:p w14:paraId="19A27EB2">
                  <w:pPr>
                    <w:spacing w:line="240" w:lineRule="exact"/>
                    <w:jc w:val="center"/>
                    <w:rPr>
                      <w:rFonts w:hint="default" w:ascii="Times New Roman" w:hAnsi="Times New Roman" w:cs="Times New Roman"/>
                      <w:color w:val="auto"/>
                      <w:sz w:val="18"/>
                      <w:szCs w:val="18"/>
                      <w:highlight w:val="none"/>
                      <w:lang w:val="en-US" w:eastAsia="zh-CN"/>
                    </w:rPr>
                  </w:pPr>
                </w:p>
              </w:tc>
              <w:tc>
                <w:tcPr>
                  <w:tcW w:w="912" w:type="dxa"/>
                  <w:vMerge w:val="continue"/>
                  <w:vAlign w:val="center"/>
                </w:tcPr>
                <w:p w14:paraId="40BFE9E3">
                  <w:pPr>
                    <w:spacing w:line="240" w:lineRule="exact"/>
                    <w:jc w:val="center"/>
                    <w:rPr>
                      <w:rFonts w:hint="default" w:ascii="Times New Roman" w:hAnsi="Times New Roman" w:cs="Times New Roman"/>
                      <w:color w:val="auto"/>
                      <w:sz w:val="18"/>
                      <w:szCs w:val="18"/>
                      <w:highlight w:val="none"/>
                      <w:lang w:val="en-US" w:eastAsia="zh-CN"/>
                    </w:rPr>
                  </w:pPr>
                </w:p>
              </w:tc>
              <w:tc>
                <w:tcPr>
                  <w:tcW w:w="870" w:type="dxa"/>
                  <w:vMerge w:val="continue"/>
                  <w:vAlign w:val="center"/>
                </w:tcPr>
                <w:p w14:paraId="40647782">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c>
                <w:tcPr>
                  <w:tcW w:w="713" w:type="dxa"/>
                  <w:vMerge w:val="continue"/>
                  <w:vAlign w:val="center"/>
                </w:tcPr>
                <w:p w14:paraId="60F66780">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r>
            <w:tr w14:paraId="5C932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shd w:val="clear" w:color="auto" w:fill="auto"/>
                  <w:vAlign w:val="center"/>
                </w:tcPr>
                <w:p w14:paraId="26BB4014">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包膜、包装</w:t>
                  </w:r>
                </w:p>
              </w:tc>
              <w:tc>
                <w:tcPr>
                  <w:tcW w:w="356" w:type="dxa"/>
                  <w:vMerge w:val="continue"/>
                  <w:vAlign w:val="center"/>
                </w:tcPr>
                <w:p w14:paraId="1A7870EC">
                  <w:pPr>
                    <w:spacing w:line="240" w:lineRule="exact"/>
                    <w:jc w:val="center"/>
                    <w:rPr>
                      <w:rFonts w:hint="default" w:ascii="Times New Roman" w:hAnsi="Times New Roman" w:cs="Times New Roman"/>
                      <w:color w:val="auto"/>
                      <w:sz w:val="18"/>
                      <w:szCs w:val="18"/>
                      <w:highlight w:val="none"/>
                    </w:rPr>
                  </w:pPr>
                </w:p>
              </w:tc>
              <w:tc>
                <w:tcPr>
                  <w:tcW w:w="574" w:type="dxa"/>
                  <w:shd w:val="clear" w:color="auto" w:fill="auto"/>
                  <w:vAlign w:val="center"/>
                </w:tcPr>
                <w:p w14:paraId="401EEFD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601" w:type="dxa"/>
                  <w:shd w:val="clear" w:color="auto" w:fill="auto"/>
                  <w:vAlign w:val="center"/>
                </w:tcPr>
                <w:p w14:paraId="5374365F">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3.563</w:t>
                  </w:r>
                </w:p>
              </w:tc>
              <w:tc>
                <w:tcPr>
                  <w:tcW w:w="870" w:type="dxa"/>
                  <w:shd w:val="clear" w:color="auto" w:fill="auto"/>
                  <w:vAlign w:val="center"/>
                </w:tcPr>
                <w:p w14:paraId="7136301F">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41.2</w:t>
                  </w:r>
                </w:p>
              </w:tc>
              <w:tc>
                <w:tcPr>
                  <w:tcW w:w="813" w:type="dxa"/>
                  <w:shd w:val="clear" w:color="auto" w:fill="auto"/>
                  <w:vAlign w:val="center"/>
                </w:tcPr>
                <w:p w14:paraId="24C709A9">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0.49</w:t>
                  </w:r>
                </w:p>
              </w:tc>
              <w:tc>
                <w:tcPr>
                  <w:tcW w:w="860" w:type="dxa"/>
                  <w:vMerge w:val="continue"/>
                  <w:vAlign w:val="center"/>
                </w:tcPr>
                <w:p w14:paraId="15086CCE">
                  <w:pPr>
                    <w:spacing w:line="240" w:lineRule="exact"/>
                    <w:jc w:val="center"/>
                    <w:rPr>
                      <w:rFonts w:hint="default" w:ascii="Times New Roman" w:hAnsi="Times New Roman" w:cs="Times New Roman"/>
                      <w:color w:val="auto"/>
                      <w:sz w:val="18"/>
                      <w:szCs w:val="18"/>
                      <w:highlight w:val="none"/>
                      <w:lang w:val="en-US" w:eastAsia="zh-CN"/>
                    </w:rPr>
                  </w:pPr>
                </w:p>
              </w:tc>
              <w:tc>
                <w:tcPr>
                  <w:tcW w:w="670" w:type="dxa"/>
                  <w:shd w:val="clear" w:color="auto" w:fill="auto"/>
                  <w:vAlign w:val="center"/>
                </w:tcPr>
                <w:p w14:paraId="3478A948">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95</w:t>
                  </w:r>
                </w:p>
              </w:tc>
              <w:tc>
                <w:tcPr>
                  <w:tcW w:w="888" w:type="dxa"/>
                  <w:vMerge w:val="continue"/>
                  <w:vAlign w:val="center"/>
                </w:tcPr>
                <w:p w14:paraId="2B5EB985">
                  <w:pPr>
                    <w:spacing w:line="240" w:lineRule="exact"/>
                    <w:jc w:val="center"/>
                    <w:rPr>
                      <w:rFonts w:hint="default" w:ascii="Times New Roman" w:hAnsi="Times New Roman" w:cs="Times New Roman"/>
                      <w:color w:val="auto"/>
                      <w:sz w:val="18"/>
                      <w:szCs w:val="18"/>
                      <w:highlight w:val="none"/>
                    </w:rPr>
                  </w:pPr>
                </w:p>
              </w:tc>
              <w:tc>
                <w:tcPr>
                  <w:tcW w:w="714" w:type="dxa"/>
                  <w:vMerge w:val="continue"/>
                  <w:vAlign w:val="center"/>
                </w:tcPr>
                <w:p w14:paraId="78C03D46">
                  <w:pPr>
                    <w:spacing w:line="240" w:lineRule="exact"/>
                    <w:jc w:val="center"/>
                    <w:rPr>
                      <w:rFonts w:hint="default" w:ascii="Times New Roman" w:hAnsi="Times New Roman" w:cs="Times New Roman"/>
                      <w:color w:val="auto"/>
                      <w:sz w:val="18"/>
                      <w:szCs w:val="18"/>
                      <w:highlight w:val="none"/>
                      <w:lang w:val="en-US" w:eastAsia="zh-CN"/>
                    </w:rPr>
                  </w:pPr>
                </w:p>
              </w:tc>
              <w:tc>
                <w:tcPr>
                  <w:tcW w:w="728" w:type="dxa"/>
                  <w:vMerge w:val="continue"/>
                  <w:vAlign w:val="center"/>
                </w:tcPr>
                <w:p w14:paraId="31604130">
                  <w:pPr>
                    <w:spacing w:line="240" w:lineRule="exact"/>
                    <w:jc w:val="center"/>
                    <w:rPr>
                      <w:rFonts w:hint="default" w:ascii="Times New Roman" w:hAnsi="Times New Roman" w:cs="Times New Roman"/>
                      <w:color w:val="auto"/>
                      <w:sz w:val="18"/>
                      <w:szCs w:val="18"/>
                      <w:highlight w:val="none"/>
                      <w:lang w:val="en-US" w:eastAsia="zh-CN"/>
                    </w:rPr>
                  </w:pPr>
                </w:p>
              </w:tc>
              <w:tc>
                <w:tcPr>
                  <w:tcW w:w="640" w:type="dxa"/>
                  <w:vMerge w:val="continue"/>
                  <w:vAlign w:val="center"/>
                </w:tcPr>
                <w:p w14:paraId="0678A6C0">
                  <w:pPr>
                    <w:spacing w:line="240" w:lineRule="exact"/>
                    <w:jc w:val="center"/>
                    <w:rPr>
                      <w:rFonts w:hint="default" w:ascii="Times New Roman" w:hAnsi="Times New Roman" w:cs="Times New Roman"/>
                      <w:color w:val="auto"/>
                      <w:sz w:val="18"/>
                      <w:szCs w:val="18"/>
                      <w:highlight w:val="none"/>
                      <w:lang w:val="en-US" w:eastAsia="zh-CN"/>
                    </w:rPr>
                  </w:pPr>
                </w:p>
              </w:tc>
              <w:tc>
                <w:tcPr>
                  <w:tcW w:w="933" w:type="dxa"/>
                  <w:vMerge w:val="continue"/>
                  <w:vAlign w:val="center"/>
                </w:tcPr>
                <w:p w14:paraId="66A764DB">
                  <w:pPr>
                    <w:spacing w:line="240" w:lineRule="exact"/>
                    <w:jc w:val="center"/>
                    <w:rPr>
                      <w:rFonts w:hint="default" w:ascii="Times New Roman" w:hAnsi="Times New Roman" w:cs="Times New Roman"/>
                      <w:color w:val="auto"/>
                      <w:sz w:val="18"/>
                      <w:szCs w:val="18"/>
                      <w:highlight w:val="none"/>
                      <w:lang w:val="en-US" w:eastAsia="zh-CN"/>
                    </w:rPr>
                  </w:pPr>
                </w:p>
              </w:tc>
              <w:tc>
                <w:tcPr>
                  <w:tcW w:w="771" w:type="dxa"/>
                  <w:vMerge w:val="continue"/>
                  <w:vAlign w:val="center"/>
                </w:tcPr>
                <w:p w14:paraId="285C10B9">
                  <w:pPr>
                    <w:spacing w:line="240" w:lineRule="exact"/>
                    <w:jc w:val="center"/>
                    <w:rPr>
                      <w:rFonts w:hint="default" w:ascii="Times New Roman" w:hAnsi="Times New Roman" w:cs="Times New Roman"/>
                      <w:color w:val="auto"/>
                      <w:sz w:val="18"/>
                      <w:szCs w:val="18"/>
                      <w:highlight w:val="none"/>
                      <w:lang w:val="en-US" w:eastAsia="zh-CN"/>
                    </w:rPr>
                  </w:pPr>
                </w:p>
              </w:tc>
              <w:tc>
                <w:tcPr>
                  <w:tcW w:w="912" w:type="dxa"/>
                  <w:vMerge w:val="continue"/>
                  <w:vAlign w:val="center"/>
                </w:tcPr>
                <w:p w14:paraId="38ADEAB2">
                  <w:pPr>
                    <w:spacing w:line="240" w:lineRule="exact"/>
                    <w:jc w:val="center"/>
                    <w:rPr>
                      <w:rFonts w:hint="default" w:ascii="Times New Roman" w:hAnsi="Times New Roman" w:cs="Times New Roman"/>
                      <w:color w:val="auto"/>
                      <w:sz w:val="18"/>
                      <w:szCs w:val="18"/>
                      <w:highlight w:val="none"/>
                      <w:lang w:val="en-US" w:eastAsia="zh-CN"/>
                    </w:rPr>
                  </w:pPr>
                </w:p>
              </w:tc>
              <w:tc>
                <w:tcPr>
                  <w:tcW w:w="870" w:type="dxa"/>
                  <w:vMerge w:val="continue"/>
                  <w:vAlign w:val="center"/>
                </w:tcPr>
                <w:p w14:paraId="2170D7F2">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c>
                <w:tcPr>
                  <w:tcW w:w="713" w:type="dxa"/>
                  <w:vMerge w:val="continue"/>
                  <w:vAlign w:val="center"/>
                </w:tcPr>
                <w:p w14:paraId="5F3B1104">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r>
            <w:tr w14:paraId="3DCB5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shd w:val="clear" w:color="auto" w:fill="auto"/>
                  <w:vAlign w:val="center"/>
                </w:tcPr>
                <w:p w14:paraId="769249E0">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原料破碎、筛分</w:t>
                  </w:r>
                </w:p>
              </w:tc>
              <w:tc>
                <w:tcPr>
                  <w:tcW w:w="356" w:type="dxa"/>
                  <w:vMerge w:val="restart"/>
                  <w:vAlign w:val="center"/>
                </w:tcPr>
                <w:p w14:paraId="50D07C43">
                  <w:pPr>
                    <w:spacing w:line="240" w:lineRule="exact"/>
                    <w:jc w:val="center"/>
                    <w:rPr>
                      <w:rFonts w:hint="default" w:ascii="Times New Roman" w:hAnsi="Times New Roman" w:cs="Times New Roman"/>
                      <w:color w:val="auto"/>
                      <w:sz w:val="18"/>
                      <w:szCs w:val="18"/>
                      <w:highlight w:val="none"/>
                    </w:rPr>
                  </w:pPr>
                  <w:r>
                    <w:rPr>
                      <w:rFonts w:hint="eastAsia" w:cs="Times New Roman"/>
                      <w:bCs/>
                      <w:color w:val="auto"/>
                      <w:kern w:val="2"/>
                      <w:sz w:val="18"/>
                      <w:szCs w:val="18"/>
                      <w:highlight w:val="none"/>
                      <w:vertAlign w:val="baseline"/>
                      <w:lang w:val="en-US" w:eastAsia="zh-CN" w:bidi="ar-SA"/>
                    </w:rPr>
                    <w:t>DA003有组织</w:t>
                  </w:r>
                </w:p>
              </w:tc>
              <w:tc>
                <w:tcPr>
                  <w:tcW w:w="574" w:type="dxa"/>
                  <w:shd w:val="clear" w:color="auto" w:fill="auto"/>
                  <w:vAlign w:val="center"/>
                </w:tcPr>
                <w:p w14:paraId="6B3BF9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601" w:type="dxa"/>
                  <w:shd w:val="clear" w:color="auto" w:fill="auto"/>
                  <w:vAlign w:val="center"/>
                </w:tcPr>
                <w:p w14:paraId="61BA3316">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3.8</w:t>
                  </w:r>
                </w:p>
              </w:tc>
              <w:tc>
                <w:tcPr>
                  <w:tcW w:w="870" w:type="dxa"/>
                  <w:shd w:val="clear" w:color="auto" w:fill="auto"/>
                  <w:vAlign w:val="center"/>
                </w:tcPr>
                <w:p w14:paraId="2630A2A0">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26.4</w:t>
                  </w:r>
                </w:p>
              </w:tc>
              <w:tc>
                <w:tcPr>
                  <w:tcW w:w="813" w:type="dxa"/>
                  <w:shd w:val="clear" w:color="auto" w:fill="auto"/>
                  <w:vAlign w:val="center"/>
                </w:tcPr>
                <w:p w14:paraId="038BB564">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0.53</w:t>
                  </w:r>
                </w:p>
              </w:tc>
              <w:tc>
                <w:tcPr>
                  <w:tcW w:w="860" w:type="dxa"/>
                  <w:vMerge w:val="restart"/>
                  <w:vAlign w:val="center"/>
                </w:tcPr>
                <w:p w14:paraId="67458891">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20000</w:t>
                  </w:r>
                </w:p>
              </w:tc>
              <w:tc>
                <w:tcPr>
                  <w:tcW w:w="670" w:type="dxa"/>
                  <w:shd w:val="clear" w:color="auto" w:fill="auto"/>
                  <w:vAlign w:val="center"/>
                </w:tcPr>
                <w:p w14:paraId="5664DE11">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95</w:t>
                  </w:r>
                </w:p>
              </w:tc>
              <w:tc>
                <w:tcPr>
                  <w:tcW w:w="888" w:type="dxa"/>
                  <w:vMerge w:val="restart"/>
                  <w:shd w:val="clear" w:color="auto" w:fill="auto"/>
                  <w:vAlign w:val="center"/>
                </w:tcPr>
                <w:p w14:paraId="6DFDC3BD">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布袋除尘器</w:t>
                  </w:r>
                </w:p>
              </w:tc>
              <w:tc>
                <w:tcPr>
                  <w:tcW w:w="714" w:type="dxa"/>
                  <w:vMerge w:val="restart"/>
                  <w:shd w:val="clear" w:color="auto" w:fill="auto"/>
                  <w:vAlign w:val="center"/>
                </w:tcPr>
                <w:p w14:paraId="7933DF86">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99</w:t>
                  </w:r>
                </w:p>
              </w:tc>
              <w:tc>
                <w:tcPr>
                  <w:tcW w:w="728" w:type="dxa"/>
                  <w:vMerge w:val="restart"/>
                  <w:shd w:val="clear" w:color="auto" w:fill="auto"/>
                  <w:vAlign w:val="center"/>
                </w:tcPr>
                <w:p w14:paraId="6AB5E30D">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是</w:t>
                  </w:r>
                </w:p>
              </w:tc>
              <w:tc>
                <w:tcPr>
                  <w:tcW w:w="640" w:type="dxa"/>
                  <w:vMerge w:val="restart"/>
                  <w:shd w:val="clear" w:color="auto" w:fill="auto"/>
                  <w:vAlign w:val="center"/>
                </w:tcPr>
                <w:p w14:paraId="1764F919">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0.219</w:t>
                  </w:r>
                </w:p>
              </w:tc>
              <w:tc>
                <w:tcPr>
                  <w:tcW w:w="933" w:type="dxa"/>
                  <w:vMerge w:val="restart"/>
                  <w:shd w:val="clear" w:color="auto" w:fill="auto"/>
                  <w:vAlign w:val="center"/>
                </w:tcPr>
                <w:p w14:paraId="17EA6DBC">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771" w:type="dxa"/>
                  <w:vMerge w:val="restart"/>
                  <w:shd w:val="clear" w:color="auto" w:fill="auto"/>
                  <w:vAlign w:val="center"/>
                </w:tcPr>
                <w:p w14:paraId="79257D4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0.03</w:t>
                  </w:r>
                </w:p>
              </w:tc>
              <w:tc>
                <w:tcPr>
                  <w:tcW w:w="912" w:type="dxa"/>
                  <w:vMerge w:val="restart"/>
                  <w:shd w:val="clear" w:color="auto" w:fill="auto"/>
                  <w:vAlign w:val="center"/>
                </w:tcPr>
                <w:p w14:paraId="4E3239A2">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7200</w:t>
                  </w:r>
                </w:p>
              </w:tc>
              <w:tc>
                <w:tcPr>
                  <w:tcW w:w="870" w:type="dxa"/>
                  <w:vMerge w:val="restart"/>
                  <w:shd w:val="clear" w:color="auto" w:fill="auto"/>
                  <w:vAlign w:val="center"/>
                </w:tcPr>
                <w:p w14:paraId="6D024D18">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10</w:t>
                  </w:r>
                </w:p>
              </w:tc>
              <w:tc>
                <w:tcPr>
                  <w:tcW w:w="713" w:type="dxa"/>
                  <w:vMerge w:val="restart"/>
                  <w:shd w:val="clear" w:color="auto" w:fill="auto"/>
                  <w:vAlign w:val="center"/>
                </w:tcPr>
                <w:p w14:paraId="10DB8977">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w:t>
                  </w:r>
                </w:p>
              </w:tc>
            </w:tr>
            <w:tr w14:paraId="41C36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shd w:val="clear" w:color="auto" w:fill="auto"/>
                  <w:vAlign w:val="center"/>
                </w:tcPr>
                <w:p w14:paraId="55C6C0E5">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配料</w:t>
                  </w:r>
                </w:p>
              </w:tc>
              <w:tc>
                <w:tcPr>
                  <w:tcW w:w="356" w:type="dxa"/>
                  <w:vMerge w:val="continue"/>
                  <w:vAlign w:val="center"/>
                </w:tcPr>
                <w:p w14:paraId="74F5BC71">
                  <w:pPr>
                    <w:spacing w:line="240" w:lineRule="exact"/>
                    <w:jc w:val="center"/>
                    <w:rPr>
                      <w:rFonts w:hint="default" w:ascii="Times New Roman" w:hAnsi="Times New Roman" w:cs="Times New Roman"/>
                      <w:color w:val="auto"/>
                      <w:sz w:val="18"/>
                      <w:szCs w:val="18"/>
                      <w:highlight w:val="none"/>
                    </w:rPr>
                  </w:pPr>
                </w:p>
              </w:tc>
              <w:tc>
                <w:tcPr>
                  <w:tcW w:w="574" w:type="dxa"/>
                  <w:shd w:val="clear" w:color="auto" w:fill="auto"/>
                  <w:vAlign w:val="center"/>
                </w:tcPr>
                <w:p w14:paraId="6BF4FF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601" w:type="dxa"/>
                  <w:shd w:val="clear" w:color="auto" w:fill="auto"/>
                  <w:vAlign w:val="center"/>
                </w:tcPr>
                <w:p w14:paraId="4B9D98BF">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2.841</w:t>
                  </w:r>
                </w:p>
              </w:tc>
              <w:tc>
                <w:tcPr>
                  <w:tcW w:w="870" w:type="dxa"/>
                  <w:shd w:val="clear" w:color="auto" w:fill="auto"/>
                  <w:vAlign w:val="center"/>
                </w:tcPr>
                <w:p w14:paraId="15992F90">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19.7</w:t>
                  </w:r>
                </w:p>
              </w:tc>
              <w:tc>
                <w:tcPr>
                  <w:tcW w:w="813" w:type="dxa"/>
                  <w:shd w:val="clear" w:color="auto" w:fill="auto"/>
                  <w:vAlign w:val="center"/>
                </w:tcPr>
                <w:p w14:paraId="76FA5A3B">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0.39</w:t>
                  </w:r>
                </w:p>
              </w:tc>
              <w:tc>
                <w:tcPr>
                  <w:tcW w:w="860" w:type="dxa"/>
                  <w:vMerge w:val="continue"/>
                  <w:vAlign w:val="center"/>
                </w:tcPr>
                <w:p w14:paraId="5A18A3E0">
                  <w:pPr>
                    <w:spacing w:line="240" w:lineRule="exact"/>
                    <w:jc w:val="center"/>
                    <w:rPr>
                      <w:rFonts w:hint="default" w:ascii="Times New Roman" w:hAnsi="Times New Roman" w:cs="Times New Roman"/>
                      <w:color w:val="auto"/>
                      <w:sz w:val="18"/>
                      <w:szCs w:val="18"/>
                      <w:highlight w:val="none"/>
                      <w:lang w:val="en-US" w:eastAsia="zh-CN"/>
                    </w:rPr>
                  </w:pPr>
                </w:p>
              </w:tc>
              <w:tc>
                <w:tcPr>
                  <w:tcW w:w="670" w:type="dxa"/>
                  <w:shd w:val="clear" w:color="auto" w:fill="auto"/>
                  <w:vAlign w:val="center"/>
                </w:tcPr>
                <w:p w14:paraId="4983FBEF">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95</w:t>
                  </w:r>
                </w:p>
              </w:tc>
              <w:tc>
                <w:tcPr>
                  <w:tcW w:w="888" w:type="dxa"/>
                  <w:vMerge w:val="continue"/>
                  <w:vAlign w:val="center"/>
                </w:tcPr>
                <w:p w14:paraId="0C50A0BA">
                  <w:pPr>
                    <w:spacing w:line="240" w:lineRule="exact"/>
                    <w:jc w:val="center"/>
                    <w:rPr>
                      <w:rFonts w:hint="default" w:ascii="Times New Roman" w:hAnsi="Times New Roman" w:cs="Times New Roman"/>
                      <w:color w:val="auto"/>
                      <w:sz w:val="18"/>
                      <w:szCs w:val="18"/>
                      <w:highlight w:val="none"/>
                    </w:rPr>
                  </w:pPr>
                </w:p>
              </w:tc>
              <w:tc>
                <w:tcPr>
                  <w:tcW w:w="714" w:type="dxa"/>
                  <w:vMerge w:val="continue"/>
                  <w:vAlign w:val="center"/>
                </w:tcPr>
                <w:p w14:paraId="6DC75A66">
                  <w:pPr>
                    <w:spacing w:line="240" w:lineRule="exact"/>
                    <w:jc w:val="center"/>
                    <w:rPr>
                      <w:rFonts w:hint="default" w:ascii="Times New Roman" w:hAnsi="Times New Roman" w:cs="Times New Roman"/>
                      <w:color w:val="auto"/>
                      <w:sz w:val="18"/>
                      <w:szCs w:val="18"/>
                      <w:highlight w:val="none"/>
                      <w:lang w:val="en-US" w:eastAsia="zh-CN"/>
                    </w:rPr>
                  </w:pPr>
                </w:p>
              </w:tc>
              <w:tc>
                <w:tcPr>
                  <w:tcW w:w="728" w:type="dxa"/>
                  <w:vMerge w:val="continue"/>
                  <w:vAlign w:val="center"/>
                </w:tcPr>
                <w:p w14:paraId="745A83BB">
                  <w:pPr>
                    <w:spacing w:line="240" w:lineRule="exact"/>
                    <w:jc w:val="center"/>
                    <w:rPr>
                      <w:rFonts w:hint="default" w:ascii="Times New Roman" w:hAnsi="Times New Roman" w:cs="Times New Roman"/>
                      <w:color w:val="auto"/>
                      <w:sz w:val="18"/>
                      <w:szCs w:val="18"/>
                      <w:highlight w:val="none"/>
                      <w:lang w:val="en-US" w:eastAsia="zh-CN"/>
                    </w:rPr>
                  </w:pPr>
                </w:p>
              </w:tc>
              <w:tc>
                <w:tcPr>
                  <w:tcW w:w="640" w:type="dxa"/>
                  <w:vMerge w:val="continue"/>
                  <w:vAlign w:val="center"/>
                </w:tcPr>
                <w:p w14:paraId="2DCE0119">
                  <w:pPr>
                    <w:spacing w:line="240" w:lineRule="exact"/>
                    <w:jc w:val="center"/>
                    <w:rPr>
                      <w:rFonts w:hint="default" w:ascii="Times New Roman" w:hAnsi="Times New Roman" w:cs="Times New Roman"/>
                      <w:color w:val="auto"/>
                      <w:sz w:val="18"/>
                      <w:szCs w:val="18"/>
                      <w:highlight w:val="none"/>
                      <w:lang w:val="en-US" w:eastAsia="zh-CN"/>
                    </w:rPr>
                  </w:pPr>
                </w:p>
              </w:tc>
              <w:tc>
                <w:tcPr>
                  <w:tcW w:w="933" w:type="dxa"/>
                  <w:vMerge w:val="continue"/>
                  <w:vAlign w:val="center"/>
                </w:tcPr>
                <w:p w14:paraId="102A54C9">
                  <w:pPr>
                    <w:spacing w:line="240" w:lineRule="exact"/>
                    <w:jc w:val="center"/>
                    <w:rPr>
                      <w:rFonts w:hint="default" w:ascii="Times New Roman" w:hAnsi="Times New Roman" w:cs="Times New Roman"/>
                      <w:color w:val="auto"/>
                      <w:sz w:val="18"/>
                      <w:szCs w:val="18"/>
                      <w:highlight w:val="none"/>
                      <w:lang w:val="en-US" w:eastAsia="zh-CN"/>
                    </w:rPr>
                  </w:pPr>
                </w:p>
              </w:tc>
              <w:tc>
                <w:tcPr>
                  <w:tcW w:w="771" w:type="dxa"/>
                  <w:vMerge w:val="continue"/>
                  <w:vAlign w:val="center"/>
                </w:tcPr>
                <w:p w14:paraId="6E214741">
                  <w:pPr>
                    <w:spacing w:line="240" w:lineRule="exact"/>
                    <w:jc w:val="center"/>
                    <w:rPr>
                      <w:rFonts w:hint="default" w:ascii="Times New Roman" w:hAnsi="Times New Roman" w:cs="Times New Roman"/>
                      <w:color w:val="auto"/>
                      <w:sz w:val="18"/>
                      <w:szCs w:val="18"/>
                      <w:highlight w:val="none"/>
                      <w:lang w:val="en-US" w:eastAsia="zh-CN"/>
                    </w:rPr>
                  </w:pPr>
                </w:p>
              </w:tc>
              <w:tc>
                <w:tcPr>
                  <w:tcW w:w="912" w:type="dxa"/>
                  <w:vMerge w:val="continue"/>
                  <w:vAlign w:val="center"/>
                </w:tcPr>
                <w:p w14:paraId="30C4172C">
                  <w:pPr>
                    <w:spacing w:line="240" w:lineRule="exact"/>
                    <w:jc w:val="center"/>
                    <w:rPr>
                      <w:rFonts w:hint="default" w:ascii="Times New Roman" w:hAnsi="Times New Roman" w:cs="Times New Roman"/>
                      <w:color w:val="auto"/>
                      <w:sz w:val="18"/>
                      <w:szCs w:val="18"/>
                      <w:highlight w:val="none"/>
                      <w:lang w:val="en-US" w:eastAsia="zh-CN"/>
                    </w:rPr>
                  </w:pPr>
                </w:p>
              </w:tc>
              <w:tc>
                <w:tcPr>
                  <w:tcW w:w="870" w:type="dxa"/>
                  <w:vMerge w:val="continue"/>
                  <w:vAlign w:val="center"/>
                </w:tcPr>
                <w:p w14:paraId="59B7AB79">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c>
                <w:tcPr>
                  <w:tcW w:w="713" w:type="dxa"/>
                  <w:vMerge w:val="continue"/>
                  <w:vAlign w:val="center"/>
                </w:tcPr>
                <w:p w14:paraId="53FE1617">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r>
            <w:tr w14:paraId="74472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shd w:val="clear" w:color="auto" w:fill="auto"/>
                  <w:vAlign w:val="center"/>
                </w:tcPr>
                <w:p w14:paraId="7980A036">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部分筛分</w:t>
                  </w:r>
                </w:p>
              </w:tc>
              <w:tc>
                <w:tcPr>
                  <w:tcW w:w="356" w:type="dxa"/>
                  <w:vMerge w:val="continue"/>
                  <w:vAlign w:val="center"/>
                </w:tcPr>
                <w:p w14:paraId="6927F6F9">
                  <w:pPr>
                    <w:spacing w:line="240" w:lineRule="exact"/>
                    <w:jc w:val="center"/>
                    <w:rPr>
                      <w:rFonts w:hint="default" w:ascii="Times New Roman" w:hAnsi="Times New Roman" w:cs="Times New Roman"/>
                      <w:color w:val="auto"/>
                      <w:sz w:val="18"/>
                      <w:szCs w:val="18"/>
                      <w:highlight w:val="none"/>
                    </w:rPr>
                  </w:pPr>
                </w:p>
              </w:tc>
              <w:tc>
                <w:tcPr>
                  <w:tcW w:w="574" w:type="dxa"/>
                  <w:shd w:val="clear" w:color="auto" w:fill="auto"/>
                  <w:vAlign w:val="center"/>
                </w:tcPr>
                <w:p w14:paraId="718E18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601" w:type="dxa"/>
                  <w:shd w:val="clear" w:color="auto" w:fill="auto"/>
                  <w:vAlign w:val="center"/>
                </w:tcPr>
                <w:p w14:paraId="27BED4C7">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1.421</w:t>
                  </w:r>
                </w:p>
              </w:tc>
              <w:tc>
                <w:tcPr>
                  <w:tcW w:w="870" w:type="dxa"/>
                  <w:shd w:val="clear" w:color="auto" w:fill="auto"/>
                  <w:vAlign w:val="center"/>
                </w:tcPr>
                <w:p w14:paraId="5094A752">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9.9</w:t>
                  </w:r>
                </w:p>
              </w:tc>
              <w:tc>
                <w:tcPr>
                  <w:tcW w:w="813" w:type="dxa"/>
                  <w:shd w:val="clear" w:color="auto" w:fill="auto"/>
                  <w:vAlign w:val="center"/>
                </w:tcPr>
                <w:p w14:paraId="0C1869CF">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0.2</w:t>
                  </w:r>
                </w:p>
              </w:tc>
              <w:tc>
                <w:tcPr>
                  <w:tcW w:w="860" w:type="dxa"/>
                  <w:vMerge w:val="continue"/>
                  <w:vAlign w:val="center"/>
                </w:tcPr>
                <w:p w14:paraId="398820CB">
                  <w:pPr>
                    <w:spacing w:line="240" w:lineRule="exact"/>
                    <w:jc w:val="center"/>
                    <w:rPr>
                      <w:rFonts w:hint="default" w:ascii="Times New Roman" w:hAnsi="Times New Roman" w:cs="Times New Roman"/>
                      <w:color w:val="auto"/>
                      <w:sz w:val="18"/>
                      <w:szCs w:val="18"/>
                      <w:highlight w:val="none"/>
                      <w:lang w:val="en-US" w:eastAsia="zh-CN"/>
                    </w:rPr>
                  </w:pPr>
                </w:p>
              </w:tc>
              <w:tc>
                <w:tcPr>
                  <w:tcW w:w="670" w:type="dxa"/>
                  <w:shd w:val="clear" w:color="auto" w:fill="auto"/>
                  <w:vAlign w:val="center"/>
                </w:tcPr>
                <w:p w14:paraId="298C4D38">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95</w:t>
                  </w:r>
                </w:p>
              </w:tc>
              <w:tc>
                <w:tcPr>
                  <w:tcW w:w="888" w:type="dxa"/>
                  <w:vMerge w:val="continue"/>
                  <w:vAlign w:val="center"/>
                </w:tcPr>
                <w:p w14:paraId="6B3269BC">
                  <w:pPr>
                    <w:spacing w:line="240" w:lineRule="exact"/>
                    <w:jc w:val="center"/>
                    <w:rPr>
                      <w:rFonts w:hint="default" w:ascii="Times New Roman" w:hAnsi="Times New Roman" w:cs="Times New Roman"/>
                      <w:color w:val="auto"/>
                      <w:sz w:val="18"/>
                      <w:szCs w:val="18"/>
                      <w:highlight w:val="none"/>
                    </w:rPr>
                  </w:pPr>
                </w:p>
              </w:tc>
              <w:tc>
                <w:tcPr>
                  <w:tcW w:w="714" w:type="dxa"/>
                  <w:vMerge w:val="continue"/>
                  <w:vAlign w:val="center"/>
                </w:tcPr>
                <w:p w14:paraId="53DFB7CB">
                  <w:pPr>
                    <w:spacing w:line="240" w:lineRule="exact"/>
                    <w:jc w:val="center"/>
                    <w:rPr>
                      <w:rFonts w:hint="default" w:ascii="Times New Roman" w:hAnsi="Times New Roman" w:cs="Times New Roman"/>
                      <w:color w:val="auto"/>
                      <w:sz w:val="18"/>
                      <w:szCs w:val="18"/>
                      <w:highlight w:val="none"/>
                      <w:lang w:val="en-US" w:eastAsia="zh-CN"/>
                    </w:rPr>
                  </w:pPr>
                </w:p>
              </w:tc>
              <w:tc>
                <w:tcPr>
                  <w:tcW w:w="728" w:type="dxa"/>
                  <w:vMerge w:val="continue"/>
                  <w:vAlign w:val="center"/>
                </w:tcPr>
                <w:p w14:paraId="1B704310">
                  <w:pPr>
                    <w:spacing w:line="240" w:lineRule="exact"/>
                    <w:jc w:val="center"/>
                    <w:rPr>
                      <w:rFonts w:hint="default" w:ascii="Times New Roman" w:hAnsi="Times New Roman" w:cs="Times New Roman"/>
                      <w:color w:val="auto"/>
                      <w:sz w:val="18"/>
                      <w:szCs w:val="18"/>
                      <w:highlight w:val="none"/>
                      <w:lang w:val="en-US" w:eastAsia="zh-CN"/>
                    </w:rPr>
                  </w:pPr>
                </w:p>
              </w:tc>
              <w:tc>
                <w:tcPr>
                  <w:tcW w:w="640" w:type="dxa"/>
                  <w:vMerge w:val="continue"/>
                  <w:vAlign w:val="center"/>
                </w:tcPr>
                <w:p w14:paraId="018CA970">
                  <w:pPr>
                    <w:spacing w:line="240" w:lineRule="exact"/>
                    <w:jc w:val="center"/>
                    <w:rPr>
                      <w:rFonts w:hint="default" w:ascii="Times New Roman" w:hAnsi="Times New Roman" w:cs="Times New Roman"/>
                      <w:color w:val="auto"/>
                      <w:sz w:val="18"/>
                      <w:szCs w:val="18"/>
                      <w:highlight w:val="none"/>
                      <w:lang w:val="en-US" w:eastAsia="zh-CN"/>
                    </w:rPr>
                  </w:pPr>
                </w:p>
              </w:tc>
              <w:tc>
                <w:tcPr>
                  <w:tcW w:w="933" w:type="dxa"/>
                  <w:vMerge w:val="continue"/>
                  <w:vAlign w:val="center"/>
                </w:tcPr>
                <w:p w14:paraId="6059FCFA">
                  <w:pPr>
                    <w:spacing w:line="240" w:lineRule="exact"/>
                    <w:jc w:val="center"/>
                    <w:rPr>
                      <w:rFonts w:hint="default" w:ascii="Times New Roman" w:hAnsi="Times New Roman" w:cs="Times New Roman"/>
                      <w:color w:val="auto"/>
                      <w:sz w:val="18"/>
                      <w:szCs w:val="18"/>
                      <w:highlight w:val="none"/>
                      <w:lang w:val="en-US" w:eastAsia="zh-CN"/>
                    </w:rPr>
                  </w:pPr>
                </w:p>
              </w:tc>
              <w:tc>
                <w:tcPr>
                  <w:tcW w:w="771" w:type="dxa"/>
                  <w:vMerge w:val="continue"/>
                  <w:vAlign w:val="center"/>
                </w:tcPr>
                <w:p w14:paraId="6ABBF05C">
                  <w:pPr>
                    <w:spacing w:line="240" w:lineRule="exact"/>
                    <w:jc w:val="center"/>
                    <w:rPr>
                      <w:rFonts w:hint="default" w:ascii="Times New Roman" w:hAnsi="Times New Roman" w:cs="Times New Roman"/>
                      <w:color w:val="auto"/>
                      <w:sz w:val="18"/>
                      <w:szCs w:val="18"/>
                      <w:highlight w:val="none"/>
                      <w:lang w:val="en-US" w:eastAsia="zh-CN"/>
                    </w:rPr>
                  </w:pPr>
                </w:p>
              </w:tc>
              <w:tc>
                <w:tcPr>
                  <w:tcW w:w="912" w:type="dxa"/>
                  <w:vMerge w:val="continue"/>
                  <w:vAlign w:val="center"/>
                </w:tcPr>
                <w:p w14:paraId="61DFA37D">
                  <w:pPr>
                    <w:spacing w:line="240" w:lineRule="exact"/>
                    <w:jc w:val="center"/>
                    <w:rPr>
                      <w:rFonts w:hint="default" w:ascii="Times New Roman" w:hAnsi="Times New Roman" w:cs="Times New Roman"/>
                      <w:color w:val="auto"/>
                      <w:sz w:val="18"/>
                      <w:szCs w:val="18"/>
                      <w:highlight w:val="none"/>
                      <w:lang w:val="en-US" w:eastAsia="zh-CN"/>
                    </w:rPr>
                  </w:pPr>
                </w:p>
              </w:tc>
              <w:tc>
                <w:tcPr>
                  <w:tcW w:w="870" w:type="dxa"/>
                  <w:vMerge w:val="continue"/>
                  <w:vAlign w:val="center"/>
                </w:tcPr>
                <w:p w14:paraId="04C11C1F">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c>
                <w:tcPr>
                  <w:tcW w:w="713" w:type="dxa"/>
                  <w:vMerge w:val="continue"/>
                  <w:vAlign w:val="center"/>
                </w:tcPr>
                <w:p w14:paraId="7B47972F">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r>
            <w:tr w14:paraId="50366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shd w:val="clear" w:color="auto" w:fill="auto"/>
                  <w:vAlign w:val="center"/>
                </w:tcPr>
                <w:p w14:paraId="3F872A55">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混合</w:t>
                  </w:r>
                </w:p>
              </w:tc>
              <w:tc>
                <w:tcPr>
                  <w:tcW w:w="356" w:type="dxa"/>
                  <w:vMerge w:val="continue"/>
                  <w:vAlign w:val="center"/>
                </w:tcPr>
                <w:p w14:paraId="31C83812">
                  <w:pPr>
                    <w:spacing w:line="240" w:lineRule="exact"/>
                    <w:jc w:val="center"/>
                    <w:rPr>
                      <w:rFonts w:hint="default" w:ascii="Times New Roman" w:hAnsi="Times New Roman" w:cs="Times New Roman"/>
                      <w:color w:val="auto"/>
                      <w:sz w:val="18"/>
                      <w:szCs w:val="18"/>
                      <w:highlight w:val="none"/>
                    </w:rPr>
                  </w:pPr>
                </w:p>
              </w:tc>
              <w:tc>
                <w:tcPr>
                  <w:tcW w:w="574" w:type="dxa"/>
                  <w:shd w:val="clear" w:color="auto" w:fill="auto"/>
                  <w:vAlign w:val="center"/>
                </w:tcPr>
                <w:p w14:paraId="59158E5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601" w:type="dxa"/>
                  <w:shd w:val="clear" w:color="auto" w:fill="auto"/>
                  <w:vAlign w:val="center"/>
                </w:tcPr>
                <w:p w14:paraId="6BFBFADE">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5.97</w:t>
                  </w:r>
                </w:p>
              </w:tc>
              <w:tc>
                <w:tcPr>
                  <w:tcW w:w="870" w:type="dxa"/>
                  <w:shd w:val="clear" w:color="auto" w:fill="auto"/>
                  <w:vAlign w:val="center"/>
                </w:tcPr>
                <w:p w14:paraId="136142D3">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41.5</w:t>
                  </w:r>
                </w:p>
              </w:tc>
              <w:tc>
                <w:tcPr>
                  <w:tcW w:w="813" w:type="dxa"/>
                  <w:shd w:val="clear" w:color="auto" w:fill="auto"/>
                  <w:vAlign w:val="center"/>
                </w:tcPr>
                <w:p w14:paraId="3880B81C">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0.83</w:t>
                  </w:r>
                </w:p>
              </w:tc>
              <w:tc>
                <w:tcPr>
                  <w:tcW w:w="860" w:type="dxa"/>
                  <w:vMerge w:val="continue"/>
                  <w:vAlign w:val="center"/>
                </w:tcPr>
                <w:p w14:paraId="7233561B">
                  <w:pPr>
                    <w:spacing w:line="240" w:lineRule="exact"/>
                    <w:jc w:val="center"/>
                    <w:rPr>
                      <w:rFonts w:hint="default" w:ascii="Times New Roman" w:hAnsi="Times New Roman" w:cs="Times New Roman"/>
                      <w:color w:val="auto"/>
                      <w:sz w:val="18"/>
                      <w:szCs w:val="18"/>
                      <w:highlight w:val="none"/>
                      <w:lang w:val="en-US" w:eastAsia="zh-CN"/>
                    </w:rPr>
                  </w:pPr>
                </w:p>
              </w:tc>
              <w:tc>
                <w:tcPr>
                  <w:tcW w:w="670" w:type="dxa"/>
                  <w:shd w:val="clear" w:color="auto" w:fill="auto"/>
                  <w:vAlign w:val="center"/>
                </w:tcPr>
                <w:p w14:paraId="166B42DF">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95</w:t>
                  </w:r>
                </w:p>
              </w:tc>
              <w:tc>
                <w:tcPr>
                  <w:tcW w:w="888" w:type="dxa"/>
                  <w:vMerge w:val="continue"/>
                  <w:vAlign w:val="center"/>
                </w:tcPr>
                <w:p w14:paraId="7D9327A0">
                  <w:pPr>
                    <w:spacing w:line="240" w:lineRule="exact"/>
                    <w:jc w:val="center"/>
                    <w:rPr>
                      <w:rFonts w:hint="default" w:ascii="Times New Roman" w:hAnsi="Times New Roman" w:cs="Times New Roman"/>
                      <w:color w:val="auto"/>
                      <w:sz w:val="18"/>
                      <w:szCs w:val="18"/>
                      <w:highlight w:val="none"/>
                    </w:rPr>
                  </w:pPr>
                </w:p>
              </w:tc>
              <w:tc>
                <w:tcPr>
                  <w:tcW w:w="714" w:type="dxa"/>
                  <w:vMerge w:val="continue"/>
                  <w:vAlign w:val="center"/>
                </w:tcPr>
                <w:p w14:paraId="4370A4CA">
                  <w:pPr>
                    <w:spacing w:line="240" w:lineRule="exact"/>
                    <w:jc w:val="center"/>
                    <w:rPr>
                      <w:rFonts w:hint="default" w:ascii="Times New Roman" w:hAnsi="Times New Roman" w:cs="Times New Roman"/>
                      <w:color w:val="auto"/>
                      <w:sz w:val="18"/>
                      <w:szCs w:val="18"/>
                      <w:highlight w:val="none"/>
                      <w:lang w:val="en-US" w:eastAsia="zh-CN"/>
                    </w:rPr>
                  </w:pPr>
                </w:p>
              </w:tc>
              <w:tc>
                <w:tcPr>
                  <w:tcW w:w="728" w:type="dxa"/>
                  <w:vMerge w:val="continue"/>
                  <w:vAlign w:val="center"/>
                </w:tcPr>
                <w:p w14:paraId="5A081CB2">
                  <w:pPr>
                    <w:spacing w:line="240" w:lineRule="exact"/>
                    <w:jc w:val="center"/>
                    <w:rPr>
                      <w:rFonts w:hint="default" w:ascii="Times New Roman" w:hAnsi="Times New Roman" w:cs="Times New Roman"/>
                      <w:color w:val="auto"/>
                      <w:sz w:val="18"/>
                      <w:szCs w:val="18"/>
                      <w:highlight w:val="none"/>
                      <w:lang w:val="en-US" w:eastAsia="zh-CN"/>
                    </w:rPr>
                  </w:pPr>
                </w:p>
              </w:tc>
              <w:tc>
                <w:tcPr>
                  <w:tcW w:w="640" w:type="dxa"/>
                  <w:vMerge w:val="continue"/>
                  <w:vAlign w:val="center"/>
                </w:tcPr>
                <w:p w14:paraId="20CC4C15">
                  <w:pPr>
                    <w:spacing w:line="240" w:lineRule="exact"/>
                    <w:jc w:val="center"/>
                    <w:rPr>
                      <w:rFonts w:hint="default" w:ascii="Times New Roman" w:hAnsi="Times New Roman" w:cs="Times New Roman"/>
                      <w:color w:val="auto"/>
                      <w:sz w:val="18"/>
                      <w:szCs w:val="18"/>
                      <w:highlight w:val="none"/>
                      <w:lang w:val="en-US" w:eastAsia="zh-CN"/>
                    </w:rPr>
                  </w:pPr>
                </w:p>
              </w:tc>
              <w:tc>
                <w:tcPr>
                  <w:tcW w:w="933" w:type="dxa"/>
                  <w:vMerge w:val="continue"/>
                  <w:vAlign w:val="center"/>
                </w:tcPr>
                <w:p w14:paraId="010E2BCF">
                  <w:pPr>
                    <w:spacing w:line="240" w:lineRule="exact"/>
                    <w:jc w:val="center"/>
                    <w:rPr>
                      <w:rFonts w:hint="default" w:ascii="Times New Roman" w:hAnsi="Times New Roman" w:cs="Times New Roman"/>
                      <w:color w:val="auto"/>
                      <w:sz w:val="18"/>
                      <w:szCs w:val="18"/>
                      <w:highlight w:val="none"/>
                      <w:lang w:val="en-US" w:eastAsia="zh-CN"/>
                    </w:rPr>
                  </w:pPr>
                </w:p>
              </w:tc>
              <w:tc>
                <w:tcPr>
                  <w:tcW w:w="771" w:type="dxa"/>
                  <w:vMerge w:val="continue"/>
                  <w:vAlign w:val="center"/>
                </w:tcPr>
                <w:p w14:paraId="7C11642F">
                  <w:pPr>
                    <w:spacing w:line="240" w:lineRule="exact"/>
                    <w:jc w:val="center"/>
                    <w:rPr>
                      <w:rFonts w:hint="default" w:ascii="Times New Roman" w:hAnsi="Times New Roman" w:cs="Times New Roman"/>
                      <w:color w:val="auto"/>
                      <w:sz w:val="18"/>
                      <w:szCs w:val="18"/>
                      <w:highlight w:val="none"/>
                      <w:lang w:val="en-US" w:eastAsia="zh-CN"/>
                    </w:rPr>
                  </w:pPr>
                </w:p>
              </w:tc>
              <w:tc>
                <w:tcPr>
                  <w:tcW w:w="912" w:type="dxa"/>
                  <w:vMerge w:val="continue"/>
                  <w:vAlign w:val="center"/>
                </w:tcPr>
                <w:p w14:paraId="594EB76A">
                  <w:pPr>
                    <w:spacing w:line="240" w:lineRule="exact"/>
                    <w:jc w:val="center"/>
                    <w:rPr>
                      <w:rFonts w:hint="default" w:ascii="Times New Roman" w:hAnsi="Times New Roman" w:cs="Times New Roman"/>
                      <w:color w:val="auto"/>
                      <w:sz w:val="18"/>
                      <w:szCs w:val="18"/>
                      <w:highlight w:val="none"/>
                      <w:lang w:val="en-US" w:eastAsia="zh-CN"/>
                    </w:rPr>
                  </w:pPr>
                </w:p>
              </w:tc>
              <w:tc>
                <w:tcPr>
                  <w:tcW w:w="870" w:type="dxa"/>
                  <w:vMerge w:val="continue"/>
                  <w:vAlign w:val="center"/>
                </w:tcPr>
                <w:p w14:paraId="012DB93B">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c>
                <w:tcPr>
                  <w:tcW w:w="713" w:type="dxa"/>
                  <w:vMerge w:val="continue"/>
                  <w:vAlign w:val="center"/>
                </w:tcPr>
                <w:p w14:paraId="61AB20B8">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r>
            <w:tr w14:paraId="22188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shd w:val="clear" w:color="auto" w:fill="auto"/>
                  <w:vAlign w:val="center"/>
                </w:tcPr>
                <w:p w14:paraId="16247034">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粗筛、整形</w:t>
                  </w:r>
                </w:p>
              </w:tc>
              <w:tc>
                <w:tcPr>
                  <w:tcW w:w="356" w:type="dxa"/>
                  <w:vMerge w:val="continue"/>
                  <w:vAlign w:val="center"/>
                </w:tcPr>
                <w:p w14:paraId="59894887">
                  <w:pPr>
                    <w:spacing w:line="240" w:lineRule="exact"/>
                    <w:jc w:val="center"/>
                    <w:rPr>
                      <w:rFonts w:hint="default" w:ascii="Times New Roman" w:hAnsi="Times New Roman" w:cs="Times New Roman"/>
                      <w:color w:val="auto"/>
                      <w:sz w:val="18"/>
                      <w:szCs w:val="18"/>
                      <w:highlight w:val="none"/>
                    </w:rPr>
                  </w:pPr>
                </w:p>
              </w:tc>
              <w:tc>
                <w:tcPr>
                  <w:tcW w:w="574" w:type="dxa"/>
                  <w:shd w:val="clear" w:color="auto" w:fill="auto"/>
                  <w:vAlign w:val="center"/>
                </w:tcPr>
                <w:p w14:paraId="0618EBA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601" w:type="dxa"/>
                  <w:shd w:val="clear" w:color="auto" w:fill="auto"/>
                  <w:vAlign w:val="center"/>
                </w:tcPr>
                <w:p w14:paraId="2872FE16">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7.885</w:t>
                  </w:r>
                </w:p>
              </w:tc>
              <w:tc>
                <w:tcPr>
                  <w:tcW w:w="870" w:type="dxa"/>
                  <w:shd w:val="clear" w:color="auto" w:fill="auto"/>
                  <w:vAlign w:val="center"/>
                </w:tcPr>
                <w:p w14:paraId="420438C6">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54.8</w:t>
                  </w:r>
                </w:p>
              </w:tc>
              <w:tc>
                <w:tcPr>
                  <w:tcW w:w="813" w:type="dxa"/>
                  <w:shd w:val="clear" w:color="auto" w:fill="auto"/>
                  <w:vAlign w:val="center"/>
                </w:tcPr>
                <w:p w14:paraId="2C6533F7">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1.1</w:t>
                  </w:r>
                </w:p>
              </w:tc>
              <w:tc>
                <w:tcPr>
                  <w:tcW w:w="860" w:type="dxa"/>
                  <w:vMerge w:val="continue"/>
                  <w:vAlign w:val="center"/>
                </w:tcPr>
                <w:p w14:paraId="6DA33DEB">
                  <w:pPr>
                    <w:spacing w:line="240" w:lineRule="exact"/>
                    <w:jc w:val="center"/>
                    <w:rPr>
                      <w:rFonts w:hint="default" w:ascii="Times New Roman" w:hAnsi="Times New Roman" w:cs="Times New Roman"/>
                      <w:color w:val="auto"/>
                      <w:sz w:val="18"/>
                      <w:szCs w:val="18"/>
                      <w:highlight w:val="none"/>
                      <w:lang w:val="en-US" w:eastAsia="zh-CN"/>
                    </w:rPr>
                  </w:pPr>
                </w:p>
              </w:tc>
              <w:tc>
                <w:tcPr>
                  <w:tcW w:w="670" w:type="dxa"/>
                  <w:shd w:val="clear" w:color="auto" w:fill="auto"/>
                  <w:vAlign w:val="center"/>
                </w:tcPr>
                <w:p w14:paraId="6A31DDEF">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95</w:t>
                  </w:r>
                </w:p>
              </w:tc>
              <w:tc>
                <w:tcPr>
                  <w:tcW w:w="888" w:type="dxa"/>
                  <w:vMerge w:val="continue"/>
                  <w:vAlign w:val="center"/>
                </w:tcPr>
                <w:p w14:paraId="763791E7">
                  <w:pPr>
                    <w:spacing w:line="240" w:lineRule="exact"/>
                    <w:jc w:val="center"/>
                    <w:rPr>
                      <w:rFonts w:hint="default" w:ascii="Times New Roman" w:hAnsi="Times New Roman" w:cs="Times New Roman"/>
                      <w:color w:val="auto"/>
                      <w:sz w:val="18"/>
                      <w:szCs w:val="18"/>
                      <w:highlight w:val="none"/>
                    </w:rPr>
                  </w:pPr>
                </w:p>
              </w:tc>
              <w:tc>
                <w:tcPr>
                  <w:tcW w:w="714" w:type="dxa"/>
                  <w:vMerge w:val="continue"/>
                  <w:vAlign w:val="center"/>
                </w:tcPr>
                <w:p w14:paraId="54C5F189">
                  <w:pPr>
                    <w:spacing w:line="240" w:lineRule="exact"/>
                    <w:jc w:val="center"/>
                    <w:rPr>
                      <w:rFonts w:hint="default" w:ascii="Times New Roman" w:hAnsi="Times New Roman" w:cs="Times New Roman"/>
                      <w:color w:val="auto"/>
                      <w:sz w:val="18"/>
                      <w:szCs w:val="18"/>
                      <w:highlight w:val="none"/>
                      <w:lang w:val="en-US" w:eastAsia="zh-CN"/>
                    </w:rPr>
                  </w:pPr>
                </w:p>
              </w:tc>
              <w:tc>
                <w:tcPr>
                  <w:tcW w:w="728" w:type="dxa"/>
                  <w:vMerge w:val="continue"/>
                  <w:vAlign w:val="center"/>
                </w:tcPr>
                <w:p w14:paraId="3D20D8CA">
                  <w:pPr>
                    <w:spacing w:line="240" w:lineRule="exact"/>
                    <w:jc w:val="center"/>
                    <w:rPr>
                      <w:rFonts w:hint="default" w:ascii="Times New Roman" w:hAnsi="Times New Roman" w:cs="Times New Roman"/>
                      <w:color w:val="auto"/>
                      <w:sz w:val="18"/>
                      <w:szCs w:val="18"/>
                      <w:highlight w:val="none"/>
                      <w:lang w:val="en-US" w:eastAsia="zh-CN"/>
                    </w:rPr>
                  </w:pPr>
                </w:p>
              </w:tc>
              <w:tc>
                <w:tcPr>
                  <w:tcW w:w="640" w:type="dxa"/>
                  <w:vMerge w:val="continue"/>
                  <w:vAlign w:val="center"/>
                </w:tcPr>
                <w:p w14:paraId="051B68B6">
                  <w:pPr>
                    <w:spacing w:line="240" w:lineRule="exact"/>
                    <w:jc w:val="center"/>
                    <w:rPr>
                      <w:rFonts w:hint="default" w:ascii="Times New Roman" w:hAnsi="Times New Roman" w:cs="Times New Roman"/>
                      <w:color w:val="auto"/>
                      <w:sz w:val="18"/>
                      <w:szCs w:val="18"/>
                      <w:highlight w:val="none"/>
                      <w:lang w:val="en-US" w:eastAsia="zh-CN"/>
                    </w:rPr>
                  </w:pPr>
                </w:p>
              </w:tc>
              <w:tc>
                <w:tcPr>
                  <w:tcW w:w="933" w:type="dxa"/>
                  <w:vMerge w:val="continue"/>
                  <w:vAlign w:val="center"/>
                </w:tcPr>
                <w:p w14:paraId="46526176">
                  <w:pPr>
                    <w:spacing w:line="240" w:lineRule="exact"/>
                    <w:jc w:val="center"/>
                    <w:rPr>
                      <w:rFonts w:hint="default" w:ascii="Times New Roman" w:hAnsi="Times New Roman" w:cs="Times New Roman"/>
                      <w:color w:val="auto"/>
                      <w:sz w:val="18"/>
                      <w:szCs w:val="18"/>
                      <w:highlight w:val="none"/>
                      <w:lang w:val="en-US" w:eastAsia="zh-CN"/>
                    </w:rPr>
                  </w:pPr>
                </w:p>
              </w:tc>
              <w:tc>
                <w:tcPr>
                  <w:tcW w:w="771" w:type="dxa"/>
                  <w:vMerge w:val="continue"/>
                  <w:vAlign w:val="center"/>
                </w:tcPr>
                <w:p w14:paraId="28A4956C">
                  <w:pPr>
                    <w:spacing w:line="240" w:lineRule="exact"/>
                    <w:jc w:val="center"/>
                    <w:rPr>
                      <w:rFonts w:hint="default" w:ascii="Times New Roman" w:hAnsi="Times New Roman" w:cs="Times New Roman"/>
                      <w:color w:val="auto"/>
                      <w:sz w:val="18"/>
                      <w:szCs w:val="18"/>
                      <w:highlight w:val="none"/>
                      <w:lang w:val="en-US" w:eastAsia="zh-CN"/>
                    </w:rPr>
                  </w:pPr>
                </w:p>
              </w:tc>
              <w:tc>
                <w:tcPr>
                  <w:tcW w:w="912" w:type="dxa"/>
                  <w:vMerge w:val="continue"/>
                  <w:vAlign w:val="center"/>
                </w:tcPr>
                <w:p w14:paraId="0D345EC4">
                  <w:pPr>
                    <w:spacing w:line="240" w:lineRule="exact"/>
                    <w:jc w:val="center"/>
                    <w:rPr>
                      <w:rFonts w:hint="default" w:ascii="Times New Roman" w:hAnsi="Times New Roman" w:cs="Times New Roman"/>
                      <w:color w:val="auto"/>
                      <w:sz w:val="18"/>
                      <w:szCs w:val="18"/>
                      <w:highlight w:val="none"/>
                      <w:lang w:val="en-US" w:eastAsia="zh-CN"/>
                    </w:rPr>
                  </w:pPr>
                </w:p>
              </w:tc>
              <w:tc>
                <w:tcPr>
                  <w:tcW w:w="870" w:type="dxa"/>
                  <w:vMerge w:val="continue"/>
                  <w:vAlign w:val="center"/>
                </w:tcPr>
                <w:p w14:paraId="6C512A03">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c>
                <w:tcPr>
                  <w:tcW w:w="713" w:type="dxa"/>
                  <w:vMerge w:val="continue"/>
                  <w:vAlign w:val="center"/>
                </w:tcPr>
                <w:p w14:paraId="5EBA500A">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r>
            <w:tr w14:paraId="3BE0A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vAlign w:val="center"/>
                </w:tcPr>
                <w:p w14:paraId="1C36FA79">
                  <w:pPr>
                    <w:spacing w:line="240" w:lineRule="exact"/>
                    <w:jc w:val="center"/>
                    <w:rPr>
                      <w:rFonts w:hint="default" w:ascii="Times New Roman" w:hAnsi="Times New Roman" w:cs="Times New Roman"/>
                      <w:bCs/>
                      <w:color w:val="auto"/>
                      <w:sz w:val="18"/>
                      <w:szCs w:val="18"/>
                      <w:highlight w:val="none"/>
                      <w:lang w:val="en-US" w:eastAsia="zh-CN"/>
                    </w:rPr>
                  </w:pPr>
                  <w:r>
                    <w:rPr>
                      <w:rFonts w:hint="eastAsia" w:cs="Times New Roman"/>
                      <w:bCs/>
                      <w:color w:val="auto"/>
                      <w:sz w:val="18"/>
                      <w:szCs w:val="18"/>
                      <w:highlight w:val="none"/>
                      <w:lang w:val="en-US" w:eastAsia="zh-CN"/>
                    </w:rPr>
                    <w:t>食堂油烟</w:t>
                  </w:r>
                </w:p>
              </w:tc>
              <w:tc>
                <w:tcPr>
                  <w:tcW w:w="356" w:type="dxa"/>
                  <w:vAlign w:val="center"/>
                </w:tcPr>
                <w:p w14:paraId="630D90E4">
                  <w:pPr>
                    <w:spacing w:line="240" w:lineRule="exact"/>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有组织</w:t>
                  </w:r>
                </w:p>
              </w:tc>
              <w:tc>
                <w:tcPr>
                  <w:tcW w:w="574" w:type="dxa"/>
                  <w:vAlign w:val="center"/>
                </w:tcPr>
                <w:p w14:paraId="42B1239E">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油烟</w:t>
                  </w:r>
                </w:p>
              </w:tc>
              <w:tc>
                <w:tcPr>
                  <w:tcW w:w="601" w:type="dxa"/>
                  <w:vAlign w:val="center"/>
                </w:tcPr>
                <w:p w14:paraId="2EE9D3DE">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0.0126</w:t>
                  </w:r>
                </w:p>
              </w:tc>
              <w:tc>
                <w:tcPr>
                  <w:tcW w:w="870" w:type="dxa"/>
                  <w:vAlign w:val="center"/>
                </w:tcPr>
                <w:p w14:paraId="70670748">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7.2</w:t>
                  </w:r>
                </w:p>
              </w:tc>
              <w:tc>
                <w:tcPr>
                  <w:tcW w:w="813" w:type="dxa"/>
                  <w:vAlign w:val="center"/>
                </w:tcPr>
                <w:p w14:paraId="35BED365">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0.02</w:t>
                  </w:r>
                </w:p>
              </w:tc>
              <w:tc>
                <w:tcPr>
                  <w:tcW w:w="860" w:type="dxa"/>
                  <w:vAlign w:val="center"/>
                </w:tcPr>
                <w:p w14:paraId="21F7BB65">
                  <w:pPr>
                    <w:spacing w:line="240" w:lineRule="exact"/>
                    <w:jc w:val="center"/>
                    <w:rPr>
                      <w:rFonts w:hint="default" w:ascii="Times New Roman" w:hAnsi="Times New Roman" w:cs="Times New Roman"/>
                      <w:color w:val="auto"/>
                      <w:sz w:val="18"/>
                      <w:szCs w:val="18"/>
                      <w:highlight w:val="none"/>
                      <w:lang w:val="en-US" w:eastAsia="zh-CN"/>
                    </w:rPr>
                  </w:pPr>
                </w:p>
              </w:tc>
              <w:tc>
                <w:tcPr>
                  <w:tcW w:w="670" w:type="dxa"/>
                  <w:vAlign w:val="center"/>
                </w:tcPr>
                <w:p w14:paraId="5C8AC12C">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100</w:t>
                  </w:r>
                </w:p>
              </w:tc>
              <w:tc>
                <w:tcPr>
                  <w:tcW w:w="888" w:type="dxa"/>
                  <w:vAlign w:val="center"/>
                </w:tcPr>
                <w:p w14:paraId="3B389945">
                  <w:pPr>
                    <w:spacing w:line="240" w:lineRule="exact"/>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油烟净化器</w:t>
                  </w:r>
                </w:p>
              </w:tc>
              <w:tc>
                <w:tcPr>
                  <w:tcW w:w="714" w:type="dxa"/>
                  <w:vAlign w:val="center"/>
                </w:tcPr>
                <w:p w14:paraId="1CAC2F67">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90</w:t>
                  </w:r>
                </w:p>
              </w:tc>
              <w:tc>
                <w:tcPr>
                  <w:tcW w:w="728" w:type="dxa"/>
                  <w:vAlign w:val="center"/>
                </w:tcPr>
                <w:p w14:paraId="6DAD7F5C">
                  <w:pPr>
                    <w:spacing w:line="240" w:lineRule="exact"/>
                    <w:jc w:val="center"/>
                    <w:rPr>
                      <w:rFonts w:hint="default" w:ascii="Times New Roman" w:hAnsi="Times New Roman"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是</w:t>
                  </w:r>
                </w:p>
              </w:tc>
              <w:tc>
                <w:tcPr>
                  <w:tcW w:w="640" w:type="dxa"/>
                  <w:vAlign w:val="center"/>
                </w:tcPr>
                <w:p w14:paraId="159DF3C5">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0.0013</w:t>
                  </w:r>
                </w:p>
              </w:tc>
              <w:tc>
                <w:tcPr>
                  <w:tcW w:w="933" w:type="dxa"/>
                  <w:vAlign w:val="center"/>
                </w:tcPr>
                <w:p w14:paraId="28FEF356">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0.72</w:t>
                  </w:r>
                </w:p>
              </w:tc>
              <w:tc>
                <w:tcPr>
                  <w:tcW w:w="771" w:type="dxa"/>
                  <w:vAlign w:val="center"/>
                </w:tcPr>
                <w:p w14:paraId="3D7510B4">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0.002</w:t>
                  </w:r>
                </w:p>
              </w:tc>
              <w:tc>
                <w:tcPr>
                  <w:tcW w:w="912" w:type="dxa"/>
                  <w:vAlign w:val="center"/>
                </w:tcPr>
                <w:p w14:paraId="0609FBDD">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600</w:t>
                  </w:r>
                </w:p>
              </w:tc>
              <w:tc>
                <w:tcPr>
                  <w:tcW w:w="870" w:type="dxa"/>
                  <w:vAlign w:val="center"/>
                </w:tcPr>
                <w:p w14:paraId="024567DE">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1.5</w:t>
                  </w:r>
                </w:p>
              </w:tc>
              <w:tc>
                <w:tcPr>
                  <w:tcW w:w="713" w:type="dxa"/>
                  <w:vAlign w:val="center"/>
                </w:tcPr>
                <w:p w14:paraId="336ABB6D">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w:t>
                  </w:r>
                </w:p>
              </w:tc>
            </w:tr>
            <w:tr w14:paraId="3A2BD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vAlign w:val="center"/>
                </w:tcPr>
                <w:p w14:paraId="1E9FC678">
                  <w:pPr>
                    <w:spacing w:line="240" w:lineRule="exact"/>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车辆运输</w:t>
                  </w:r>
                </w:p>
              </w:tc>
              <w:tc>
                <w:tcPr>
                  <w:tcW w:w="356" w:type="dxa"/>
                  <w:vMerge w:val="restart"/>
                  <w:vAlign w:val="center"/>
                </w:tcPr>
                <w:p w14:paraId="6FC724B5">
                  <w:pPr>
                    <w:spacing w:line="240" w:lineRule="exact"/>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无组织</w:t>
                  </w:r>
                </w:p>
              </w:tc>
              <w:tc>
                <w:tcPr>
                  <w:tcW w:w="574" w:type="dxa"/>
                  <w:vAlign w:val="center"/>
                </w:tcPr>
                <w:p w14:paraId="21EB29B1">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颗粒物</w:t>
                  </w:r>
                </w:p>
              </w:tc>
              <w:tc>
                <w:tcPr>
                  <w:tcW w:w="601" w:type="dxa"/>
                  <w:vAlign w:val="center"/>
                </w:tcPr>
                <w:p w14:paraId="2C420C73">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0.365</w:t>
                  </w:r>
                </w:p>
              </w:tc>
              <w:tc>
                <w:tcPr>
                  <w:tcW w:w="870" w:type="dxa"/>
                  <w:vAlign w:val="center"/>
                </w:tcPr>
                <w:p w14:paraId="1CB4987A">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813" w:type="dxa"/>
                  <w:vAlign w:val="center"/>
                </w:tcPr>
                <w:p w14:paraId="7324D34D">
                  <w:pPr>
                    <w:spacing w:line="240" w:lineRule="exact"/>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w:t>
                  </w:r>
                  <w:r>
                    <w:rPr>
                      <w:rFonts w:hint="eastAsia" w:cs="Times New Roman"/>
                      <w:color w:val="auto"/>
                      <w:sz w:val="18"/>
                      <w:szCs w:val="18"/>
                      <w:highlight w:val="none"/>
                      <w:lang w:val="en-US" w:eastAsia="zh-CN"/>
                    </w:rPr>
                    <w:t>5</w:t>
                  </w:r>
                </w:p>
              </w:tc>
              <w:tc>
                <w:tcPr>
                  <w:tcW w:w="860" w:type="dxa"/>
                  <w:vAlign w:val="center"/>
                </w:tcPr>
                <w:p w14:paraId="46BFC9E3">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670" w:type="dxa"/>
                  <w:vAlign w:val="center"/>
                </w:tcPr>
                <w:p w14:paraId="4D54AC8F">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888" w:type="dxa"/>
                  <w:vMerge w:val="restart"/>
                  <w:vAlign w:val="center"/>
                </w:tcPr>
                <w:p w14:paraId="4BD336C2">
                  <w:pPr>
                    <w:spacing w:line="240" w:lineRule="exact"/>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洒水降尘</w:t>
                  </w:r>
                </w:p>
              </w:tc>
              <w:tc>
                <w:tcPr>
                  <w:tcW w:w="714" w:type="dxa"/>
                  <w:vMerge w:val="restart"/>
                  <w:vAlign w:val="center"/>
                </w:tcPr>
                <w:p w14:paraId="2CA9D92E">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50</w:t>
                  </w:r>
                </w:p>
              </w:tc>
              <w:tc>
                <w:tcPr>
                  <w:tcW w:w="728" w:type="dxa"/>
                  <w:vAlign w:val="center"/>
                </w:tcPr>
                <w:p w14:paraId="63E7807A">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640" w:type="dxa"/>
                  <w:vMerge w:val="restart"/>
                  <w:vAlign w:val="center"/>
                </w:tcPr>
                <w:p w14:paraId="7F491A4F">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1.897</w:t>
                  </w:r>
                </w:p>
              </w:tc>
              <w:tc>
                <w:tcPr>
                  <w:tcW w:w="933" w:type="dxa"/>
                  <w:vMerge w:val="restart"/>
                  <w:vAlign w:val="center"/>
                </w:tcPr>
                <w:p w14:paraId="603B3F85">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771" w:type="dxa"/>
                  <w:vMerge w:val="restart"/>
                  <w:vAlign w:val="center"/>
                </w:tcPr>
                <w:p w14:paraId="2410EC92">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0.263</w:t>
                  </w:r>
                </w:p>
              </w:tc>
              <w:tc>
                <w:tcPr>
                  <w:tcW w:w="912" w:type="dxa"/>
                  <w:vMerge w:val="restart"/>
                  <w:vAlign w:val="center"/>
                </w:tcPr>
                <w:p w14:paraId="7B6591B0">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7200</w:t>
                  </w:r>
                </w:p>
              </w:tc>
              <w:tc>
                <w:tcPr>
                  <w:tcW w:w="870" w:type="dxa"/>
                  <w:vMerge w:val="restart"/>
                  <w:vAlign w:val="center"/>
                </w:tcPr>
                <w:p w14:paraId="375E8C96">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1.0</w:t>
                  </w:r>
                </w:p>
              </w:tc>
              <w:tc>
                <w:tcPr>
                  <w:tcW w:w="713" w:type="dxa"/>
                  <w:vMerge w:val="restart"/>
                  <w:vAlign w:val="center"/>
                </w:tcPr>
                <w:p w14:paraId="6F4F6416">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w:t>
                  </w:r>
                </w:p>
              </w:tc>
            </w:tr>
            <w:tr w14:paraId="4AB47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vAlign w:val="center"/>
                </w:tcPr>
                <w:p w14:paraId="66CF4143">
                  <w:pPr>
                    <w:spacing w:line="240" w:lineRule="exact"/>
                    <w:jc w:val="center"/>
                    <w:rPr>
                      <w:rFonts w:hint="default" w:ascii="Times New Roman" w:hAnsi="Times New Roman" w:cs="Times New Roman"/>
                      <w:bCs/>
                      <w:color w:val="auto"/>
                      <w:sz w:val="18"/>
                      <w:szCs w:val="18"/>
                      <w:highlight w:val="none"/>
                      <w:lang w:val="en-US" w:eastAsia="zh-CN"/>
                    </w:rPr>
                  </w:pPr>
                  <w:r>
                    <w:rPr>
                      <w:rFonts w:hint="eastAsia" w:cs="Times New Roman"/>
                      <w:bCs/>
                      <w:color w:val="auto"/>
                      <w:sz w:val="18"/>
                      <w:szCs w:val="18"/>
                      <w:highlight w:val="none"/>
                      <w:lang w:val="en-US" w:eastAsia="zh-CN"/>
                    </w:rPr>
                    <w:t>集气罩未收集</w:t>
                  </w:r>
                </w:p>
              </w:tc>
              <w:tc>
                <w:tcPr>
                  <w:tcW w:w="356" w:type="dxa"/>
                  <w:vMerge w:val="continue"/>
                  <w:vAlign w:val="center"/>
                </w:tcPr>
                <w:p w14:paraId="62C7B018">
                  <w:pPr>
                    <w:spacing w:line="240" w:lineRule="exact"/>
                    <w:jc w:val="center"/>
                    <w:rPr>
                      <w:rFonts w:hint="default" w:ascii="Times New Roman" w:hAnsi="Times New Roman" w:cs="Times New Roman"/>
                      <w:color w:val="auto"/>
                      <w:sz w:val="18"/>
                      <w:szCs w:val="18"/>
                      <w:highlight w:val="none"/>
                    </w:rPr>
                  </w:pPr>
                </w:p>
              </w:tc>
              <w:tc>
                <w:tcPr>
                  <w:tcW w:w="574" w:type="dxa"/>
                  <w:vAlign w:val="center"/>
                </w:tcPr>
                <w:p w14:paraId="64BECF23">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颗粒物</w:t>
                  </w:r>
                </w:p>
              </w:tc>
              <w:tc>
                <w:tcPr>
                  <w:tcW w:w="601" w:type="dxa"/>
                  <w:vAlign w:val="center"/>
                </w:tcPr>
                <w:p w14:paraId="24C3B293">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2.428</w:t>
                  </w:r>
                </w:p>
              </w:tc>
              <w:tc>
                <w:tcPr>
                  <w:tcW w:w="870" w:type="dxa"/>
                  <w:vAlign w:val="center"/>
                </w:tcPr>
                <w:p w14:paraId="22E2A2AA">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813" w:type="dxa"/>
                  <w:vAlign w:val="center"/>
                </w:tcPr>
                <w:p w14:paraId="6FEECA0A">
                  <w:pPr>
                    <w:spacing w:line="240" w:lineRule="exac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0.337</w:t>
                  </w:r>
                  <w:r>
                    <w:rPr>
                      <w:rFonts w:hint="eastAsia" w:ascii="Times New Roman" w:hAnsi="Times New Roman" w:eastAsia="宋体" w:cs="Times New Roman"/>
                      <w:color w:val="auto"/>
                      <w:sz w:val="18"/>
                      <w:szCs w:val="18"/>
                      <w:highlight w:val="none"/>
                      <w:lang w:val="en-US" w:eastAsia="zh-CN"/>
                    </w:rPr>
                    <w:t xml:space="preserve"> </w:t>
                  </w:r>
                </w:p>
              </w:tc>
              <w:tc>
                <w:tcPr>
                  <w:tcW w:w="860" w:type="dxa"/>
                  <w:vAlign w:val="center"/>
                </w:tcPr>
                <w:p w14:paraId="77419FC1">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670" w:type="dxa"/>
                  <w:vAlign w:val="center"/>
                </w:tcPr>
                <w:p w14:paraId="0BC9B347">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888" w:type="dxa"/>
                  <w:vMerge w:val="continue"/>
                  <w:vAlign w:val="center"/>
                </w:tcPr>
                <w:p w14:paraId="26C80544">
                  <w:pPr>
                    <w:spacing w:line="240" w:lineRule="exact"/>
                    <w:jc w:val="center"/>
                    <w:rPr>
                      <w:rFonts w:hint="default" w:ascii="Times New Roman" w:hAnsi="Times New Roman" w:cs="Times New Roman"/>
                      <w:color w:val="auto"/>
                      <w:sz w:val="18"/>
                      <w:szCs w:val="18"/>
                      <w:highlight w:val="none"/>
                    </w:rPr>
                  </w:pPr>
                </w:p>
              </w:tc>
              <w:tc>
                <w:tcPr>
                  <w:tcW w:w="714" w:type="dxa"/>
                  <w:vMerge w:val="continue"/>
                  <w:vAlign w:val="center"/>
                </w:tcPr>
                <w:p w14:paraId="0B9EBEBA">
                  <w:pPr>
                    <w:spacing w:line="240" w:lineRule="exact"/>
                    <w:jc w:val="center"/>
                    <w:rPr>
                      <w:rFonts w:hint="default" w:ascii="Times New Roman" w:hAnsi="Times New Roman" w:cs="Times New Roman"/>
                      <w:color w:val="auto"/>
                      <w:sz w:val="18"/>
                      <w:szCs w:val="18"/>
                      <w:highlight w:val="none"/>
                      <w:lang w:val="en-US" w:eastAsia="zh-CN"/>
                    </w:rPr>
                  </w:pPr>
                </w:p>
              </w:tc>
              <w:tc>
                <w:tcPr>
                  <w:tcW w:w="728" w:type="dxa"/>
                  <w:vAlign w:val="center"/>
                </w:tcPr>
                <w:p w14:paraId="3ED728FB">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640" w:type="dxa"/>
                  <w:vMerge w:val="continue"/>
                  <w:vAlign w:val="center"/>
                </w:tcPr>
                <w:p w14:paraId="3ED8672B">
                  <w:pPr>
                    <w:spacing w:line="240" w:lineRule="exact"/>
                    <w:jc w:val="center"/>
                    <w:rPr>
                      <w:rFonts w:hint="default" w:ascii="Times New Roman" w:hAnsi="Times New Roman" w:cs="Times New Roman"/>
                      <w:color w:val="auto"/>
                      <w:sz w:val="18"/>
                      <w:szCs w:val="18"/>
                      <w:highlight w:val="none"/>
                      <w:lang w:val="en-US" w:eastAsia="zh-CN"/>
                    </w:rPr>
                  </w:pPr>
                </w:p>
              </w:tc>
              <w:tc>
                <w:tcPr>
                  <w:tcW w:w="933" w:type="dxa"/>
                  <w:vMerge w:val="continue"/>
                  <w:vAlign w:val="center"/>
                </w:tcPr>
                <w:p w14:paraId="65808F5B">
                  <w:pPr>
                    <w:spacing w:line="240" w:lineRule="exact"/>
                    <w:jc w:val="center"/>
                    <w:rPr>
                      <w:rFonts w:hint="default" w:ascii="Times New Roman" w:hAnsi="Times New Roman" w:cs="Times New Roman"/>
                      <w:color w:val="auto"/>
                      <w:sz w:val="18"/>
                      <w:szCs w:val="18"/>
                      <w:highlight w:val="none"/>
                      <w:lang w:val="en-US" w:eastAsia="zh-CN"/>
                    </w:rPr>
                  </w:pPr>
                </w:p>
              </w:tc>
              <w:tc>
                <w:tcPr>
                  <w:tcW w:w="771" w:type="dxa"/>
                  <w:vMerge w:val="continue"/>
                  <w:vAlign w:val="center"/>
                </w:tcPr>
                <w:p w14:paraId="66BD50C2">
                  <w:pPr>
                    <w:spacing w:line="240" w:lineRule="exact"/>
                    <w:jc w:val="center"/>
                    <w:rPr>
                      <w:rFonts w:hint="default" w:ascii="Times New Roman" w:hAnsi="Times New Roman" w:cs="Times New Roman"/>
                      <w:color w:val="auto"/>
                      <w:sz w:val="18"/>
                      <w:szCs w:val="18"/>
                      <w:highlight w:val="none"/>
                      <w:lang w:val="en-US" w:eastAsia="zh-CN"/>
                    </w:rPr>
                  </w:pPr>
                </w:p>
              </w:tc>
              <w:tc>
                <w:tcPr>
                  <w:tcW w:w="912" w:type="dxa"/>
                  <w:vMerge w:val="continue"/>
                  <w:vAlign w:val="center"/>
                </w:tcPr>
                <w:p w14:paraId="1DD6B323">
                  <w:pPr>
                    <w:spacing w:line="240" w:lineRule="exact"/>
                    <w:jc w:val="center"/>
                    <w:rPr>
                      <w:rFonts w:hint="default" w:ascii="Times New Roman" w:hAnsi="Times New Roman" w:cs="Times New Roman"/>
                      <w:color w:val="auto"/>
                      <w:sz w:val="18"/>
                      <w:szCs w:val="18"/>
                      <w:highlight w:val="none"/>
                      <w:lang w:val="en-US" w:eastAsia="zh-CN"/>
                    </w:rPr>
                  </w:pPr>
                </w:p>
              </w:tc>
              <w:tc>
                <w:tcPr>
                  <w:tcW w:w="870" w:type="dxa"/>
                  <w:vMerge w:val="continue"/>
                  <w:vAlign w:val="center"/>
                </w:tcPr>
                <w:p w14:paraId="006C6E8B">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c>
                <w:tcPr>
                  <w:tcW w:w="713" w:type="dxa"/>
                  <w:vMerge w:val="continue"/>
                  <w:vAlign w:val="center"/>
                </w:tcPr>
                <w:p w14:paraId="1CEAADE6">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r>
            <w:tr w14:paraId="26F72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vAlign w:val="center"/>
                </w:tcPr>
                <w:p w14:paraId="3110893A">
                  <w:pPr>
                    <w:spacing w:line="240" w:lineRule="exact"/>
                    <w:jc w:val="center"/>
                    <w:rPr>
                      <w:rFonts w:hint="default" w:ascii="Times New Roman" w:hAnsi="Times New Roman" w:cs="Times New Roman"/>
                      <w:bCs/>
                      <w:color w:val="auto"/>
                      <w:sz w:val="18"/>
                      <w:szCs w:val="18"/>
                      <w:highlight w:val="none"/>
                      <w:lang w:eastAsia="zh-CN"/>
                    </w:rPr>
                  </w:pPr>
                  <w:r>
                    <w:rPr>
                      <w:rFonts w:hint="default" w:ascii="Times New Roman" w:hAnsi="Times New Roman" w:cs="Times New Roman"/>
                      <w:bCs/>
                      <w:color w:val="auto"/>
                      <w:sz w:val="18"/>
                      <w:szCs w:val="18"/>
                      <w:highlight w:val="none"/>
                      <w:lang w:val="en-US" w:eastAsia="zh-CN"/>
                    </w:rPr>
                    <w:t>卸料、堆存过程</w:t>
                  </w:r>
                </w:p>
              </w:tc>
              <w:tc>
                <w:tcPr>
                  <w:tcW w:w="356" w:type="dxa"/>
                  <w:vMerge w:val="continue"/>
                  <w:vAlign w:val="center"/>
                </w:tcPr>
                <w:p w14:paraId="4A4D345E">
                  <w:pPr>
                    <w:spacing w:line="240" w:lineRule="exact"/>
                    <w:jc w:val="center"/>
                    <w:rPr>
                      <w:rFonts w:hint="default" w:ascii="Times New Roman" w:hAnsi="Times New Roman" w:cs="Times New Roman"/>
                      <w:color w:val="auto"/>
                      <w:sz w:val="18"/>
                      <w:szCs w:val="18"/>
                      <w:highlight w:val="none"/>
                    </w:rPr>
                  </w:pPr>
                </w:p>
              </w:tc>
              <w:tc>
                <w:tcPr>
                  <w:tcW w:w="574" w:type="dxa"/>
                  <w:vAlign w:val="center"/>
                </w:tcPr>
                <w:p w14:paraId="1BB3F678">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颗粒物</w:t>
                  </w:r>
                </w:p>
              </w:tc>
              <w:tc>
                <w:tcPr>
                  <w:tcW w:w="601" w:type="dxa"/>
                  <w:vAlign w:val="center"/>
                </w:tcPr>
                <w:p w14:paraId="428A02B7">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0.5</w:t>
                  </w:r>
                </w:p>
              </w:tc>
              <w:tc>
                <w:tcPr>
                  <w:tcW w:w="870" w:type="dxa"/>
                  <w:vAlign w:val="center"/>
                </w:tcPr>
                <w:p w14:paraId="11D0374D">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813" w:type="dxa"/>
                  <w:vAlign w:val="center"/>
                </w:tcPr>
                <w:p w14:paraId="61B541C4">
                  <w:pPr>
                    <w:spacing w:line="240" w:lineRule="exact"/>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w:t>
                  </w:r>
                  <w:r>
                    <w:rPr>
                      <w:rFonts w:hint="eastAsia" w:cs="Times New Roman"/>
                      <w:color w:val="auto"/>
                      <w:sz w:val="18"/>
                      <w:szCs w:val="18"/>
                      <w:highlight w:val="none"/>
                      <w:lang w:val="en-US" w:eastAsia="zh-CN"/>
                    </w:rPr>
                    <w:t>07</w:t>
                  </w:r>
                </w:p>
              </w:tc>
              <w:tc>
                <w:tcPr>
                  <w:tcW w:w="860" w:type="dxa"/>
                  <w:vAlign w:val="center"/>
                </w:tcPr>
                <w:p w14:paraId="169BE360">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670" w:type="dxa"/>
                  <w:vAlign w:val="center"/>
                </w:tcPr>
                <w:p w14:paraId="64C9BCCF">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888" w:type="dxa"/>
                  <w:vAlign w:val="center"/>
                </w:tcPr>
                <w:p w14:paraId="4C362AB5">
                  <w:pPr>
                    <w:spacing w:line="240" w:lineRule="exact"/>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w:t>
                  </w:r>
                </w:p>
              </w:tc>
              <w:tc>
                <w:tcPr>
                  <w:tcW w:w="714" w:type="dxa"/>
                  <w:vAlign w:val="center"/>
                </w:tcPr>
                <w:p w14:paraId="3BD68B16">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728" w:type="dxa"/>
                  <w:vAlign w:val="center"/>
                </w:tcPr>
                <w:p w14:paraId="7835A300">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640" w:type="dxa"/>
                  <w:vMerge w:val="continue"/>
                  <w:vAlign w:val="center"/>
                </w:tcPr>
                <w:p w14:paraId="1D681A0E">
                  <w:pPr>
                    <w:spacing w:line="240" w:lineRule="exact"/>
                    <w:jc w:val="center"/>
                    <w:rPr>
                      <w:rFonts w:hint="default" w:ascii="Times New Roman" w:hAnsi="Times New Roman" w:cs="Times New Roman"/>
                      <w:color w:val="auto"/>
                      <w:sz w:val="18"/>
                      <w:szCs w:val="18"/>
                      <w:highlight w:val="none"/>
                      <w:lang w:val="en-US" w:eastAsia="zh-CN"/>
                    </w:rPr>
                  </w:pPr>
                </w:p>
              </w:tc>
              <w:tc>
                <w:tcPr>
                  <w:tcW w:w="933" w:type="dxa"/>
                  <w:vMerge w:val="continue"/>
                  <w:vAlign w:val="center"/>
                </w:tcPr>
                <w:p w14:paraId="1579E38A">
                  <w:pPr>
                    <w:spacing w:line="240" w:lineRule="exact"/>
                    <w:jc w:val="center"/>
                    <w:rPr>
                      <w:rFonts w:hint="default" w:ascii="Times New Roman" w:hAnsi="Times New Roman" w:cs="Times New Roman"/>
                      <w:color w:val="auto"/>
                      <w:sz w:val="18"/>
                      <w:szCs w:val="18"/>
                      <w:highlight w:val="none"/>
                      <w:lang w:val="en-US" w:eastAsia="zh-CN"/>
                    </w:rPr>
                  </w:pPr>
                </w:p>
              </w:tc>
              <w:tc>
                <w:tcPr>
                  <w:tcW w:w="771" w:type="dxa"/>
                  <w:vMerge w:val="continue"/>
                  <w:vAlign w:val="center"/>
                </w:tcPr>
                <w:p w14:paraId="79689B66">
                  <w:pPr>
                    <w:spacing w:line="240" w:lineRule="exact"/>
                    <w:jc w:val="center"/>
                    <w:rPr>
                      <w:rFonts w:hint="default" w:ascii="Times New Roman" w:hAnsi="Times New Roman" w:cs="Times New Roman"/>
                      <w:color w:val="auto"/>
                      <w:sz w:val="18"/>
                      <w:szCs w:val="18"/>
                      <w:highlight w:val="none"/>
                      <w:lang w:val="en-US" w:eastAsia="zh-CN"/>
                    </w:rPr>
                  </w:pPr>
                </w:p>
              </w:tc>
              <w:tc>
                <w:tcPr>
                  <w:tcW w:w="912" w:type="dxa"/>
                  <w:vMerge w:val="continue"/>
                  <w:vAlign w:val="center"/>
                </w:tcPr>
                <w:p w14:paraId="40BEA2D2">
                  <w:pPr>
                    <w:spacing w:line="240" w:lineRule="exact"/>
                    <w:jc w:val="center"/>
                    <w:rPr>
                      <w:rFonts w:hint="default" w:ascii="Times New Roman" w:hAnsi="Times New Roman" w:cs="Times New Roman"/>
                      <w:color w:val="auto"/>
                      <w:sz w:val="18"/>
                      <w:szCs w:val="18"/>
                      <w:highlight w:val="none"/>
                      <w:lang w:val="en-US" w:eastAsia="zh-CN"/>
                    </w:rPr>
                  </w:pPr>
                </w:p>
              </w:tc>
              <w:tc>
                <w:tcPr>
                  <w:tcW w:w="870" w:type="dxa"/>
                  <w:vMerge w:val="continue"/>
                  <w:vAlign w:val="center"/>
                </w:tcPr>
                <w:p w14:paraId="63098A67">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c>
                <w:tcPr>
                  <w:tcW w:w="713" w:type="dxa"/>
                  <w:vMerge w:val="continue"/>
                  <w:vAlign w:val="center"/>
                </w:tcPr>
                <w:p w14:paraId="4838DBAD">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r>
            <w:tr w14:paraId="4388F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vAlign w:val="center"/>
                </w:tcPr>
                <w:p w14:paraId="698CA158">
                  <w:pPr>
                    <w:spacing w:line="240" w:lineRule="exact"/>
                    <w:jc w:val="center"/>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集气罩未收集</w:t>
                  </w:r>
                </w:p>
              </w:tc>
              <w:tc>
                <w:tcPr>
                  <w:tcW w:w="356" w:type="dxa"/>
                  <w:vMerge w:val="continue"/>
                  <w:vAlign w:val="center"/>
                </w:tcPr>
                <w:p w14:paraId="7A961F12">
                  <w:pPr>
                    <w:spacing w:line="240" w:lineRule="exact"/>
                    <w:jc w:val="center"/>
                    <w:rPr>
                      <w:rFonts w:hint="default" w:ascii="Times New Roman" w:hAnsi="Times New Roman" w:cs="Times New Roman"/>
                      <w:color w:val="auto"/>
                      <w:sz w:val="18"/>
                      <w:szCs w:val="18"/>
                      <w:highlight w:val="none"/>
                    </w:rPr>
                  </w:pPr>
                </w:p>
              </w:tc>
              <w:tc>
                <w:tcPr>
                  <w:tcW w:w="574" w:type="dxa"/>
                  <w:vAlign w:val="center"/>
                </w:tcPr>
                <w:p w14:paraId="3DD9CF2F">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氨气</w:t>
                  </w:r>
                </w:p>
              </w:tc>
              <w:tc>
                <w:tcPr>
                  <w:tcW w:w="601" w:type="dxa"/>
                  <w:vAlign w:val="center"/>
                </w:tcPr>
                <w:p w14:paraId="44D21481">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0.275</w:t>
                  </w:r>
                </w:p>
              </w:tc>
              <w:tc>
                <w:tcPr>
                  <w:tcW w:w="870" w:type="dxa"/>
                  <w:vAlign w:val="center"/>
                </w:tcPr>
                <w:p w14:paraId="34F623CD">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813" w:type="dxa"/>
                  <w:vAlign w:val="center"/>
                </w:tcPr>
                <w:p w14:paraId="4F92DF86">
                  <w:pPr>
                    <w:spacing w:line="240" w:lineRule="exact"/>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 xml:space="preserve">0.04 </w:t>
                  </w:r>
                </w:p>
              </w:tc>
              <w:tc>
                <w:tcPr>
                  <w:tcW w:w="860" w:type="dxa"/>
                  <w:vAlign w:val="center"/>
                </w:tcPr>
                <w:p w14:paraId="02613A15">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670" w:type="dxa"/>
                  <w:vAlign w:val="center"/>
                </w:tcPr>
                <w:p w14:paraId="5C139526">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888" w:type="dxa"/>
                  <w:vMerge w:val="restart"/>
                  <w:vAlign w:val="center"/>
                </w:tcPr>
                <w:p w14:paraId="1B8E1EE3">
                  <w:pPr>
                    <w:spacing w:line="240" w:lineRule="exact"/>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加强厂区绿化</w:t>
                  </w:r>
                </w:p>
              </w:tc>
              <w:tc>
                <w:tcPr>
                  <w:tcW w:w="714" w:type="dxa"/>
                  <w:vAlign w:val="center"/>
                </w:tcPr>
                <w:p w14:paraId="03D22E50">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728" w:type="dxa"/>
                  <w:vAlign w:val="center"/>
                </w:tcPr>
                <w:p w14:paraId="3BF2F268">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640" w:type="dxa"/>
                  <w:vMerge w:val="restart"/>
                  <w:vAlign w:val="center"/>
                </w:tcPr>
                <w:p w14:paraId="25237DEC">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0.575</w:t>
                  </w:r>
                </w:p>
              </w:tc>
              <w:tc>
                <w:tcPr>
                  <w:tcW w:w="933" w:type="dxa"/>
                  <w:vMerge w:val="restart"/>
                  <w:vAlign w:val="center"/>
                </w:tcPr>
                <w:p w14:paraId="22907090">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771" w:type="dxa"/>
                  <w:vMerge w:val="restart"/>
                  <w:vAlign w:val="center"/>
                </w:tcPr>
                <w:p w14:paraId="46FAF9C3">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0.08</w:t>
                  </w:r>
                </w:p>
              </w:tc>
              <w:tc>
                <w:tcPr>
                  <w:tcW w:w="912" w:type="dxa"/>
                  <w:vMerge w:val="continue"/>
                  <w:vAlign w:val="center"/>
                </w:tcPr>
                <w:p w14:paraId="7904213D">
                  <w:pPr>
                    <w:spacing w:line="240" w:lineRule="exact"/>
                    <w:jc w:val="center"/>
                    <w:rPr>
                      <w:rFonts w:hint="default" w:ascii="Times New Roman" w:hAnsi="Times New Roman" w:cs="Times New Roman"/>
                      <w:color w:val="auto"/>
                      <w:sz w:val="18"/>
                      <w:szCs w:val="18"/>
                      <w:highlight w:val="none"/>
                      <w:lang w:val="en-US" w:eastAsia="zh-CN"/>
                    </w:rPr>
                  </w:pPr>
                </w:p>
              </w:tc>
              <w:tc>
                <w:tcPr>
                  <w:tcW w:w="870" w:type="dxa"/>
                  <w:vMerge w:val="restart"/>
                  <w:vAlign w:val="center"/>
                </w:tcPr>
                <w:p w14:paraId="6AC44332">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1.5</w:t>
                  </w:r>
                </w:p>
              </w:tc>
              <w:tc>
                <w:tcPr>
                  <w:tcW w:w="713" w:type="dxa"/>
                  <w:vMerge w:val="restart"/>
                  <w:vAlign w:val="center"/>
                </w:tcPr>
                <w:p w14:paraId="2A78A7D4">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w:t>
                  </w:r>
                </w:p>
              </w:tc>
            </w:tr>
            <w:tr w14:paraId="1A06F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vAlign w:val="center"/>
                </w:tcPr>
                <w:p w14:paraId="127C9598">
                  <w:pPr>
                    <w:spacing w:line="240" w:lineRule="exact"/>
                    <w:jc w:val="center"/>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lang w:val="en-US" w:eastAsia="zh-CN"/>
                    </w:rPr>
                    <w:t>卸料、堆存过程</w:t>
                  </w:r>
                </w:p>
              </w:tc>
              <w:tc>
                <w:tcPr>
                  <w:tcW w:w="356" w:type="dxa"/>
                  <w:vMerge w:val="continue"/>
                  <w:vAlign w:val="center"/>
                </w:tcPr>
                <w:p w14:paraId="5C3203B1">
                  <w:pPr>
                    <w:spacing w:line="240" w:lineRule="exact"/>
                    <w:jc w:val="center"/>
                    <w:rPr>
                      <w:rFonts w:hint="default" w:ascii="Times New Roman" w:hAnsi="Times New Roman" w:cs="Times New Roman"/>
                      <w:color w:val="auto"/>
                      <w:sz w:val="18"/>
                      <w:szCs w:val="18"/>
                      <w:highlight w:val="none"/>
                    </w:rPr>
                  </w:pPr>
                </w:p>
              </w:tc>
              <w:tc>
                <w:tcPr>
                  <w:tcW w:w="574" w:type="dxa"/>
                  <w:vAlign w:val="center"/>
                </w:tcPr>
                <w:p w14:paraId="4AA0E0E9">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氨气</w:t>
                  </w:r>
                </w:p>
              </w:tc>
              <w:tc>
                <w:tcPr>
                  <w:tcW w:w="601" w:type="dxa"/>
                  <w:vAlign w:val="center"/>
                </w:tcPr>
                <w:p w14:paraId="090C23F7">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0.3</w:t>
                  </w:r>
                </w:p>
              </w:tc>
              <w:tc>
                <w:tcPr>
                  <w:tcW w:w="870" w:type="dxa"/>
                  <w:vAlign w:val="center"/>
                </w:tcPr>
                <w:p w14:paraId="6410E8C4">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813" w:type="dxa"/>
                  <w:vAlign w:val="center"/>
                </w:tcPr>
                <w:p w14:paraId="22FEFA3D">
                  <w:pPr>
                    <w:spacing w:line="240" w:lineRule="exact"/>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0.0</w:t>
                  </w:r>
                  <w:r>
                    <w:rPr>
                      <w:rFonts w:hint="eastAsia" w:cs="Times New Roman"/>
                      <w:color w:val="auto"/>
                      <w:sz w:val="18"/>
                      <w:szCs w:val="18"/>
                      <w:highlight w:val="none"/>
                      <w:lang w:val="en-US" w:eastAsia="zh-CN"/>
                    </w:rPr>
                    <w:t>4</w:t>
                  </w:r>
                </w:p>
              </w:tc>
              <w:tc>
                <w:tcPr>
                  <w:tcW w:w="860" w:type="dxa"/>
                  <w:vAlign w:val="center"/>
                </w:tcPr>
                <w:p w14:paraId="1F452773">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670" w:type="dxa"/>
                  <w:vAlign w:val="center"/>
                </w:tcPr>
                <w:p w14:paraId="73D8C50A">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888" w:type="dxa"/>
                  <w:vMerge w:val="continue"/>
                  <w:vAlign w:val="center"/>
                </w:tcPr>
                <w:p w14:paraId="5014A268">
                  <w:pPr>
                    <w:spacing w:line="240" w:lineRule="exact"/>
                    <w:jc w:val="center"/>
                    <w:rPr>
                      <w:rFonts w:hint="default" w:ascii="Times New Roman" w:hAnsi="Times New Roman" w:cs="Times New Roman"/>
                      <w:color w:val="auto"/>
                      <w:sz w:val="18"/>
                      <w:szCs w:val="18"/>
                      <w:highlight w:val="none"/>
                    </w:rPr>
                  </w:pPr>
                </w:p>
              </w:tc>
              <w:tc>
                <w:tcPr>
                  <w:tcW w:w="714" w:type="dxa"/>
                  <w:vAlign w:val="center"/>
                </w:tcPr>
                <w:p w14:paraId="4F277E61">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728" w:type="dxa"/>
                  <w:vAlign w:val="center"/>
                </w:tcPr>
                <w:p w14:paraId="00744EBC">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640" w:type="dxa"/>
                  <w:vMerge w:val="continue"/>
                  <w:vAlign w:val="center"/>
                </w:tcPr>
                <w:p w14:paraId="1D34CE88">
                  <w:pPr>
                    <w:spacing w:line="240" w:lineRule="exact"/>
                    <w:jc w:val="center"/>
                    <w:rPr>
                      <w:rFonts w:hint="default" w:ascii="Times New Roman" w:hAnsi="Times New Roman" w:cs="Times New Roman"/>
                      <w:color w:val="auto"/>
                      <w:sz w:val="18"/>
                      <w:szCs w:val="18"/>
                      <w:highlight w:val="none"/>
                      <w:lang w:val="en-US" w:eastAsia="zh-CN"/>
                    </w:rPr>
                  </w:pPr>
                </w:p>
              </w:tc>
              <w:tc>
                <w:tcPr>
                  <w:tcW w:w="933" w:type="dxa"/>
                  <w:vMerge w:val="continue"/>
                  <w:vAlign w:val="center"/>
                </w:tcPr>
                <w:p w14:paraId="7A1A744C">
                  <w:pPr>
                    <w:spacing w:line="240" w:lineRule="exact"/>
                    <w:jc w:val="center"/>
                    <w:rPr>
                      <w:rFonts w:hint="default" w:ascii="Times New Roman" w:hAnsi="Times New Roman" w:cs="Times New Roman"/>
                      <w:color w:val="auto"/>
                      <w:sz w:val="18"/>
                      <w:szCs w:val="18"/>
                      <w:highlight w:val="none"/>
                      <w:lang w:val="en-US" w:eastAsia="zh-CN"/>
                    </w:rPr>
                  </w:pPr>
                </w:p>
              </w:tc>
              <w:tc>
                <w:tcPr>
                  <w:tcW w:w="771" w:type="dxa"/>
                  <w:vMerge w:val="continue"/>
                  <w:vAlign w:val="center"/>
                </w:tcPr>
                <w:p w14:paraId="105745BA">
                  <w:pPr>
                    <w:spacing w:line="240" w:lineRule="exact"/>
                    <w:jc w:val="center"/>
                    <w:rPr>
                      <w:rFonts w:hint="default" w:ascii="Times New Roman" w:hAnsi="Times New Roman" w:cs="Times New Roman"/>
                      <w:color w:val="auto"/>
                      <w:sz w:val="18"/>
                      <w:szCs w:val="18"/>
                      <w:highlight w:val="none"/>
                      <w:lang w:val="en-US" w:eastAsia="zh-CN"/>
                    </w:rPr>
                  </w:pPr>
                </w:p>
              </w:tc>
              <w:tc>
                <w:tcPr>
                  <w:tcW w:w="912" w:type="dxa"/>
                  <w:vMerge w:val="continue"/>
                  <w:vAlign w:val="center"/>
                </w:tcPr>
                <w:p w14:paraId="38E7876F">
                  <w:pPr>
                    <w:spacing w:line="240" w:lineRule="exact"/>
                    <w:jc w:val="center"/>
                    <w:rPr>
                      <w:rFonts w:hint="default" w:ascii="Times New Roman" w:hAnsi="Times New Roman" w:cs="Times New Roman"/>
                      <w:color w:val="auto"/>
                      <w:sz w:val="18"/>
                      <w:szCs w:val="18"/>
                      <w:highlight w:val="none"/>
                      <w:lang w:val="en-US" w:eastAsia="zh-CN"/>
                    </w:rPr>
                  </w:pPr>
                </w:p>
              </w:tc>
              <w:tc>
                <w:tcPr>
                  <w:tcW w:w="870" w:type="dxa"/>
                  <w:vMerge w:val="continue"/>
                  <w:vAlign w:val="center"/>
                </w:tcPr>
                <w:p w14:paraId="7F0EC1B8">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c>
                <w:tcPr>
                  <w:tcW w:w="713" w:type="dxa"/>
                  <w:vMerge w:val="continue"/>
                  <w:vAlign w:val="center"/>
                </w:tcPr>
                <w:p w14:paraId="17141C5B">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r>
            <w:tr w14:paraId="33A3C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3" w:type="dxa"/>
                  <w:vAlign w:val="center"/>
                </w:tcPr>
                <w:p w14:paraId="6DF09210">
                  <w:pPr>
                    <w:spacing w:line="240" w:lineRule="exact"/>
                    <w:jc w:val="center"/>
                    <w:rPr>
                      <w:rFonts w:hint="default" w:ascii="Times New Roman" w:hAnsi="Times New Roman" w:cs="Times New Roman"/>
                      <w:bCs/>
                      <w:color w:val="auto"/>
                      <w:sz w:val="18"/>
                      <w:szCs w:val="18"/>
                      <w:highlight w:val="none"/>
                      <w:lang w:val="en-US" w:eastAsia="zh-CN"/>
                    </w:rPr>
                  </w:pPr>
                  <w:r>
                    <w:rPr>
                      <w:rFonts w:hint="eastAsia" w:cs="Times New Roman"/>
                      <w:bCs/>
                      <w:color w:val="auto"/>
                      <w:sz w:val="18"/>
                      <w:szCs w:val="18"/>
                      <w:highlight w:val="none"/>
                      <w:lang w:val="en-US" w:eastAsia="zh-CN"/>
                    </w:rPr>
                    <w:t>集气罩未收集、</w:t>
                  </w:r>
                  <w:r>
                    <w:rPr>
                      <w:rFonts w:hint="default" w:ascii="Times New Roman" w:hAnsi="Times New Roman" w:cs="Times New Roman"/>
                      <w:bCs/>
                      <w:color w:val="auto"/>
                      <w:sz w:val="18"/>
                      <w:szCs w:val="18"/>
                      <w:highlight w:val="none"/>
                      <w:lang w:val="en-US" w:eastAsia="zh-CN"/>
                    </w:rPr>
                    <w:t>卸料、堆存过程</w:t>
                  </w:r>
                </w:p>
              </w:tc>
              <w:tc>
                <w:tcPr>
                  <w:tcW w:w="356" w:type="dxa"/>
                  <w:vAlign w:val="center"/>
                </w:tcPr>
                <w:p w14:paraId="41F8A57C">
                  <w:pPr>
                    <w:spacing w:line="240" w:lineRule="exact"/>
                    <w:jc w:val="center"/>
                    <w:rPr>
                      <w:rFonts w:hint="default" w:ascii="Times New Roman" w:hAnsi="Times New Roman" w:cs="Times New Roman"/>
                      <w:color w:val="auto"/>
                      <w:sz w:val="18"/>
                      <w:szCs w:val="18"/>
                      <w:highlight w:val="none"/>
                    </w:rPr>
                  </w:pPr>
                </w:p>
              </w:tc>
              <w:tc>
                <w:tcPr>
                  <w:tcW w:w="574" w:type="dxa"/>
                  <w:shd w:val="clear" w:color="auto" w:fill="auto"/>
                  <w:vAlign w:val="center"/>
                </w:tcPr>
                <w:p w14:paraId="59E6AADC">
                  <w:pPr>
                    <w:spacing w:line="240" w:lineRule="exact"/>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臭气浓度</w:t>
                  </w:r>
                </w:p>
              </w:tc>
              <w:tc>
                <w:tcPr>
                  <w:tcW w:w="601" w:type="dxa"/>
                  <w:shd w:val="clear" w:color="auto" w:fill="auto"/>
                  <w:vAlign w:val="center"/>
                </w:tcPr>
                <w:p w14:paraId="5830FDE1">
                  <w:pPr>
                    <w:spacing w:line="240" w:lineRule="exact"/>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16（无量纲）</w:t>
                  </w:r>
                </w:p>
              </w:tc>
              <w:tc>
                <w:tcPr>
                  <w:tcW w:w="870" w:type="dxa"/>
                  <w:vAlign w:val="center"/>
                </w:tcPr>
                <w:p w14:paraId="5F33C169">
                  <w:pPr>
                    <w:spacing w:line="240" w:lineRule="exact"/>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813" w:type="dxa"/>
                  <w:vAlign w:val="center"/>
                </w:tcPr>
                <w:p w14:paraId="3B074227">
                  <w:pPr>
                    <w:spacing w:line="240" w:lineRule="exact"/>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860" w:type="dxa"/>
                  <w:vAlign w:val="center"/>
                </w:tcPr>
                <w:p w14:paraId="56E0E5D4">
                  <w:pPr>
                    <w:spacing w:line="240" w:lineRule="exact"/>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670" w:type="dxa"/>
                  <w:vAlign w:val="center"/>
                </w:tcPr>
                <w:p w14:paraId="1955BEE2">
                  <w:pPr>
                    <w:spacing w:line="240" w:lineRule="exact"/>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888" w:type="dxa"/>
                  <w:vMerge w:val="continue"/>
                  <w:vAlign w:val="center"/>
                </w:tcPr>
                <w:p w14:paraId="3434172D">
                  <w:pPr>
                    <w:spacing w:line="240" w:lineRule="exact"/>
                    <w:jc w:val="center"/>
                    <w:rPr>
                      <w:rFonts w:hint="eastAsia" w:cs="Times New Roman"/>
                      <w:color w:val="auto"/>
                      <w:sz w:val="18"/>
                      <w:szCs w:val="18"/>
                      <w:highlight w:val="none"/>
                      <w:lang w:val="en-US" w:eastAsia="zh-CN"/>
                    </w:rPr>
                  </w:pPr>
                </w:p>
              </w:tc>
              <w:tc>
                <w:tcPr>
                  <w:tcW w:w="714" w:type="dxa"/>
                  <w:vAlign w:val="center"/>
                </w:tcPr>
                <w:p w14:paraId="3E9FC379">
                  <w:pPr>
                    <w:spacing w:line="240" w:lineRule="exact"/>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728" w:type="dxa"/>
                  <w:vAlign w:val="center"/>
                </w:tcPr>
                <w:p w14:paraId="6314E3E1">
                  <w:pPr>
                    <w:spacing w:line="240" w:lineRule="exact"/>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640" w:type="dxa"/>
                  <w:vAlign w:val="center"/>
                </w:tcPr>
                <w:p w14:paraId="61231676">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16（无量纲）</w:t>
                  </w:r>
                </w:p>
              </w:tc>
              <w:tc>
                <w:tcPr>
                  <w:tcW w:w="933" w:type="dxa"/>
                  <w:vAlign w:val="center"/>
                </w:tcPr>
                <w:p w14:paraId="37A864AD">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kern w:val="2"/>
                      <w:sz w:val="18"/>
                      <w:szCs w:val="18"/>
                      <w:highlight w:val="none"/>
                      <w:lang w:val="en-US" w:eastAsia="zh-CN" w:bidi="ar-SA"/>
                    </w:rPr>
                    <w:t>/</w:t>
                  </w:r>
                </w:p>
              </w:tc>
              <w:tc>
                <w:tcPr>
                  <w:tcW w:w="771" w:type="dxa"/>
                  <w:vAlign w:val="center"/>
                </w:tcPr>
                <w:p w14:paraId="02AA8C92">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kern w:val="2"/>
                      <w:sz w:val="18"/>
                      <w:szCs w:val="18"/>
                      <w:highlight w:val="none"/>
                      <w:lang w:val="en-US" w:eastAsia="zh-CN" w:bidi="ar-SA"/>
                    </w:rPr>
                    <w:t>/</w:t>
                  </w:r>
                </w:p>
              </w:tc>
              <w:tc>
                <w:tcPr>
                  <w:tcW w:w="912" w:type="dxa"/>
                  <w:vAlign w:val="center"/>
                </w:tcPr>
                <w:p w14:paraId="660479E4">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7200</w:t>
                  </w:r>
                </w:p>
              </w:tc>
              <w:tc>
                <w:tcPr>
                  <w:tcW w:w="870" w:type="dxa"/>
                  <w:vAlign w:val="center"/>
                </w:tcPr>
                <w:p w14:paraId="4DA7CB59">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16（无量纲）</w:t>
                  </w:r>
                </w:p>
              </w:tc>
              <w:tc>
                <w:tcPr>
                  <w:tcW w:w="713" w:type="dxa"/>
                  <w:vAlign w:val="center"/>
                </w:tcPr>
                <w:p w14:paraId="713F8C97">
                  <w:pPr>
                    <w:spacing w:line="240" w:lineRule="exact"/>
                    <w:jc w:val="center"/>
                    <w:rPr>
                      <w:rFonts w:hint="default" w:ascii="Times New Roman" w:hAnsi="Times New Roman" w:eastAsia="宋体" w:cs="Times New Roman"/>
                      <w:color w:val="auto"/>
                      <w:kern w:val="2"/>
                      <w:sz w:val="18"/>
                      <w:szCs w:val="18"/>
                      <w:highlight w:val="none"/>
                      <w:lang w:val="en-US" w:eastAsia="zh-CN" w:bidi="ar-SA"/>
                    </w:rPr>
                  </w:pPr>
                </w:p>
              </w:tc>
            </w:tr>
          </w:tbl>
          <w:p w14:paraId="0574E62D">
            <w:pPr>
              <w:jc w:val="center"/>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rPr>
              <w:t>表4-</w:t>
            </w:r>
            <w:r>
              <w:rPr>
                <w:rFonts w:hint="eastAsia" w:cs="Times New Roman"/>
                <w:b/>
                <w:bCs/>
                <w:color w:val="auto"/>
                <w:highlight w:val="none"/>
                <w:lang w:val="en-US" w:eastAsia="zh-CN"/>
              </w:rPr>
              <w:t>5</w:t>
            </w:r>
            <w:r>
              <w:rPr>
                <w:rFonts w:hint="default" w:ascii="Times New Roman" w:hAnsi="Times New Roman" w:cs="Times New Roman"/>
                <w:b/>
                <w:bCs/>
                <w:color w:val="auto"/>
                <w:highlight w:val="none"/>
              </w:rPr>
              <w:t>大气污染物排放口基本情况表</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51"/>
              <w:gridCol w:w="496"/>
              <w:gridCol w:w="640"/>
              <w:gridCol w:w="918"/>
              <w:gridCol w:w="757"/>
              <w:gridCol w:w="1301"/>
              <w:gridCol w:w="1146"/>
              <w:gridCol w:w="524"/>
              <w:gridCol w:w="655"/>
              <w:gridCol w:w="612"/>
              <w:gridCol w:w="655"/>
              <w:gridCol w:w="728"/>
              <w:gridCol w:w="976"/>
              <w:gridCol w:w="757"/>
              <w:gridCol w:w="656"/>
              <w:gridCol w:w="704"/>
              <w:gridCol w:w="705"/>
            </w:tblGrid>
            <w:tr w14:paraId="6F449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00" w:hRule="atLeast"/>
                <w:jc w:val="center"/>
              </w:trPr>
              <w:tc>
                <w:tcPr>
                  <w:tcW w:w="351" w:type="dxa"/>
                  <w:vMerge w:val="restart"/>
                  <w:vAlign w:val="center"/>
                </w:tcPr>
                <w:p w14:paraId="18E790FE">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序号</w:t>
                  </w:r>
                </w:p>
              </w:tc>
              <w:tc>
                <w:tcPr>
                  <w:tcW w:w="496" w:type="dxa"/>
                  <w:vMerge w:val="restart"/>
                  <w:vAlign w:val="center"/>
                </w:tcPr>
                <w:p w14:paraId="0723B1F1">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排放时段</w:t>
                  </w:r>
                </w:p>
              </w:tc>
              <w:tc>
                <w:tcPr>
                  <w:tcW w:w="640" w:type="dxa"/>
                  <w:vMerge w:val="restart"/>
                  <w:vAlign w:val="center"/>
                </w:tcPr>
                <w:p w14:paraId="1CF28CF7">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排放口</w:t>
                  </w:r>
                </w:p>
                <w:p w14:paraId="3F95179F">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编号</w:t>
                  </w:r>
                </w:p>
              </w:tc>
              <w:tc>
                <w:tcPr>
                  <w:tcW w:w="918" w:type="dxa"/>
                  <w:vMerge w:val="restart"/>
                  <w:vAlign w:val="center"/>
                </w:tcPr>
                <w:p w14:paraId="1205C143">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排放口</w:t>
                  </w:r>
                </w:p>
                <w:p w14:paraId="721EC830">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名称</w:t>
                  </w:r>
                </w:p>
              </w:tc>
              <w:tc>
                <w:tcPr>
                  <w:tcW w:w="757" w:type="dxa"/>
                  <w:vMerge w:val="restart"/>
                  <w:vAlign w:val="center"/>
                </w:tcPr>
                <w:p w14:paraId="71835AF5">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排放口</w:t>
                  </w:r>
                </w:p>
                <w:p w14:paraId="375844A6">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类型</w:t>
                  </w:r>
                </w:p>
              </w:tc>
              <w:tc>
                <w:tcPr>
                  <w:tcW w:w="1301" w:type="dxa"/>
                  <w:vMerge w:val="restart"/>
                  <w:vAlign w:val="center"/>
                </w:tcPr>
                <w:p w14:paraId="00C3B8DA">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污染物种类</w:t>
                  </w:r>
                </w:p>
              </w:tc>
              <w:tc>
                <w:tcPr>
                  <w:tcW w:w="1146" w:type="dxa"/>
                  <w:vAlign w:val="center"/>
                </w:tcPr>
                <w:p w14:paraId="25B76E27">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排放口地理坐标</w:t>
                  </w:r>
                </w:p>
              </w:tc>
              <w:tc>
                <w:tcPr>
                  <w:tcW w:w="524" w:type="dxa"/>
                  <w:vMerge w:val="restart"/>
                  <w:vAlign w:val="center"/>
                </w:tcPr>
                <w:p w14:paraId="1D39C631">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排气筒高度（m）</w:t>
                  </w:r>
                </w:p>
              </w:tc>
              <w:tc>
                <w:tcPr>
                  <w:tcW w:w="655" w:type="dxa"/>
                  <w:vMerge w:val="restart"/>
                  <w:vAlign w:val="center"/>
                </w:tcPr>
                <w:p w14:paraId="7F93903D">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排气筒出口</w:t>
                  </w:r>
                </w:p>
                <w:p w14:paraId="0811C08A">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内径（m）</w:t>
                  </w:r>
                </w:p>
              </w:tc>
              <w:tc>
                <w:tcPr>
                  <w:tcW w:w="612" w:type="dxa"/>
                  <w:vMerge w:val="restart"/>
                  <w:vAlign w:val="center"/>
                </w:tcPr>
                <w:p w14:paraId="7DE34551">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排气温度（℃）</w:t>
                  </w:r>
                </w:p>
              </w:tc>
              <w:tc>
                <w:tcPr>
                  <w:tcW w:w="655" w:type="dxa"/>
                  <w:vMerge w:val="restart"/>
                  <w:vAlign w:val="center"/>
                </w:tcPr>
                <w:p w14:paraId="16774ED4">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废气排放量（m</w:t>
                  </w:r>
                  <w:r>
                    <w:rPr>
                      <w:rFonts w:hint="default" w:ascii="Times New Roman" w:hAnsi="Times New Roman" w:cs="Times New Roman"/>
                      <w:b/>
                      <w:bCs/>
                      <w:color w:val="auto"/>
                      <w:sz w:val="18"/>
                      <w:szCs w:val="18"/>
                      <w:highlight w:val="none"/>
                      <w:vertAlign w:val="superscript"/>
                    </w:rPr>
                    <w:t>3</w:t>
                  </w:r>
                  <w:r>
                    <w:rPr>
                      <w:rFonts w:hint="default" w:ascii="Times New Roman" w:hAnsi="Times New Roman" w:cs="Times New Roman"/>
                      <w:b/>
                      <w:bCs/>
                      <w:color w:val="auto"/>
                      <w:sz w:val="18"/>
                      <w:szCs w:val="18"/>
                      <w:highlight w:val="none"/>
                    </w:rPr>
                    <w:t>/h）</w:t>
                  </w:r>
                </w:p>
              </w:tc>
              <w:tc>
                <w:tcPr>
                  <w:tcW w:w="728" w:type="dxa"/>
                  <w:vMerge w:val="restart"/>
                  <w:vAlign w:val="center"/>
                </w:tcPr>
                <w:p w14:paraId="785FC1EC">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污染物排放量（t/a）</w:t>
                  </w:r>
                </w:p>
              </w:tc>
              <w:tc>
                <w:tcPr>
                  <w:tcW w:w="976" w:type="dxa"/>
                  <w:vMerge w:val="restart"/>
                  <w:vAlign w:val="center"/>
                </w:tcPr>
                <w:p w14:paraId="42C9870C">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污染物排放</w:t>
                  </w:r>
                </w:p>
                <w:p w14:paraId="6F214040">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浓度（mg/m</w:t>
                  </w:r>
                  <w:r>
                    <w:rPr>
                      <w:rFonts w:hint="default" w:ascii="Times New Roman" w:hAnsi="Times New Roman" w:cs="Times New Roman"/>
                      <w:b/>
                      <w:bCs/>
                      <w:color w:val="auto"/>
                      <w:sz w:val="18"/>
                      <w:szCs w:val="18"/>
                      <w:highlight w:val="none"/>
                      <w:vertAlign w:val="superscript"/>
                    </w:rPr>
                    <w:t>3</w:t>
                  </w:r>
                  <w:r>
                    <w:rPr>
                      <w:rFonts w:hint="default" w:ascii="Times New Roman" w:hAnsi="Times New Roman" w:cs="Times New Roman"/>
                      <w:b/>
                      <w:bCs/>
                      <w:color w:val="auto"/>
                      <w:sz w:val="18"/>
                      <w:szCs w:val="18"/>
                      <w:highlight w:val="none"/>
                    </w:rPr>
                    <w:t>）</w:t>
                  </w:r>
                </w:p>
              </w:tc>
              <w:tc>
                <w:tcPr>
                  <w:tcW w:w="757" w:type="dxa"/>
                  <w:vMerge w:val="restart"/>
                  <w:vAlign w:val="center"/>
                </w:tcPr>
                <w:p w14:paraId="628FFF11">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排放速率（kg/h）</w:t>
                  </w:r>
                </w:p>
              </w:tc>
              <w:tc>
                <w:tcPr>
                  <w:tcW w:w="656" w:type="dxa"/>
                  <w:vMerge w:val="restart"/>
                  <w:vAlign w:val="center"/>
                </w:tcPr>
                <w:p w14:paraId="2541102C">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排放时间（h）</w:t>
                  </w:r>
                </w:p>
              </w:tc>
              <w:tc>
                <w:tcPr>
                  <w:tcW w:w="1409" w:type="dxa"/>
                  <w:gridSpan w:val="2"/>
                  <w:vMerge w:val="restart"/>
                  <w:vAlign w:val="center"/>
                </w:tcPr>
                <w:p w14:paraId="16BD714F">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排放标准限值</w:t>
                  </w:r>
                </w:p>
              </w:tc>
            </w:tr>
            <w:tr w14:paraId="0985D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351" w:type="dxa"/>
                  <w:vMerge w:val="continue"/>
                  <w:vAlign w:val="center"/>
                </w:tcPr>
                <w:p w14:paraId="6F5B02BB">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496" w:type="dxa"/>
                  <w:vMerge w:val="continue"/>
                  <w:vAlign w:val="center"/>
                </w:tcPr>
                <w:p w14:paraId="7D7F2F41">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640" w:type="dxa"/>
                  <w:vMerge w:val="continue"/>
                  <w:vAlign w:val="center"/>
                </w:tcPr>
                <w:p w14:paraId="492231B7">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918" w:type="dxa"/>
                  <w:vMerge w:val="continue"/>
                  <w:vAlign w:val="center"/>
                </w:tcPr>
                <w:p w14:paraId="52519E82">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757" w:type="dxa"/>
                  <w:vMerge w:val="continue"/>
                  <w:vAlign w:val="center"/>
                </w:tcPr>
                <w:p w14:paraId="1AE87F46">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1301" w:type="dxa"/>
                  <w:vMerge w:val="continue"/>
                  <w:vAlign w:val="center"/>
                </w:tcPr>
                <w:p w14:paraId="654080D2">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1146" w:type="dxa"/>
                  <w:vMerge w:val="restart"/>
                  <w:vAlign w:val="center"/>
                </w:tcPr>
                <w:p w14:paraId="2A3EE8DA">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b/>
                      <w:bCs/>
                      <w:color w:val="auto"/>
                      <w:sz w:val="18"/>
                      <w:szCs w:val="18"/>
                      <w:highlight w:val="none"/>
                    </w:rPr>
                    <w:t>经度、纬度</w:t>
                  </w:r>
                </w:p>
              </w:tc>
              <w:tc>
                <w:tcPr>
                  <w:tcW w:w="524" w:type="dxa"/>
                  <w:vMerge w:val="continue"/>
                  <w:vAlign w:val="center"/>
                </w:tcPr>
                <w:p w14:paraId="239F903E">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655" w:type="dxa"/>
                  <w:vMerge w:val="continue"/>
                  <w:vAlign w:val="center"/>
                </w:tcPr>
                <w:p w14:paraId="14FE36C8">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612" w:type="dxa"/>
                  <w:vMerge w:val="continue"/>
                  <w:vAlign w:val="center"/>
                </w:tcPr>
                <w:p w14:paraId="359D528E">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655" w:type="dxa"/>
                  <w:vMerge w:val="continue"/>
                  <w:vAlign w:val="center"/>
                </w:tcPr>
                <w:p w14:paraId="6F4CE50E">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728" w:type="dxa"/>
                  <w:vMerge w:val="continue"/>
                  <w:vAlign w:val="center"/>
                </w:tcPr>
                <w:p w14:paraId="72F7FEF3">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976" w:type="dxa"/>
                  <w:vMerge w:val="continue"/>
                  <w:vAlign w:val="center"/>
                </w:tcPr>
                <w:p w14:paraId="7C274C8F">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757" w:type="dxa"/>
                  <w:vMerge w:val="continue"/>
                  <w:vAlign w:val="center"/>
                </w:tcPr>
                <w:p w14:paraId="52DB7B05">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656" w:type="dxa"/>
                  <w:vMerge w:val="continue"/>
                  <w:vAlign w:val="center"/>
                </w:tcPr>
                <w:p w14:paraId="123780B2">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1409" w:type="dxa"/>
                  <w:gridSpan w:val="2"/>
                  <w:vMerge w:val="continue"/>
                  <w:tcBorders>
                    <w:bottom w:val="single" w:color="000000" w:sz="6" w:space="0"/>
                  </w:tcBorders>
                  <w:vAlign w:val="center"/>
                </w:tcPr>
                <w:p w14:paraId="5DD2CA83">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r>
            <w:tr w14:paraId="224F6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6" w:hRule="atLeast"/>
                <w:jc w:val="center"/>
              </w:trPr>
              <w:tc>
                <w:tcPr>
                  <w:tcW w:w="351" w:type="dxa"/>
                  <w:vMerge w:val="continue"/>
                  <w:vAlign w:val="center"/>
                </w:tcPr>
                <w:p w14:paraId="03D6E121">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496" w:type="dxa"/>
                  <w:vMerge w:val="continue"/>
                  <w:vAlign w:val="center"/>
                </w:tcPr>
                <w:p w14:paraId="01B35E2E">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640" w:type="dxa"/>
                  <w:vMerge w:val="continue"/>
                  <w:vAlign w:val="center"/>
                </w:tcPr>
                <w:p w14:paraId="01F87865">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918" w:type="dxa"/>
                  <w:vMerge w:val="continue"/>
                  <w:vAlign w:val="center"/>
                </w:tcPr>
                <w:p w14:paraId="22BAF507">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757" w:type="dxa"/>
                  <w:vMerge w:val="continue"/>
                  <w:vAlign w:val="center"/>
                </w:tcPr>
                <w:p w14:paraId="7522791E">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1301" w:type="dxa"/>
                  <w:vMerge w:val="continue"/>
                  <w:vAlign w:val="center"/>
                </w:tcPr>
                <w:p w14:paraId="326C6D1C">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1146" w:type="dxa"/>
                  <w:vMerge w:val="continue"/>
                  <w:vAlign w:val="center"/>
                </w:tcPr>
                <w:p w14:paraId="136932AB">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bCs/>
                      <w:color w:val="auto"/>
                      <w:sz w:val="18"/>
                      <w:szCs w:val="18"/>
                      <w:highlight w:val="none"/>
                    </w:rPr>
                  </w:pPr>
                </w:p>
              </w:tc>
              <w:tc>
                <w:tcPr>
                  <w:tcW w:w="524" w:type="dxa"/>
                  <w:vMerge w:val="continue"/>
                  <w:vAlign w:val="center"/>
                </w:tcPr>
                <w:p w14:paraId="4FB07386">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655" w:type="dxa"/>
                  <w:vMerge w:val="continue"/>
                  <w:vAlign w:val="center"/>
                </w:tcPr>
                <w:p w14:paraId="3113F164">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612" w:type="dxa"/>
                  <w:vMerge w:val="continue"/>
                  <w:vAlign w:val="center"/>
                </w:tcPr>
                <w:p w14:paraId="6F94763C">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655" w:type="dxa"/>
                  <w:vMerge w:val="continue"/>
                  <w:vAlign w:val="center"/>
                </w:tcPr>
                <w:p w14:paraId="114EEB60">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728" w:type="dxa"/>
                  <w:vMerge w:val="continue"/>
                  <w:vAlign w:val="center"/>
                </w:tcPr>
                <w:p w14:paraId="010B8B78">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976" w:type="dxa"/>
                  <w:vMerge w:val="continue"/>
                  <w:vAlign w:val="center"/>
                </w:tcPr>
                <w:p w14:paraId="17924BDF">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757" w:type="dxa"/>
                  <w:vMerge w:val="continue"/>
                  <w:vAlign w:val="center"/>
                </w:tcPr>
                <w:p w14:paraId="489F6A7A">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656" w:type="dxa"/>
                  <w:vMerge w:val="continue"/>
                  <w:vAlign w:val="center"/>
                </w:tcPr>
                <w:p w14:paraId="1DD75E56">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704" w:type="dxa"/>
                  <w:tcBorders>
                    <w:top w:val="single" w:color="000000" w:sz="6" w:space="0"/>
                  </w:tcBorders>
                  <w:vAlign w:val="center"/>
                </w:tcPr>
                <w:p w14:paraId="3213D7EF">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18"/>
                      <w:szCs w:val="18"/>
                      <w:highlight w:val="none"/>
                      <w:lang w:eastAsia="zh-CN"/>
                    </w:rPr>
                  </w:pPr>
                  <w:r>
                    <w:rPr>
                      <w:rFonts w:hint="default" w:ascii="Times New Roman" w:hAnsi="Times New Roman" w:cs="Times New Roman"/>
                      <w:b/>
                      <w:bCs/>
                      <w:color w:val="auto"/>
                      <w:sz w:val="18"/>
                      <w:szCs w:val="18"/>
                      <w:highlight w:val="none"/>
                      <w:lang w:eastAsia="zh-CN"/>
                    </w:rPr>
                    <w:t>浓度</w:t>
                  </w:r>
                  <w:r>
                    <w:rPr>
                      <w:rFonts w:hint="default" w:ascii="Times New Roman" w:hAnsi="Times New Roman" w:cs="Times New Roman"/>
                      <w:b/>
                      <w:bCs/>
                      <w:color w:val="auto"/>
                      <w:sz w:val="18"/>
                      <w:szCs w:val="18"/>
                      <w:highlight w:val="none"/>
                    </w:rPr>
                    <w:t>mg/m</w:t>
                  </w:r>
                  <w:r>
                    <w:rPr>
                      <w:rFonts w:hint="default" w:ascii="Times New Roman" w:hAnsi="Times New Roman" w:cs="Times New Roman"/>
                      <w:b/>
                      <w:bCs/>
                      <w:color w:val="auto"/>
                      <w:sz w:val="18"/>
                      <w:szCs w:val="18"/>
                      <w:highlight w:val="none"/>
                      <w:vertAlign w:val="superscript"/>
                    </w:rPr>
                    <w:t>3</w:t>
                  </w:r>
                </w:p>
              </w:tc>
              <w:tc>
                <w:tcPr>
                  <w:tcW w:w="705" w:type="dxa"/>
                  <w:tcBorders>
                    <w:top w:val="single" w:color="000000" w:sz="6" w:space="0"/>
                  </w:tcBorders>
                  <w:vAlign w:val="center"/>
                </w:tcPr>
                <w:p w14:paraId="634A7FBC">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z w:val="18"/>
                      <w:szCs w:val="18"/>
                      <w:highlight w:val="none"/>
                      <w:lang w:eastAsia="zh-CN"/>
                    </w:rPr>
                  </w:pPr>
                  <w:r>
                    <w:rPr>
                      <w:rFonts w:hint="default" w:ascii="Times New Roman" w:hAnsi="Times New Roman" w:cs="Times New Roman"/>
                      <w:b/>
                      <w:bCs/>
                      <w:color w:val="auto"/>
                      <w:sz w:val="18"/>
                      <w:szCs w:val="18"/>
                      <w:highlight w:val="none"/>
                      <w:lang w:eastAsia="zh-CN"/>
                    </w:rPr>
                    <w:t>速率</w:t>
                  </w:r>
                  <w:r>
                    <w:rPr>
                      <w:rFonts w:hint="default" w:ascii="Times New Roman" w:hAnsi="Times New Roman" w:cs="Times New Roman"/>
                      <w:b/>
                      <w:bCs/>
                      <w:color w:val="auto"/>
                      <w:sz w:val="18"/>
                      <w:szCs w:val="18"/>
                      <w:highlight w:val="none"/>
                      <w:vertAlign w:val="baseline"/>
                      <w:lang w:val="en-US" w:eastAsia="zh-CN"/>
                    </w:rPr>
                    <w:t>kg/h</w:t>
                  </w:r>
                </w:p>
              </w:tc>
            </w:tr>
            <w:tr w14:paraId="729DB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351" w:type="dxa"/>
                  <w:vMerge w:val="restart"/>
                  <w:vAlign w:val="center"/>
                </w:tcPr>
                <w:p w14:paraId="707035A8">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496" w:type="dxa"/>
                  <w:vMerge w:val="restart"/>
                  <w:vAlign w:val="center"/>
                </w:tcPr>
                <w:p w14:paraId="1DF279AA">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连续</w:t>
                  </w:r>
                </w:p>
              </w:tc>
              <w:tc>
                <w:tcPr>
                  <w:tcW w:w="640" w:type="dxa"/>
                  <w:vMerge w:val="restart"/>
                  <w:vAlign w:val="center"/>
                </w:tcPr>
                <w:p w14:paraId="4450FE66">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DA001</w:t>
                  </w:r>
                </w:p>
              </w:tc>
              <w:tc>
                <w:tcPr>
                  <w:tcW w:w="918" w:type="dxa"/>
                  <w:vMerge w:val="restart"/>
                  <w:vAlign w:val="center"/>
                </w:tcPr>
                <w:p w14:paraId="6773ED16">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天然气燃烧、造粒、烘干排放口</w:t>
                  </w:r>
                </w:p>
              </w:tc>
              <w:tc>
                <w:tcPr>
                  <w:tcW w:w="757" w:type="dxa"/>
                  <w:vMerge w:val="restart"/>
                  <w:vAlign w:val="center"/>
                </w:tcPr>
                <w:p w14:paraId="3EADC9AB">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主要排放口</w:t>
                  </w:r>
                </w:p>
              </w:tc>
              <w:tc>
                <w:tcPr>
                  <w:tcW w:w="1301" w:type="dxa"/>
                  <w:vAlign w:val="center"/>
                </w:tcPr>
                <w:p w14:paraId="2CB525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SO</w:t>
                  </w:r>
                  <w:r>
                    <w:rPr>
                      <w:rFonts w:hint="eastAsia" w:ascii="Times New Roman" w:hAnsi="Times New Roman" w:eastAsia="宋体" w:cs="Times New Roman"/>
                      <w:bCs/>
                      <w:color w:val="auto"/>
                      <w:kern w:val="2"/>
                      <w:sz w:val="18"/>
                      <w:szCs w:val="18"/>
                      <w:highlight w:val="none"/>
                      <w:vertAlign w:val="subscript"/>
                      <w:lang w:val="en-US" w:eastAsia="zh-CN" w:bidi="ar-SA"/>
                    </w:rPr>
                    <w:t>2</w:t>
                  </w:r>
                </w:p>
              </w:tc>
              <w:tc>
                <w:tcPr>
                  <w:tcW w:w="1146" w:type="dxa"/>
                  <w:vMerge w:val="restart"/>
                  <w:vAlign w:val="center"/>
                </w:tcPr>
                <w:p w14:paraId="5F63918E">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118.004742°</w:t>
                  </w:r>
                  <w:r>
                    <w:rPr>
                      <w:rFonts w:hint="eastAsia" w:cs="Times New Roman"/>
                      <w:color w:val="auto"/>
                      <w:sz w:val="18"/>
                      <w:szCs w:val="18"/>
                      <w:highlight w:val="none"/>
                      <w:lang w:eastAsia="zh-CN"/>
                    </w:rPr>
                    <w:t>、</w:t>
                  </w:r>
                  <w:r>
                    <w:rPr>
                      <w:rFonts w:hint="default" w:ascii="Times New Roman" w:hAnsi="Times New Roman" w:cs="Times New Roman"/>
                      <w:color w:val="auto"/>
                      <w:sz w:val="18"/>
                      <w:szCs w:val="18"/>
                      <w:highlight w:val="none"/>
                    </w:rPr>
                    <w:t>36.706855°</w:t>
                  </w:r>
                </w:p>
                <w:p w14:paraId="0FAF384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sz w:val="18"/>
                      <w:szCs w:val="18"/>
                      <w:highlight w:val="none"/>
                      <w:lang w:eastAsia="zh-CN"/>
                    </w:rPr>
                  </w:pPr>
                </w:p>
              </w:tc>
              <w:tc>
                <w:tcPr>
                  <w:tcW w:w="524" w:type="dxa"/>
                  <w:vMerge w:val="restart"/>
                  <w:vAlign w:val="center"/>
                </w:tcPr>
                <w:p w14:paraId="567BE9C5">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655" w:type="dxa"/>
                  <w:vMerge w:val="restart"/>
                  <w:vAlign w:val="center"/>
                </w:tcPr>
                <w:p w14:paraId="762483AF">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612" w:type="dxa"/>
                  <w:vMerge w:val="restart"/>
                  <w:vAlign w:val="center"/>
                </w:tcPr>
                <w:p w14:paraId="724A40D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50</w:t>
                  </w:r>
                </w:p>
              </w:tc>
              <w:tc>
                <w:tcPr>
                  <w:tcW w:w="655" w:type="dxa"/>
                  <w:vMerge w:val="restart"/>
                  <w:vAlign w:val="center"/>
                </w:tcPr>
                <w:p w14:paraId="3F3E6D42">
                  <w:pPr>
                    <w:spacing w:line="240" w:lineRule="auto"/>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6500</w:t>
                  </w:r>
                </w:p>
              </w:tc>
              <w:tc>
                <w:tcPr>
                  <w:tcW w:w="728" w:type="dxa"/>
                  <w:vAlign w:val="center"/>
                </w:tcPr>
                <w:p w14:paraId="3F34DA91">
                  <w:pPr>
                    <w:keepNext w:val="0"/>
                    <w:keepLines w:val="0"/>
                    <w:widowControl/>
                    <w:suppressLineNumbers w:val="0"/>
                    <w:jc w:val="center"/>
                    <w:textAlignment w:val="center"/>
                    <w:rPr>
                      <w:rFonts w:hint="default" w:ascii="Times New Roman" w:hAnsi="Times New Roman" w:cs="Times New Roman"/>
                      <w:color w:val="auto"/>
                      <w:sz w:val="18"/>
                      <w:szCs w:val="18"/>
                      <w:highlight w:val="yellow"/>
                      <w:lang w:val="en-US" w:eastAsia="zh-CN"/>
                    </w:rPr>
                  </w:pPr>
                  <w:r>
                    <w:rPr>
                      <w:rFonts w:hint="eastAsia" w:ascii="Times New Roman" w:hAnsi="Times New Roman" w:eastAsia="宋体" w:cs="Times New Roman"/>
                      <w:color w:val="auto"/>
                      <w:sz w:val="18"/>
                      <w:szCs w:val="18"/>
                      <w:highlight w:val="none"/>
                      <w:lang w:val="en-US" w:eastAsia="zh-CN"/>
                    </w:rPr>
                    <w:t>0.12</w:t>
                  </w:r>
                </w:p>
              </w:tc>
              <w:tc>
                <w:tcPr>
                  <w:tcW w:w="976" w:type="dxa"/>
                  <w:vAlign w:val="center"/>
                </w:tcPr>
                <w:p w14:paraId="26EDC95C">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yellow"/>
                      <w:lang w:val="en-US" w:eastAsia="zh-CN"/>
                    </w:rPr>
                  </w:pPr>
                  <w:r>
                    <w:rPr>
                      <w:rFonts w:hint="eastAsia" w:cs="Times New Roman"/>
                      <w:color w:val="auto"/>
                      <w:sz w:val="18"/>
                      <w:szCs w:val="18"/>
                      <w:highlight w:val="none"/>
                      <w:lang w:val="en-US" w:eastAsia="zh-CN"/>
                    </w:rPr>
                    <w:t>2.56</w:t>
                  </w:r>
                </w:p>
              </w:tc>
              <w:tc>
                <w:tcPr>
                  <w:tcW w:w="757" w:type="dxa"/>
                  <w:vAlign w:val="center"/>
                </w:tcPr>
                <w:p w14:paraId="6FCF6042">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yellow"/>
                      <w:lang w:val="en-US" w:eastAsia="zh-CN"/>
                    </w:rPr>
                  </w:pPr>
                  <w:r>
                    <w:rPr>
                      <w:rFonts w:hint="eastAsia" w:ascii="Times New Roman" w:hAnsi="Times New Roman" w:eastAsia="宋体" w:cs="Times New Roman"/>
                      <w:color w:val="auto"/>
                      <w:kern w:val="2"/>
                      <w:sz w:val="18"/>
                      <w:szCs w:val="18"/>
                      <w:highlight w:val="none"/>
                      <w:lang w:val="en-US" w:eastAsia="zh-CN" w:bidi="ar-SA"/>
                    </w:rPr>
                    <w:t>0.017</w:t>
                  </w:r>
                </w:p>
              </w:tc>
              <w:tc>
                <w:tcPr>
                  <w:tcW w:w="656" w:type="dxa"/>
                  <w:vMerge w:val="restart"/>
                  <w:vAlign w:val="center"/>
                </w:tcPr>
                <w:p w14:paraId="1E7FB6C6">
                  <w:pPr>
                    <w:spacing w:line="240" w:lineRule="auto"/>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7200</w:t>
                  </w:r>
                </w:p>
              </w:tc>
              <w:tc>
                <w:tcPr>
                  <w:tcW w:w="704" w:type="dxa"/>
                  <w:vAlign w:val="center"/>
                </w:tcPr>
                <w:p w14:paraId="55FABF05">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50</w:t>
                  </w:r>
                </w:p>
              </w:tc>
              <w:tc>
                <w:tcPr>
                  <w:tcW w:w="705" w:type="dxa"/>
                  <w:vAlign w:val="center"/>
                </w:tcPr>
                <w:p w14:paraId="4F395854">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r w14:paraId="3B94E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351" w:type="dxa"/>
                  <w:vMerge w:val="continue"/>
                  <w:vAlign w:val="center"/>
                </w:tcPr>
                <w:p w14:paraId="287D571E">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s="Times New Roman"/>
                      <w:color w:val="auto"/>
                      <w:sz w:val="18"/>
                      <w:szCs w:val="18"/>
                      <w:highlight w:val="none"/>
                      <w:lang w:val="en-US" w:eastAsia="zh-CN"/>
                    </w:rPr>
                  </w:pPr>
                </w:p>
              </w:tc>
              <w:tc>
                <w:tcPr>
                  <w:tcW w:w="496" w:type="dxa"/>
                  <w:vMerge w:val="continue"/>
                  <w:vAlign w:val="center"/>
                </w:tcPr>
                <w:p w14:paraId="72DEBFBB">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s="Times New Roman"/>
                      <w:color w:val="auto"/>
                      <w:sz w:val="18"/>
                      <w:szCs w:val="18"/>
                      <w:highlight w:val="none"/>
                      <w:lang w:val="en-US" w:eastAsia="zh-CN"/>
                    </w:rPr>
                  </w:pPr>
                </w:p>
              </w:tc>
              <w:tc>
                <w:tcPr>
                  <w:tcW w:w="640" w:type="dxa"/>
                  <w:vMerge w:val="continue"/>
                  <w:vAlign w:val="center"/>
                </w:tcPr>
                <w:p w14:paraId="093BB8B1">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918" w:type="dxa"/>
                  <w:vMerge w:val="continue"/>
                  <w:vAlign w:val="center"/>
                </w:tcPr>
                <w:p w14:paraId="2736ED76">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p>
              </w:tc>
              <w:tc>
                <w:tcPr>
                  <w:tcW w:w="757" w:type="dxa"/>
                  <w:vMerge w:val="continue"/>
                  <w:vAlign w:val="center"/>
                </w:tcPr>
                <w:p w14:paraId="27049407">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1301" w:type="dxa"/>
                  <w:vAlign w:val="center"/>
                </w:tcPr>
                <w:p w14:paraId="139312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NOx</w:t>
                  </w:r>
                </w:p>
              </w:tc>
              <w:tc>
                <w:tcPr>
                  <w:tcW w:w="1146" w:type="dxa"/>
                  <w:vMerge w:val="continue"/>
                  <w:vAlign w:val="center"/>
                </w:tcPr>
                <w:p w14:paraId="67ED859A">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524" w:type="dxa"/>
                  <w:vMerge w:val="continue"/>
                  <w:vAlign w:val="center"/>
                </w:tcPr>
                <w:p w14:paraId="4FB4B8A1">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18"/>
                      <w:szCs w:val="18"/>
                      <w:highlight w:val="none"/>
                    </w:rPr>
                  </w:pPr>
                </w:p>
              </w:tc>
              <w:tc>
                <w:tcPr>
                  <w:tcW w:w="655" w:type="dxa"/>
                  <w:vMerge w:val="continue"/>
                  <w:vAlign w:val="center"/>
                </w:tcPr>
                <w:p w14:paraId="74884F92">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18"/>
                      <w:szCs w:val="18"/>
                      <w:highlight w:val="none"/>
                      <w:lang w:val="en-US" w:eastAsia="zh-CN"/>
                    </w:rPr>
                  </w:pPr>
                </w:p>
              </w:tc>
              <w:tc>
                <w:tcPr>
                  <w:tcW w:w="612" w:type="dxa"/>
                  <w:vMerge w:val="continue"/>
                  <w:vAlign w:val="center"/>
                </w:tcPr>
                <w:p w14:paraId="7E14F4C1">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18"/>
                      <w:szCs w:val="18"/>
                      <w:highlight w:val="none"/>
                      <w:lang w:val="en-US" w:eastAsia="zh-CN"/>
                    </w:rPr>
                  </w:pPr>
                </w:p>
              </w:tc>
              <w:tc>
                <w:tcPr>
                  <w:tcW w:w="655" w:type="dxa"/>
                  <w:vMerge w:val="continue"/>
                  <w:vAlign w:val="center"/>
                </w:tcPr>
                <w:p w14:paraId="7326E9FD">
                  <w:pPr>
                    <w:spacing w:line="240" w:lineRule="auto"/>
                    <w:jc w:val="center"/>
                    <w:rPr>
                      <w:rFonts w:hint="default" w:ascii="Times New Roman" w:hAnsi="Times New Roman" w:cs="Times New Roman"/>
                      <w:color w:val="auto"/>
                      <w:sz w:val="18"/>
                      <w:szCs w:val="18"/>
                      <w:highlight w:val="none"/>
                      <w:lang w:val="en-US" w:eastAsia="zh-CN"/>
                    </w:rPr>
                  </w:pPr>
                </w:p>
              </w:tc>
              <w:tc>
                <w:tcPr>
                  <w:tcW w:w="728" w:type="dxa"/>
                  <w:vAlign w:val="center"/>
                </w:tcPr>
                <w:p w14:paraId="4E139F83">
                  <w:pPr>
                    <w:keepNext w:val="0"/>
                    <w:keepLines w:val="0"/>
                    <w:widowControl/>
                    <w:suppressLineNumbers w:val="0"/>
                    <w:jc w:val="center"/>
                    <w:textAlignment w:val="center"/>
                    <w:rPr>
                      <w:rFonts w:hint="default" w:ascii="Times New Roman" w:hAnsi="Times New Roman" w:cs="Times New Roman"/>
                      <w:color w:val="auto"/>
                      <w:sz w:val="18"/>
                      <w:szCs w:val="18"/>
                      <w:highlight w:val="yellow"/>
                      <w:lang w:val="en-US" w:eastAsia="zh-CN"/>
                    </w:rPr>
                  </w:pPr>
                  <w:r>
                    <w:rPr>
                      <w:rFonts w:hint="eastAsia" w:cs="Times New Roman"/>
                      <w:color w:val="auto"/>
                      <w:sz w:val="18"/>
                      <w:szCs w:val="18"/>
                      <w:highlight w:val="none"/>
                      <w:lang w:val="en-US" w:eastAsia="zh-CN"/>
                    </w:rPr>
                    <w:t>0.4182</w:t>
                  </w:r>
                </w:p>
              </w:tc>
              <w:tc>
                <w:tcPr>
                  <w:tcW w:w="976" w:type="dxa"/>
                  <w:vAlign w:val="center"/>
                </w:tcPr>
                <w:p w14:paraId="0E40B6AF">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yellow"/>
                      <w:lang w:val="en-US" w:eastAsia="zh-CN"/>
                    </w:rPr>
                  </w:pPr>
                  <w:r>
                    <w:rPr>
                      <w:rFonts w:hint="eastAsia" w:cs="Times New Roman"/>
                      <w:color w:val="auto"/>
                      <w:sz w:val="18"/>
                      <w:szCs w:val="18"/>
                      <w:highlight w:val="none"/>
                      <w:lang w:val="en-US" w:eastAsia="zh-CN"/>
                    </w:rPr>
                    <w:t>8.94</w:t>
                  </w:r>
                </w:p>
              </w:tc>
              <w:tc>
                <w:tcPr>
                  <w:tcW w:w="757" w:type="dxa"/>
                  <w:vAlign w:val="center"/>
                </w:tcPr>
                <w:p w14:paraId="79884772">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yellow"/>
                      <w:lang w:val="en-US" w:eastAsia="zh-CN"/>
                    </w:rPr>
                  </w:pPr>
                  <w:r>
                    <w:rPr>
                      <w:rFonts w:hint="eastAsia" w:ascii="Times New Roman" w:hAnsi="Times New Roman" w:eastAsia="宋体" w:cs="Times New Roman"/>
                      <w:color w:val="auto"/>
                      <w:kern w:val="2"/>
                      <w:sz w:val="18"/>
                      <w:szCs w:val="18"/>
                      <w:highlight w:val="none"/>
                      <w:lang w:val="en-US" w:eastAsia="zh-CN" w:bidi="ar-SA"/>
                    </w:rPr>
                    <w:t>0.058</w:t>
                  </w:r>
                </w:p>
              </w:tc>
              <w:tc>
                <w:tcPr>
                  <w:tcW w:w="656" w:type="dxa"/>
                  <w:vMerge w:val="continue"/>
                  <w:vAlign w:val="center"/>
                </w:tcPr>
                <w:p w14:paraId="59460BBD">
                  <w:pPr>
                    <w:spacing w:line="240" w:lineRule="auto"/>
                    <w:jc w:val="center"/>
                    <w:rPr>
                      <w:rFonts w:hint="default" w:ascii="Times New Roman" w:hAnsi="Times New Roman" w:cs="Times New Roman"/>
                      <w:color w:val="auto"/>
                      <w:sz w:val="18"/>
                      <w:szCs w:val="18"/>
                      <w:highlight w:val="none"/>
                      <w:lang w:val="en-US" w:eastAsia="zh-CN"/>
                    </w:rPr>
                  </w:pPr>
                </w:p>
              </w:tc>
              <w:tc>
                <w:tcPr>
                  <w:tcW w:w="704" w:type="dxa"/>
                  <w:vAlign w:val="center"/>
                </w:tcPr>
                <w:p w14:paraId="295BA3E5">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100</w:t>
                  </w:r>
                </w:p>
              </w:tc>
              <w:tc>
                <w:tcPr>
                  <w:tcW w:w="705" w:type="dxa"/>
                  <w:vAlign w:val="center"/>
                </w:tcPr>
                <w:p w14:paraId="2C9BB27D">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r w14:paraId="39F63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51" w:type="dxa"/>
                  <w:vMerge w:val="continue"/>
                  <w:vAlign w:val="center"/>
                </w:tcPr>
                <w:p w14:paraId="3449F37D">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s="Times New Roman"/>
                      <w:color w:val="auto"/>
                      <w:sz w:val="18"/>
                      <w:szCs w:val="18"/>
                      <w:highlight w:val="none"/>
                      <w:lang w:val="en-US" w:eastAsia="zh-CN"/>
                    </w:rPr>
                  </w:pPr>
                </w:p>
              </w:tc>
              <w:tc>
                <w:tcPr>
                  <w:tcW w:w="496" w:type="dxa"/>
                  <w:vMerge w:val="continue"/>
                  <w:vAlign w:val="center"/>
                </w:tcPr>
                <w:p w14:paraId="3043B4AA">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s="Times New Roman"/>
                      <w:color w:val="auto"/>
                      <w:sz w:val="18"/>
                      <w:szCs w:val="18"/>
                      <w:highlight w:val="none"/>
                      <w:lang w:val="en-US" w:eastAsia="zh-CN"/>
                    </w:rPr>
                  </w:pPr>
                </w:p>
              </w:tc>
              <w:tc>
                <w:tcPr>
                  <w:tcW w:w="640" w:type="dxa"/>
                  <w:vMerge w:val="continue"/>
                  <w:vAlign w:val="center"/>
                </w:tcPr>
                <w:p w14:paraId="207BDC5D">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918" w:type="dxa"/>
                  <w:vMerge w:val="continue"/>
                  <w:vAlign w:val="center"/>
                </w:tcPr>
                <w:p w14:paraId="03D0F523">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p>
              </w:tc>
              <w:tc>
                <w:tcPr>
                  <w:tcW w:w="757" w:type="dxa"/>
                  <w:vMerge w:val="continue"/>
                  <w:vAlign w:val="center"/>
                </w:tcPr>
                <w:p w14:paraId="3B877747">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1301" w:type="dxa"/>
                  <w:vAlign w:val="center"/>
                </w:tcPr>
                <w:p w14:paraId="37B611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1146" w:type="dxa"/>
                  <w:vMerge w:val="continue"/>
                  <w:vAlign w:val="center"/>
                </w:tcPr>
                <w:p w14:paraId="3453B7E8">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524" w:type="dxa"/>
                  <w:vMerge w:val="continue"/>
                  <w:vAlign w:val="center"/>
                </w:tcPr>
                <w:p w14:paraId="0A2757A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18"/>
                      <w:szCs w:val="18"/>
                      <w:highlight w:val="none"/>
                    </w:rPr>
                  </w:pPr>
                </w:p>
              </w:tc>
              <w:tc>
                <w:tcPr>
                  <w:tcW w:w="655" w:type="dxa"/>
                  <w:vMerge w:val="continue"/>
                  <w:vAlign w:val="center"/>
                </w:tcPr>
                <w:p w14:paraId="4D45F2DF">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18"/>
                      <w:szCs w:val="18"/>
                      <w:highlight w:val="none"/>
                      <w:lang w:val="en-US" w:eastAsia="zh-CN"/>
                    </w:rPr>
                  </w:pPr>
                </w:p>
              </w:tc>
              <w:tc>
                <w:tcPr>
                  <w:tcW w:w="612" w:type="dxa"/>
                  <w:vMerge w:val="continue"/>
                  <w:vAlign w:val="center"/>
                </w:tcPr>
                <w:p w14:paraId="3547F8A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18"/>
                      <w:szCs w:val="18"/>
                      <w:highlight w:val="none"/>
                      <w:lang w:val="en-US" w:eastAsia="zh-CN"/>
                    </w:rPr>
                  </w:pPr>
                </w:p>
              </w:tc>
              <w:tc>
                <w:tcPr>
                  <w:tcW w:w="655" w:type="dxa"/>
                  <w:vMerge w:val="continue"/>
                  <w:vAlign w:val="center"/>
                </w:tcPr>
                <w:p w14:paraId="6D200876">
                  <w:pPr>
                    <w:spacing w:line="240" w:lineRule="auto"/>
                    <w:jc w:val="center"/>
                    <w:rPr>
                      <w:rFonts w:hint="default" w:ascii="Times New Roman" w:hAnsi="Times New Roman" w:cs="Times New Roman"/>
                      <w:color w:val="auto"/>
                      <w:sz w:val="18"/>
                      <w:szCs w:val="18"/>
                      <w:highlight w:val="none"/>
                      <w:lang w:val="en-US" w:eastAsia="zh-CN"/>
                    </w:rPr>
                  </w:pPr>
                </w:p>
              </w:tc>
              <w:tc>
                <w:tcPr>
                  <w:tcW w:w="728" w:type="dxa"/>
                  <w:vAlign w:val="center"/>
                </w:tcPr>
                <w:p w14:paraId="0CF0539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0.0</w:t>
                  </w:r>
                  <w:r>
                    <w:rPr>
                      <w:rFonts w:hint="eastAsia" w:cs="Times New Roman"/>
                      <w:color w:val="auto"/>
                      <w:sz w:val="18"/>
                      <w:szCs w:val="18"/>
                      <w:highlight w:val="none"/>
                      <w:lang w:val="en-US" w:eastAsia="zh-CN"/>
                    </w:rPr>
                    <w:t>49</w:t>
                  </w:r>
                </w:p>
                <w:p w14:paraId="62D63A27">
                  <w:pPr>
                    <w:keepNext w:val="0"/>
                    <w:keepLines w:val="0"/>
                    <w:widowControl/>
                    <w:suppressLineNumbers w:val="0"/>
                    <w:jc w:val="center"/>
                    <w:textAlignment w:val="center"/>
                    <w:rPr>
                      <w:rFonts w:hint="default" w:ascii="Times New Roman" w:hAnsi="Times New Roman" w:cs="Times New Roman"/>
                      <w:color w:val="auto"/>
                      <w:sz w:val="18"/>
                      <w:szCs w:val="18"/>
                      <w:highlight w:val="yellow"/>
                      <w:lang w:val="en-US" w:eastAsia="zh-CN"/>
                    </w:rPr>
                  </w:pPr>
                </w:p>
              </w:tc>
              <w:tc>
                <w:tcPr>
                  <w:tcW w:w="976" w:type="dxa"/>
                  <w:vAlign w:val="center"/>
                </w:tcPr>
                <w:p w14:paraId="437E433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1.05</w:t>
                  </w:r>
                </w:p>
                <w:p w14:paraId="148E0CA1">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yellow"/>
                      <w:lang w:val="en-US" w:eastAsia="zh-CN"/>
                    </w:rPr>
                  </w:pPr>
                </w:p>
              </w:tc>
              <w:tc>
                <w:tcPr>
                  <w:tcW w:w="757" w:type="dxa"/>
                  <w:vAlign w:val="center"/>
                </w:tcPr>
                <w:p w14:paraId="5F1E1A0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0.007</w:t>
                  </w:r>
                </w:p>
                <w:p w14:paraId="2EF8AAF4">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yellow"/>
                      <w:lang w:val="en-US" w:eastAsia="zh-CN"/>
                    </w:rPr>
                  </w:pPr>
                </w:p>
              </w:tc>
              <w:tc>
                <w:tcPr>
                  <w:tcW w:w="656" w:type="dxa"/>
                  <w:vMerge w:val="continue"/>
                  <w:vAlign w:val="center"/>
                </w:tcPr>
                <w:p w14:paraId="0DEE3F6F">
                  <w:pPr>
                    <w:spacing w:line="240" w:lineRule="auto"/>
                    <w:jc w:val="center"/>
                    <w:rPr>
                      <w:rFonts w:hint="default" w:ascii="Times New Roman" w:hAnsi="Times New Roman" w:cs="Times New Roman"/>
                      <w:color w:val="auto"/>
                      <w:sz w:val="18"/>
                      <w:szCs w:val="18"/>
                      <w:highlight w:val="none"/>
                      <w:lang w:val="en-US" w:eastAsia="zh-CN"/>
                    </w:rPr>
                  </w:pPr>
                </w:p>
              </w:tc>
              <w:tc>
                <w:tcPr>
                  <w:tcW w:w="704" w:type="dxa"/>
                  <w:vAlign w:val="center"/>
                </w:tcPr>
                <w:p w14:paraId="4B8437CA">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705" w:type="dxa"/>
                  <w:vAlign w:val="center"/>
                </w:tcPr>
                <w:p w14:paraId="541068A8">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r w14:paraId="51552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51" w:type="dxa"/>
                  <w:vMerge w:val="continue"/>
                  <w:vAlign w:val="center"/>
                </w:tcPr>
                <w:p w14:paraId="5D816672">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s="Times New Roman"/>
                      <w:color w:val="auto"/>
                      <w:sz w:val="18"/>
                      <w:szCs w:val="18"/>
                      <w:highlight w:val="none"/>
                      <w:lang w:val="en-US" w:eastAsia="zh-CN"/>
                    </w:rPr>
                  </w:pPr>
                </w:p>
              </w:tc>
              <w:tc>
                <w:tcPr>
                  <w:tcW w:w="496" w:type="dxa"/>
                  <w:vMerge w:val="continue"/>
                  <w:vAlign w:val="center"/>
                </w:tcPr>
                <w:p w14:paraId="3623C118">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s="Times New Roman"/>
                      <w:color w:val="auto"/>
                      <w:sz w:val="18"/>
                      <w:szCs w:val="18"/>
                      <w:highlight w:val="none"/>
                      <w:lang w:val="en-US" w:eastAsia="zh-CN"/>
                    </w:rPr>
                  </w:pPr>
                </w:p>
              </w:tc>
              <w:tc>
                <w:tcPr>
                  <w:tcW w:w="640" w:type="dxa"/>
                  <w:vMerge w:val="continue"/>
                  <w:vAlign w:val="center"/>
                </w:tcPr>
                <w:p w14:paraId="71A6FD67">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918" w:type="dxa"/>
                  <w:vMerge w:val="continue"/>
                  <w:vAlign w:val="center"/>
                </w:tcPr>
                <w:p w14:paraId="2B0940E1">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p>
              </w:tc>
              <w:tc>
                <w:tcPr>
                  <w:tcW w:w="757" w:type="dxa"/>
                  <w:vMerge w:val="continue"/>
                  <w:vAlign w:val="center"/>
                </w:tcPr>
                <w:p w14:paraId="761B91C6">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1301" w:type="dxa"/>
                  <w:vAlign w:val="center"/>
                </w:tcPr>
                <w:p w14:paraId="05917A85">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氨</w:t>
                  </w:r>
                </w:p>
              </w:tc>
              <w:tc>
                <w:tcPr>
                  <w:tcW w:w="1146" w:type="dxa"/>
                  <w:vMerge w:val="continue"/>
                  <w:vAlign w:val="center"/>
                </w:tcPr>
                <w:p w14:paraId="4BE6B6EE">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yellow"/>
                    </w:rPr>
                  </w:pPr>
                </w:p>
              </w:tc>
              <w:tc>
                <w:tcPr>
                  <w:tcW w:w="524" w:type="dxa"/>
                  <w:vMerge w:val="continue"/>
                  <w:vAlign w:val="center"/>
                </w:tcPr>
                <w:p w14:paraId="06709DA3">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18"/>
                      <w:szCs w:val="18"/>
                      <w:highlight w:val="none"/>
                    </w:rPr>
                  </w:pPr>
                </w:p>
              </w:tc>
              <w:tc>
                <w:tcPr>
                  <w:tcW w:w="655" w:type="dxa"/>
                  <w:vMerge w:val="continue"/>
                  <w:vAlign w:val="center"/>
                </w:tcPr>
                <w:p w14:paraId="178E938F">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18"/>
                      <w:szCs w:val="18"/>
                      <w:highlight w:val="none"/>
                      <w:lang w:val="en-US" w:eastAsia="zh-CN"/>
                    </w:rPr>
                  </w:pPr>
                </w:p>
              </w:tc>
              <w:tc>
                <w:tcPr>
                  <w:tcW w:w="612" w:type="dxa"/>
                  <w:vMerge w:val="continue"/>
                  <w:vAlign w:val="center"/>
                </w:tcPr>
                <w:p w14:paraId="48F4A4B0">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18"/>
                      <w:szCs w:val="18"/>
                      <w:highlight w:val="none"/>
                      <w:lang w:val="en-US" w:eastAsia="zh-CN"/>
                    </w:rPr>
                  </w:pPr>
                </w:p>
              </w:tc>
              <w:tc>
                <w:tcPr>
                  <w:tcW w:w="655" w:type="dxa"/>
                  <w:vMerge w:val="continue"/>
                  <w:vAlign w:val="center"/>
                </w:tcPr>
                <w:p w14:paraId="50A1E947">
                  <w:pPr>
                    <w:spacing w:line="240" w:lineRule="auto"/>
                    <w:jc w:val="center"/>
                    <w:rPr>
                      <w:rFonts w:hint="default" w:ascii="Times New Roman" w:hAnsi="Times New Roman" w:cs="Times New Roman"/>
                      <w:color w:val="auto"/>
                      <w:sz w:val="18"/>
                      <w:szCs w:val="18"/>
                      <w:highlight w:val="none"/>
                      <w:lang w:val="en-US" w:eastAsia="zh-CN"/>
                    </w:rPr>
                  </w:pPr>
                </w:p>
              </w:tc>
              <w:tc>
                <w:tcPr>
                  <w:tcW w:w="728" w:type="dxa"/>
                  <w:vAlign w:val="center"/>
                </w:tcPr>
                <w:p w14:paraId="347F8EB0">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yellow"/>
                      <w:lang w:val="en-US" w:eastAsia="zh-CN" w:bidi="ar-SA"/>
                    </w:rPr>
                  </w:pPr>
                  <w:r>
                    <w:rPr>
                      <w:rFonts w:hint="eastAsia" w:cs="Times New Roman"/>
                      <w:color w:val="auto"/>
                      <w:kern w:val="2"/>
                      <w:sz w:val="18"/>
                      <w:szCs w:val="18"/>
                      <w:highlight w:val="none"/>
                      <w:lang w:val="en-US" w:eastAsia="zh-CN" w:bidi="ar-SA"/>
                    </w:rPr>
                    <w:t>0.798</w:t>
                  </w:r>
                </w:p>
              </w:tc>
              <w:tc>
                <w:tcPr>
                  <w:tcW w:w="976" w:type="dxa"/>
                  <w:vAlign w:val="center"/>
                </w:tcPr>
                <w:p w14:paraId="38BF9EFA">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yellow"/>
                      <w:lang w:val="en-US" w:eastAsia="zh-CN" w:bidi="ar-SA"/>
                    </w:rPr>
                  </w:pPr>
                  <w:r>
                    <w:rPr>
                      <w:rFonts w:hint="eastAsia" w:cs="Times New Roman"/>
                      <w:color w:val="auto"/>
                      <w:kern w:val="2"/>
                      <w:sz w:val="18"/>
                      <w:szCs w:val="18"/>
                      <w:highlight w:val="none"/>
                      <w:lang w:val="en-US" w:eastAsia="zh-CN" w:bidi="ar-SA"/>
                    </w:rPr>
                    <w:t>17.05</w:t>
                  </w:r>
                </w:p>
              </w:tc>
              <w:tc>
                <w:tcPr>
                  <w:tcW w:w="757" w:type="dxa"/>
                  <w:vAlign w:val="center"/>
                </w:tcPr>
                <w:p w14:paraId="15E050BF">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yellow"/>
                      <w:lang w:val="en-US" w:eastAsia="zh-CN" w:bidi="ar-SA"/>
                    </w:rPr>
                  </w:pPr>
                  <w:r>
                    <w:rPr>
                      <w:rFonts w:hint="eastAsia" w:cs="Times New Roman"/>
                      <w:color w:val="auto"/>
                      <w:kern w:val="2"/>
                      <w:sz w:val="18"/>
                      <w:szCs w:val="18"/>
                      <w:highlight w:val="none"/>
                      <w:lang w:val="en-US" w:eastAsia="zh-CN" w:bidi="ar-SA"/>
                    </w:rPr>
                    <w:t>0.111</w:t>
                  </w:r>
                </w:p>
              </w:tc>
              <w:tc>
                <w:tcPr>
                  <w:tcW w:w="656" w:type="dxa"/>
                  <w:vMerge w:val="continue"/>
                  <w:vAlign w:val="center"/>
                </w:tcPr>
                <w:p w14:paraId="78DEBFFE">
                  <w:pPr>
                    <w:spacing w:line="240" w:lineRule="auto"/>
                    <w:jc w:val="center"/>
                    <w:rPr>
                      <w:rFonts w:hint="default" w:ascii="Times New Roman" w:hAnsi="Times New Roman" w:cs="Times New Roman"/>
                      <w:color w:val="auto"/>
                      <w:sz w:val="18"/>
                      <w:szCs w:val="18"/>
                      <w:highlight w:val="none"/>
                      <w:lang w:val="en-US" w:eastAsia="zh-CN"/>
                    </w:rPr>
                  </w:pPr>
                </w:p>
              </w:tc>
              <w:tc>
                <w:tcPr>
                  <w:tcW w:w="704" w:type="dxa"/>
                  <w:shd w:val="clear" w:color="auto" w:fill="auto"/>
                  <w:vAlign w:val="center"/>
                </w:tcPr>
                <w:p w14:paraId="745F59D8">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c>
                <w:tcPr>
                  <w:tcW w:w="705" w:type="dxa"/>
                  <w:shd w:val="clear" w:color="auto" w:fill="auto"/>
                  <w:vAlign w:val="center"/>
                </w:tcPr>
                <w:p w14:paraId="137D14D6">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4.9</w:t>
                  </w:r>
                </w:p>
              </w:tc>
            </w:tr>
            <w:tr w14:paraId="6FA9A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51" w:type="dxa"/>
                  <w:vMerge w:val="continue"/>
                  <w:vAlign w:val="center"/>
                </w:tcPr>
                <w:p w14:paraId="0EF1F95D">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s="Times New Roman"/>
                      <w:color w:val="auto"/>
                      <w:sz w:val="18"/>
                      <w:szCs w:val="18"/>
                      <w:highlight w:val="none"/>
                      <w:lang w:val="en-US" w:eastAsia="zh-CN"/>
                    </w:rPr>
                  </w:pPr>
                </w:p>
              </w:tc>
              <w:tc>
                <w:tcPr>
                  <w:tcW w:w="496" w:type="dxa"/>
                  <w:vMerge w:val="continue"/>
                  <w:vAlign w:val="center"/>
                </w:tcPr>
                <w:p w14:paraId="1D71C12C">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s="Times New Roman"/>
                      <w:color w:val="auto"/>
                      <w:sz w:val="18"/>
                      <w:szCs w:val="18"/>
                      <w:highlight w:val="none"/>
                      <w:lang w:val="en-US" w:eastAsia="zh-CN"/>
                    </w:rPr>
                  </w:pPr>
                </w:p>
              </w:tc>
              <w:tc>
                <w:tcPr>
                  <w:tcW w:w="640" w:type="dxa"/>
                  <w:vMerge w:val="continue"/>
                  <w:vAlign w:val="center"/>
                </w:tcPr>
                <w:p w14:paraId="32880C6A">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918" w:type="dxa"/>
                  <w:vMerge w:val="continue"/>
                  <w:vAlign w:val="center"/>
                </w:tcPr>
                <w:p w14:paraId="1BEFEC73">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p>
              </w:tc>
              <w:tc>
                <w:tcPr>
                  <w:tcW w:w="757" w:type="dxa"/>
                  <w:vMerge w:val="continue"/>
                  <w:vAlign w:val="center"/>
                </w:tcPr>
                <w:p w14:paraId="7D768A89">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p>
              </w:tc>
              <w:tc>
                <w:tcPr>
                  <w:tcW w:w="1301" w:type="dxa"/>
                  <w:vAlign w:val="center"/>
                </w:tcPr>
                <w:p w14:paraId="52942400">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臭气浓度</w:t>
                  </w:r>
                </w:p>
              </w:tc>
              <w:tc>
                <w:tcPr>
                  <w:tcW w:w="1146" w:type="dxa"/>
                  <w:vMerge w:val="continue"/>
                  <w:vAlign w:val="center"/>
                </w:tcPr>
                <w:p w14:paraId="32ADF5D3">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yellow"/>
                    </w:rPr>
                  </w:pPr>
                </w:p>
              </w:tc>
              <w:tc>
                <w:tcPr>
                  <w:tcW w:w="524" w:type="dxa"/>
                  <w:vMerge w:val="continue"/>
                  <w:vAlign w:val="center"/>
                </w:tcPr>
                <w:p w14:paraId="73B60BA7">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18"/>
                      <w:szCs w:val="18"/>
                      <w:highlight w:val="none"/>
                    </w:rPr>
                  </w:pPr>
                </w:p>
              </w:tc>
              <w:tc>
                <w:tcPr>
                  <w:tcW w:w="655" w:type="dxa"/>
                  <w:vMerge w:val="continue"/>
                  <w:vAlign w:val="center"/>
                </w:tcPr>
                <w:p w14:paraId="1D10871F">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18"/>
                      <w:szCs w:val="18"/>
                      <w:highlight w:val="none"/>
                      <w:lang w:val="en-US" w:eastAsia="zh-CN"/>
                    </w:rPr>
                  </w:pPr>
                </w:p>
              </w:tc>
              <w:tc>
                <w:tcPr>
                  <w:tcW w:w="612" w:type="dxa"/>
                  <w:vMerge w:val="continue"/>
                  <w:vAlign w:val="center"/>
                </w:tcPr>
                <w:p w14:paraId="212244FA">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18"/>
                      <w:szCs w:val="18"/>
                      <w:highlight w:val="none"/>
                      <w:lang w:val="en-US" w:eastAsia="zh-CN"/>
                    </w:rPr>
                  </w:pPr>
                </w:p>
              </w:tc>
              <w:tc>
                <w:tcPr>
                  <w:tcW w:w="655" w:type="dxa"/>
                  <w:vMerge w:val="continue"/>
                  <w:vAlign w:val="center"/>
                </w:tcPr>
                <w:p w14:paraId="779EE6B1">
                  <w:pPr>
                    <w:spacing w:line="240" w:lineRule="auto"/>
                    <w:jc w:val="center"/>
                    <w:rPr>
                      <w:rFonts w:hint="default" w:ascii="Times New Roman" w:hAnsi="Times New Roman" w:cs="Times New Roman"/>
                      <w:color w:val="auto"/>
                      <w:sz w:val="18"/>
                      <w:szCs w:val="18"/>
                      <w:highlight w:val="none"/>
                      <w:lang w:val="en-US" w:eastAsia="zh-CN"/>
                    </w:rPr>
                  </w:pPr>
                </w:p>
              </w:tc>
              <w:tc>
                <w:tcPr>
                  <w:tcW w:w="728" w:type="dxa"/>
                  <w:vAlign w:val="center"/>
                </w:tcPr>
                <w:p w14:paraId="33D8B6C1">
                  <w:pPr>
                    <w:keepNext w:val="0"/>
                    <w:keepLines w:val="0"/>
                    <w:widowControl/>
                    <w:suppressLineNumbers w:val="0"/>
                    <w:jc w:val="center"/>
                    <w:textAlignment w:val="center"/>
                    <w:rPr>
                      <w:rFonts w:hint="default" w:ascii="Times New Roman" w:hAnsi="Times New Roman" w:cs="Times New Roman"/>
                      <w:color w:val="auto"/>
                      <w:sz w:val="18"/>
                      <w:szCs w:val="18"/>
                      <w:highlight w:val="yellow"/>
                      <w:lang w:val="en-US" w:eastAsia="zh-CN"/>
                    </w:rPr>
                  </w:pPr>
                  <w:r>
                    <w:rPr>
                      <w:rFonts w:hint="eastAsia" w:cs="Times New Roman"/>
                      <w:color w:val="auto"/>
                      <w:sz w:val="18"/>
                      <w:szCs w:val="18"/>
                      <w:highlight w:val="none"/>
                      <w:lang w:val="en-US" w:eastAsia="zh-CN"/>
                    </w:rPr>
                    <w:t>2000（无量纲）</w:t>
                  </w:r>
                </w:p>
              </w:tc>
              <w:tc>
                <w:tcPr>
                  <w:tcW w:w="976" w:type="dxa"/>
                  <w:vAlign w:val="center"/>
                </w:tcPr>
                <w:p w14:paraId="04772D86">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yellow"/>
                      <w:lang w:val="en-US" w:eastAsia="zh-CN"/>
                    </w:rPr>
                  </w:pPr>
                  <w:r>
                    <w:rPr>
                      <w:rFonts w:hint="eastAsia" w:ascii="Times New Roman" w:hAnsi="Times New Roman" w:eastAsia="宋体" w:cs="Times New Roman"/>
                      <w:color w:val="auto"/>
                      <w:sz w:val="18"/>
                      <w:szCs w:val="18"/>
                      <w:highlight w:val="none"/>
                      <w:lang w:val="en-US" w:eastAsia="zh-CN"/>
                    </w:rPr>
                    <w:t>/</w:t>
                  </w:r>
                </w:p>
              </w:tc>
              <w:tc>
                <w:tcPr>
                  <w:tcW w:w="757" w:type="dxa"/>
                  <w:vAlign w:val="center"/>
                </w:tcPr>
                <w:p w14:paraId="1272C0BA">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yellow"/>
                      <w:lang w:val="en-US" w:eastAsia="zh-CN"/>
                    </w:rPr>
                  </w:pPr>
                  <w:r>
                    <w:rPr>
                      <w:rFonts w:hint="eastAsia" w:ascii="Times New Roman" w:hAnsi="Times New Roman" w:eastAsia="宋体" w:cs="Times New Roman"/>
                      <w:color w:val="auto"/>
                      <w:sz w:val="18"/>
                      <w:szCs w:val="18"/>
                      <w:highlight w:val="none"/>
                      <w:lang w:val="en-US" w:eastAsia="zh-CN"/>
                    </w:rPr>
                    <w:t>/</w:t>
                  </w:r>
                </w:p>
              </w:tc>
              <w:tc>
                <w:tcPr>
                  <w:tcW w:w="656" w:type="dxa"/>
                  <w:vMerge w:val="continue"/>
                  <w:vAlign w:val="center"/>
                </w:tcPr>
                <w:p w14:paraId="7E84A2B7">
                  <w:pPr>
                    <w:spacing w:line="240" w:lineRule="auto"/>
                    <w:jc w:val="center"/>
                    <w:rPr>
                      <w:rFonts w:hint="default" w:ascii="Times New Roman" w:hAnsi="Times New Roman" w:cs="Times New Roman"/>
                      <w:color w:val="auto"/>
                      <w:sz w:val="18"/>
                      <w:szCs w:val="18"/>
                      <w:highlight w:val="none"/>
                      <w:lang w:val="en-US" w:eastAsia="zh-CN"/>
                    </w:rPr>
                  </w:pPr>
                </w:p>
              </w:tc>
              <w:tc>
                <w:tcPr>
                  <w:tcW w:w="704" w:type="dxa"/>
                  <w:vAlign w:val="center"/>
                </w:tcPr>
                <w:p w14:paraId="53CF4493">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2000（无量纲）</w:t>
                  </w:r>
                </w:p>
              </w:tc>
              <w:tc>
                <w:tcPr>
                  <w:tcW w:w="705" w:type="dxa"/>
                  <w:vAlign w:val="center"/>
                </w:tcPr>
                <w:p w14:paraId="3EEC65D3">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r w14:paraId="21E34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351" w:type="dxa"/>
                  <w:vAlign w:val="center"/>
                </w:tcPr>
                <w:p w14:paraId="4896E5CF">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496" w:type="dxa"/>
                  <w:vAlign w:val="center"/>
                </w:tcPr>
                <w:p w14:paraId="3D3222F9">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间歇</w:t>
                  </w:r>
                </w:p>
              </w:tc>
              <w:tc>
                <w:tcPr>
                  <w:tcW w:w="640" w:type="dxa"/>
                  <w:shd w:val="clear" w:color="auto" w:fill="auto"/>
                  <w:vAlign w:val="center"/>
                </w:tcPr>
                <w:p w14:paraId="1A63A947">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rPr>
                    <w:t>DA00</w:t>
                  </w:r>
                  <w:r>
                    <w:rPr>
                      <w:rFonts w:hint="eastAsia" w:ascii="Times New Roman" w:hAnsi="Times New Roman" w:cs="Times New Roman"/>
                      <w:color w:val="auto"/>
                      <w:sz w:val="18"/>
                      <w:szCs w:val="18"/>
                      <w:highlight w:val="none"/>
                      <w:lang w:val="en-US" w:eastAsia="zh-CN"/>
                    </w:rPr>
                    <w:t>2</w:t>
                  </w:r>
                </w:p>
              </w:tc>
              <w:tc>
                <w:tcPr>
                  <w:tcW w:w="918" w:type="dxa"/>
                  <w:shd w:val="clear" w:color="auto" w:fill="auto"/>
                  <w:vAlign w:val="center"/>
                </w:tcPr>
                <w:p w14:paraId="77144B4C">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冷却、精筛、入仓、包膜、包装</w:t>
                  </w:r>
                  <w:r>
                    <w:rPr>
                      <w:rFonts w:hint="default" w:ascii="Times New Roman" w:hAnsi="Times New Roman" w:cs="Times New Roman"/>
                      <w:color w:val="auto"/>
                      <w:sz w:val="18"/>
                      <w:szCs w:val="18"/>
                      <w:highlight w:val="none"/>
                    </w:rPr>
                    <w:t>排放口</w:t>
                  </w:r>
                </w:p>
              </w:tc>
              <w:tc>
                <w:tcPr>
                  <w:tcW w:w="757" w:type="dxa"/>
                  <w:shd w:val="clear" w:color="auto" w:fill="auto"/>
                  <w:vAlign w:val="center"/>
                </w:tcPr>
                <w:p w14:paraId="260BA03E">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rPr>
                    <w:t>一般排放口</w:t>
                  </w:r>
                </w:p>
              </w:tc>
              <w:tc>
                <w:tcPr>
                  <w:tcW w:w="1301" w:type="dxa"/>
                  <w:shd w:val="clear" w:color="auto" w:fill="auto"/>
                  <w:vAlign w:val="center"/>
                </w:tcPr>
                <w:p w14:paraId="714F6AC1">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颗粒物</w:t>
                  </w:r>
                </w:p>
              </w:tc>
              <w:tc>
                <w:tcPr>
                  <w:tcW w:w="1146" w:type="dxa"/>
                  <w:shd w:val="clear" w:color="auto" w:fill="auto"/>
                  <w:vAlign w:val="center"/>
                </w:tcPr>
                <w:p w14:paraId="25580B7E">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118.004782°</w:t>
                  </w:r>
                </w:p>
                <w:p w14:paraId="1BC04489">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bCs/>
                      <w:color w:val="auto"/>
                      <w:kern w:val="0"/>
                      <w:sz w:val="18"/>
                      <w:szCs w:val="18"/>
                      <w:highlight w:val="none"/>
                      <w:lang w:val="en-US" w:eastAsia="zh-CN" w:bidi="ar-SA"/>
                    </w:rPr>
                  </w:pPr>
                  <w:r>
                    <w:rPr>
                      <w:rFonts w:hint="default" w:ascii="Times New Roman" w:hAnsi="Times New Roman" w:cs="Times New Roman"/>
                      <w:color w:val="auto"/>
                      <w:sz w:val="18"/>
                      <w:szCs w:val="18"/>
                      <w:highlight w:val="none"/>
                    </w:rPr>
                    <w:t>36.706855°</w:t>
                  </w:r>
                </w:p>
              </w:tc>
              <w:tc>
                <w:tcPr>
                  <w:tcW w:w="524" w:type="dxa"/>
                  <w:shd w:val="clear" w:color="auto" w:fill="auto"/>
                  <w:vAlign w:val="center"/>
                </w:tcPr>
                <w:p w14:paraId="22E8E1D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15</w:t>
                  </w:r>
                </w:p>
              </w:tc>
              <w:tc>
                <w:tcPr>
                  <w:tcW w:w="655" w:type="dxa"/>
                  <w:shd w:val="clear" w:color="auto" w:fill="auto"/>
                  <w:vAlign w:val="center"/>
                </w:tcPr>
                <w:p w14:paraId="5112727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1</w:t>
                  </w:r>
                </w:p>
              </w:tc>
              <w:tc>
                <w:tcPr>
                  <w:tcW w:w="612" w:type="dxa"/>
                  <w:shd w:val="clear" w:color="auto" w:fill="auto"/>
                  <w:vAlign w:val="center"/>
                </w:tcPr>
                <w:p w14:paraId="5F88856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25</w:t>
                  </w:r>
                </w:p>
              </w:tc>
              <w:tc>
                <w:tcPr>
                  <w:tcW w:w="655" w:type="dxa"/>
                  <w:shd w:val="clear" w:color="auto" w:fill="auto"/>
                  <w:vAlign w:val="center"/>
                </w:tcPr>
                <w:p w14:paraId="1B350E21">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12000</w:t>
                  </w:r>
                </w:p>
              </w:tc>
              <w:tc>
                <w:tcPr>
                  <w:tcW w:w="728" w:type="dxa"/>
                  <w:shd w:val="clear" w:color="auto" w:fill="auto"/>
                  <w:vAlign w:val="center"/>
                </w:tcPr>
                <w:p w14:paraId="5F972988">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yellow"/>
                      <w:lang w:val="en-US" w:eastAsia="zh-CN" w:bidi="ar-SA"/>
                    </w:rPr>
                  </w:pPr>
                  <w:r>
                    <w:rPr>
                      <w:rFonts w:hint="eastAsia" w:cs="Times New Roman"/>
                      <w:color w:val="auto"/>
                      <w:sz w:val="18"/>
                      <w:szCs w:val="18"/>
                      <w:highlight w:val="none"/>
                      <w:lang w:val="en-US" w:eastAsia="zh-CN"/>
                    </w:rPr>
                    <w:t>0.215</w:t>
                  </w:r>
                </w:p>
              </w:tc>
              <w:tc>
                <w:tcPr>
                  <w:tcW w:w="976" w:type="dxa"/>
                  <w:shd w:val="clear" w:color="auto" w:fill="auto"/>
                  <w:vAlign w:val="center"/>
                </w:tcPr>
                <w:p w14:paraId="52B042E6">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yellow"/>
                      <w:lang w:val="en-US" w:eastAsia="zh-CN" w:bidi="ar-SA"/>
                    </w:rPr>
                  </w:pPr>
                  <w:r>
                    <w:rPr>
                      <w:rFonts w:hint="eastAsia" w:cs="Times New Roman"/>
                      <w:color w:val="auto"/>
                      <w:sz w:val="18"/>
                      <w:szCs w:val="18"/>
                      <w:highlight w:val="none"/>
                      <w:lang w:val="en-US" w:eastAsia="zh-CN"/>
                    </w:rPr>
                    <w:t>2.5</w:t>
                  </w:r>
                </w:p>
              </w:tc>
              <w:tc>
                <w:tcPr>
                  <w:tcW w:w="757" w:type="dxa"/>
                  <w:shd w:val="clear" w:color="auto" w:fill="auto"/>
                  <w:vAlign w:val="center"/>
                </w:tcPr>
                <w:p w14:paraId="0B8A6F53">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yellow"/>
                      <w:lang w:val="en-US" w:eastAsia="zh-CN" w:bidi="ar-SA"/>
                    </w:rPr>
                  </w:pPr>
                  <w:r>
                    <w:rPr>
                      <w:rFonts w:hint="eastAsia" w:cs="Times New Roman"/>
                      <w:color w:val="auto"/>
                      <w:sz w:val="18"/>
                      <w:szCs w:val="18"/>
                      <w:highlight w:val="none"/>
                      <w:lang w:val="en-US" w:eastAsia="zh-CN"/>
                    </w:rPr>
                    <w:t>0.03</w:t>
                  </w:r>
                </w:p>
              </w:tc>
              <w:tc>
                <w:tcPr>
                  <w:tcW w:w="656" w:type="dxa"/>
                  <w:shd w:val="clear" w:color="auto" w:fill="auto"/>
                  <w:vAlign w:val="center"/>
                </w:tcPr>
                <w:p w14:paraId="2530C172">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7200</w:t>
                  </w:r>
                </w:p>
              </w:tc>
              <w:tc>
                <w:tcPr>
                  <w:tcW w:w="704" w:type="dxa"/>
                  <w:shd w:val="clear" w:color="auto" w:fill="auto"/>
                  <w:vAlign w:val="center"/>
                </w:tcPr>
                <w:p w14:paraId="37603ED3">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18"/>
                      <w:szCs w:val="18"/>
                      <w:highlight w:val="none"/>
                      <w:vertAlign w:val="baseline"/>
                      <w:lang w:val="en-US" w:eastAsia="zh-CN" w:bidi="ar-SA"/>
                    </w:rPr>
                  </w:pPr>
                  <w:r>
                    <w:rPr>
                      <w:rFonts w:hint="default" w:ascii="Times New Roman" w:hAnsi="Times New Roman" w:cs="Times New Roman"/>
                      <w:color w:val="auto"/>
                      <w:sz w:val="18"/>
                      <w:szCs w:val="18"/>
                      <w:highlight w:val="none"/>
                      <w:lang w:val="en-US" w:eastAsia="zh-CN"/>
                    </w:rPr>
                    <w:t>10</w:t>
                  </w:r>
                </w:p>
              </w:tc>
              <w:tc>
                <w:tcPr>
                  <w:tcW w:w="705" w:type="dxa"/>
                  <w:shd w:val="clear" w:color="auto" w:fill="auto"/>
                  <w:vAlign w:val="center"/>
                </w:tcPr>
                <w:p w14:paraId="3916FABE">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r>
            <w:tr w14:paraId="5FE30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351" w:type="dxa"/>
                  <w:vAlign w:val="center"/>
                </w:tcPr>
                <w:p w14:paraId="65276F48">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496" w:type="dxa"/>
                  <w:shd w:val="clear" w:color="auto" w:fill="auto"/>
                  <w:vAlign w:val="center"/>
                </w:tcPr>
                <w:p w14:paraId="11A8E12A">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间歇</w:t>
                  </w:r>
                </w:p>
              </w:tc>
              <w:tc>
                <w:tcPr>
                  <w:tcW w:w="640" w:type="dxa"/>
                  <w:shd w:val="clear" w:color="auto" w:fill="auto"/>
                  <w:vAlign w:val="center"/>
                </w:tcPr>
                <w:p w14:paraId="4B1397B0">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rPr>
                    <w:t>DA00</w:t>
                  </w:r>
                  <w:r>
                    <w:rPr>
                      <w:rFonts w:hint="eastAsia" w:ascii="Times New Roman" w:hAnsi="Times New Roman" w:cs="Times New Roman"/>
                      <w:color w:val="auto"/>
                      <w:sz w:val="18"/>
                      <w:szCs w:val="18"/>
                      <w:highlight w:val="none"/>
                      <w:lang w:val="en-US" w:eastAsia="zh-CN"/>
                    </w:rPr>
                    <w:t>3</w:t>
                  </w:r>
                </w:p>
              </w:tc>
              <w:tc>
                <w:tcPr>
                  <w:tcW w:w="918" w:type="dxa"/>
                  <w:vAlign w:val="center"/>
                </w:tcPr>
                <w:p w14:paraId="77A70E19">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原料破碎、筛分、配料、部分筛分、混合、粗筛、整形过程</w:t>
                  </w:r>
                  <w:r>
                    <w:rPr>
                      <w:rFonts w:hint="default" w:ascii="Times New Roman" w:hAnsi="Times New Roman" w:cs="Times New Roman"/>
                      <w:color w:val="auto"/>
                      <w:sz w:val="18"/>
                      <w:szCs w:val="18"/>
                      <w:highlight w:val="none"/>
                    </w:rPr>
                    <w:t>排放口</w:t>
                  </w:r>
                </w:p>
              </w:tc>
              <w:tc>
                <w:tcPr>
                  <w:tcW w:w="757" w:type="dxa"/>
                  <w:shd w:val="clear" w:color="auto" w:fill="auto"/>
                  <w:vAlign w:val="center"/>
                </w:tcPr>
                <w:p w14:paraId="33FAC93B">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rPr>
                    <w:t>一般排放口</w:t>
                  </w:r>
                </w:p>
              </w:tc>
              <w:tc>
                <w:tcPr>
                  <w:tcW w:w="1301" w:type="dxa"/>
                  <w:shd w:val="clear" w:color="auto" w:fill="auto"/>
                  <w:vAlign w:val="center"/>
                </w:tcPr>
                <w:p w14:paraId="6E4135FC">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颗粒物</w:t>
                  </w:r>
                </w:p>
              </w:tc>
              <w:tc>
                <w:tcPr>
                  <w:tcW w:w="1146" w:type="dxa"/>
                  <w:shd w:val="clear" w:color="auto" w:fill="auto"/>
                  <w:vAlign w:val="center"/>
                </w:tcPr>
                <w:p w14:paraId="6A6C367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118.004839°</w:t>
                  </w:r>
                </w:p>
                <w:p w14:paraId="2543E586">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bCs/>
                      <w:color w:val="auto"/>
                      <w:kern w:val="0"/>
                      <w:sz w:val="18"/>
                      <w:szCs w:val="18"/>
                      <w:highlight w:val="none"/>
                      <w:lang w:val="en-US" w:eastAsia="zh-CN" w:bidi="ar-SA"/>
                    </w:rPr>
                  </w:pPr>
                  <w:r>
                    <w:rPr>
                      <w:rFonts w:hint="default" w:ascii="Times New Roman" w:hAnsi="Times New Roman" w:cs="Times New Roman"/>
                      <w:color w:val="auto"/>
                      <w:sz w:val="18"/>
                      <w:szCs w:val="18"/>
                      <w:highlight w:val="none"/>
                    </w:rPr>
                    <w:t>36.706864°</w:t>
                  </w:r>
                </w:p>
              </w:tc>
              <w:tc>
                <w:tcPr>
                  <w:tcW w:w="524" w:type="dxa"/>
                  <w:shd w:val="clear" w:color="auto" w:fill="auto"/>
                  <w:vAlign w:val="center"/>
                </w:tcPr>
                <w:p w14:paraId="723515A8">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15</w:t>
                  </w:r>
                </w:p>
              </w:tc>
              <w:tc>
                <w:tcPr>
                  <w:tcW w:w="655" w:type="dxa"/>
                  <w:shd w:val="clear" w:color="auto" w:fill="auto"/>
                  <w:vAlign w:val="center"/>
                </w:tcPr>
                <w:p w14:paraId="556BF61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1</w:t>
                  </w:r>
                </w:p>
              </w:tc>
              <w:tc>
                <w:tcPr>
                  <w:tcW w:w="612" w:type="dxa"/>
                  <w:shd w:val="clear" w:color="auto" w:fill="auto"/>
                  <w:vAlign w:val="center"/>
                </w:tcPr>
                <w:p w14:paraId="626A6AA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25</w:t>
                  </w:r>
                </w:p>
              </w:tc>
              <w:tc>
                <w:tcPr>
                  <w:tcW w:w="655" w:type="dxa"/>
                  <w:shd w:val="clear" w:color="auto" w:fill="auto"/>
                  <w:vAlign w:val="center"/>
                </w:tcPr>
                <w:p w14:paraId="26B2C701">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20000</w:t>
                  </w:r>
                </w:p>
              </w:tc>
              <w:tc>
                <w:tcPr>
                  <w:tcW w:w="728" w:type="dxa"/>
                  <w:shd w:val="clear" w:color="auto" w:fill="auto"/>
                  <w:vAlign w:val="center"/>
                </w:tcPr>
                <w:p w14:paraId="195F60F4">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yellow"/>
                      <w:lang w:val="en-US" w:eastAsia="zh-CN" w:bidi="ar-SA"/>
                    </w:rPr>
                  </w:pPr>
                  <w:r>
                    <w:rPr>
                      <w:rFonts w:hint="eastAsia" w:cs="Times New Roman"/>
                      <w:color w:val="auto"/>
                      <w:sz w:val="18"/>
                      <w:szCs w:val="18"/>
                      <w:highlight w:val="none"/>
                      <w:lang w:val="en-US" w:eastAsia="zh-CN"/>
                    </w:rPr>
                    <w:t>0.219</w:t>
                  </w:r>
                </w:p>
              </w:tc>
              <w:tc>
                <w:tcPr>
                  <w:tcW w:w="976" w:type="dxa"/>
                  <w:shd w:val="clear" w:color="auto" w:fill="auto"/>
                  <w:vAlign w:val="center"/>
                </w:tcPr>
                <w:p w14:paraId="41E8BB93">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yellow"/>
                      <w:lang w:val="en-US" w:eastAsia="zh-CN" w:bidi="ar-SA"/>
                    </w:rPr>
                  </w:pPr>
                  <w:r>
                    <w:rPr>
                      <w:rFonts w:hint="eastAsia" w:cs="Times New Roman"/>
                      <w:color w:val="auto"/>
                      <w:sz w:val="18"/>
                      <w:szCs w:val="18"/>
                      <w:highlight w:val="none"/>
                      <w:lang w:val="en-US" w:eastAsia="zh-CN"/>
                    </w:rPr>
                    <w:t>1.5</w:t>
                  </w:r>
                </w:p>
              </w:tc>
              <w:tc>
                <w:tcPr>
                  <w:tcW w:w="757" w:type="dxa"/>
                  <w:shd w:val="clear" w:color="auto" w:fill="auto"/>
                  <w:vAlign w:val="center"/>
                </w:tcPr>
                <w:p w14:paraId="65E88B27">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highlight w:val="yellow"/>
                      <w:lang w:val="en-US" w:eastAsia="zh-CN" w:bidi="ar-SA"/>
                    </w:rPr>
                  </w:pPr>
                  <w:r>
                    <w:rPr>
                      <w:rFonts w:hint="eastAsia" w:cs="Times New Roman"/>
                      <w:color w:val="auto"/>
                      <w:sz w:val="18"/>
                      <w:szCs w:val="18"/>
                      <w:highlight w:val="none"/>
                      <w:lang w:val="en-US" w:eastAsia="zh-CN"/>
                    </w:rPr>
                    <w:t>0.03</w:t>
                  </w:r>
                </w:p>
              </w:tc>
              <w:tc>
                <w:tcPr>
                  <w:tcW w:w="656" w:type="dxa"/>
                  <w:shd w:val="clear" w:color="auto" w:fill="auto"/>
                  <w:vAlign w:val="center"/>
                </w:tcPr>
                <w:p w14:paraId="06289B4B">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7200</w:t>
                  </w:r>
                </w:p>
              </w:tc>
              <w:tc>
                <w:tcPr>
                  <w:tcW w:w="704" w:type="dxa"/>
                  <w:shd w:val="clear" w:color="auto" w:fill="auto"/>
                  <w:vAlign w:val="center"/>
                </w:tcPr>
                <w:p w14:paraId="4FC2CDC2">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18"/>
                      <w:szCs w:val="18"/>
                      <w:highlight w:val="none"/>
                      <w:vertAlign w:val="baseline"/>
                      <w:lang w:val="en-US" w:eastAsia="zh-CN" w:bidi="ar-SA"/>
                    </w:rPr>
                  </w:pPr>
                  <w:r>
                    <w:rPr>
                      <w:rFonts w:hint="default" w:ascii="Times New Roman" w:hAnsi="Times New Roman" w:cs="Times New Roman"/>
                      <w:color w:val="auto"/>
                      <w:sz w:val="18"/>
                      <w:szCs w:val="18"/>
                      <w:highlight w:val="none"/>
                      <w:lang w:val="en-US" w:eastAsia="zh-CN"/>
                    </w:rPr>
                    <w:t>10</w:t>
                  </w:r>
                </w:p>
              </w:tc>
              <w:tc>
                <w:tcPr>
                  <w:tcW w:w="705" w:type="dxa"/>
                  <w:shd w:val="clear" w:color="auto" w:fill="auto"/>
                  <w:vAlign w:val="center"/>
                </w:tcPr>
                <w:p w14:paraId="46955AD8">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r>
            <w:tr w14:paraId="750AD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351" w:type="dxa"/>
                  <w:vAlign w:val="center"/>
                </w:tcPr>
                <w:p w14:paraId="5940932F">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496" w:type="dxa"/>
                  <w:vAlign w:val="center"/>
                </w:tcPr>
                <w:p w14:paraId="2ADC8352">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间歇</w:t>
                  </w:r>
                </w:p>
              </w:tc>
              <w:tc>
                <w:tcPr>
                  <w:tcW w:w="640" w:type="dxa"/>
                  <w:vAlign w:val="center"/>
                </w:tcPr>
                <w:p w14:paraId="7835B525">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油烟排气筒</w:t>
                  </w:r>
                </w:p>
              </w:tc>
              <w:tc>
                <w:tcPr>
                  <w:tcW w:w="918" w:type="dxa"/>
                  <w:vAlign w:val="center"/>
                </w:tcPr>
                <w:p w14:paraId="2ED96E8D">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食堂油烟排放口</w:t>
                  </w:r>
                </w:p>
              </w:tc>
              <w:tc>
                <w:tcPr>
                  <w:tcW w:w="757" w:type="dxa"/>
                  <w:vAlign w:val="center"/>
                </w:tcPr>
                <w:p w14:paraId="02E73A51">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一般排放口</w:t>
                  </w:r>
                </w:p>
              </w:tc>
              <w:tc>
                <w:tcPr>
                  <w:tcW w:w="1301" w:type="dxa"/>
                  <w:vAlign w:val="center"/>
                </w:tcPr>
                <w:p w14:paraId="0B9F1190">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油烟</w:t>
                  </w:r>
                </w:p>
              </w:tc>
              <w:tc>
                <w:tcPr>
                  <w:tcW w:w="1146" w:type="dxa"/>
                  <w:vAlign w:val="center"/>
                </w:tcPr>
                <w:p w14:paraId="6CFBD2B5">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118.005544°</w:t>
                  </w:r>
                </w:p>
                <w:p w14:paraId="452BB2AA">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36.70708</w:t>
                  </w:r>
                  <w:r>
                    <w:rPr>
                      <w:rFonts w:hint="eastAsia" w:cs="Times New Roman"/>
                      <w:color w:val="auto"/>
                      <w:sz w:val="18"/>
                      <w:szCs w:val="18"/>
                      <w:highlight w:val="none"/>
                      <w:lang w:val="en-US" w:eastAsia="zh-CN"/>
                    </w:rPr>
                    <w:t>4</w:t>
                  </w:r>
                  <w:r>
                    <w:rPr>
                      <w:rFonts w:hint="default" w:ascii="Times New Roman" w:hAnsi="Times New Roman" w:cs="Times New Roman"/>
                      <w:color w:val="auto"/>
                      <w:sz w:val="18"/>
                      <w:szCs w:val="18"/>
                      <w:highlight w:val="none"/>
                    </w:rPr>
                    <w:t>°</w:t>
                  </w:r>
                </w:p>
              </w:tc>
              <w:tc>
                <w:tcPr>
                  <w:tcW w:w="524" w:type="dxa"/>
                  <w:vAlign w:val="center"/>
                </w:tcPr>
                <w:p w14:paraId="0C84EDA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高于建筑物1.5m</w:t>
                  </w:r>
                </w:p>
              </w:tc>
              <w:tc>
                <w:tcPr>
                  <w:tcW w:w="655" w:type="dxa"/>
                  <w:vAlign w:val="center"/>
                </w:tcPr>
                <w:p w14:paraId="58D533FC">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0.2</w:t>
                  </w:r>
                </w:p>
              </w:tc>
              <w:tc>
                <w:tcPr>
                  <w:tcW w:w="612" w:type="dxa"/>
                  <w:vAlign w:val="center"/>
                </w:tcPr>
                <w:p w14:paraId="30F0FCEF">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25</w:t>
                  </w:r>
                </w:p>
              </w:tc>
              <w:tc>
                <w:tcPr>
                  <w:tcW w:w="655" w:type="dxa"/>
                  <w:vAlign w:val="center"/>
                </w:tcPr>
                <w:p w14:paraId="411C1BEF">
                  <w:pPr>
                    <w:spacing w:line="240" w:lineRule="auto"/>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3000</w:t>
                  </w:r>
                </w:p>
              </w:tc>
              <w:tc>
                <w:tcPr>
                  <w:tcW w:w="728" w:type="dxa"/>
                  <w:vAlign w:val="center"/>
                </w:tcPr>
                <w:p w14:paraId="0473E9A9">
                  <w:pPr>
                    <w:spacing w:line="24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0.0013</w:t>
                  </w:r>
                </w:p>
              </w:tc>
              <w:tc>
                <w:tcPr>
                  <w:tcW w:w="976" w:type="dxa"/>
                  <w:vAlign w:val="center"/>
                </w:tcPr>
                <w:p w14:paraId="36F712AA">
                  <w:pPr>
                    <w:spacing w:line="240" w:lineRule="exac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0.72</w:t>
                  </w:r>
                </w:p>
              </w:tc>
              <w:tc>
                <w:tcPr>
                  <w:tcW w:w="757" w:type="dxa"/>
                  <w:vAlign w:val="center"/>
                </w:tcPr>
                <w:p w14:paraId="3DCDD464">
                  <w:pPr>
                    <w:spacing w:line="240" w:lineRule="exac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0.002</w:t>
                  </w:r>
                </w:p>
              </w:tc>
              <w:tc>
                <w:tcPr>
                  <w:tcW w:w="656" w:type="dxa"/>
                  <w:vAlign w:val="center"/>
                </w:tcPr>
                <w:p w14:paraId="0669CF53">
                  <w:pPr>
                    <w:spacing w:line="240" w:lineRule="auto"/>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600</w:t>
                  </w:r>
                </w:p>
              </w:tc>
              <w:tc>
                <w:tcPr>
                  <w:tcW w:w="704" w:type="dxa"/>
                  <w:vAlign w:val="center"/>
                </w:tcPr>
                <w:p w14:paraId="5FE567C1">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705" w:type="dxa"/>
                  <w:vAlign w:val="center"/>
                </w:tcPr>
                <w:p w14:paraId="5368E873">
                  <w:pPr>
                    <w:pStyle w:val="8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r>
          </w:tbl>
          <w:p w14:paraId="2F820889">
            <w:pPr>
              <w:rPr>
                <w:rFonts w:hint="eastAsia" w:cs="Times New Roman"/>
                <w:color w:val="auto"/>
                <w:lang w:eastAsia="zh-CN"/>
              </w:rPr>
            </w:pPr>
          </w:p>
          <w:p w14:paraId="16869EF2">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表4-</w:t>
            </w:r>
            <w:r>
              <w:rPr>
                <w:rFonts w:hint="default" w:ascii="Times New Roman" w:hAnsi="Times New Roman" w:eastAsia="宋体" w:cs="Times New Roman"/>
                <w:b/>
                <w:bCs/>
                <w:color w:val="auto"/>
                <w:sz w:val="21"/>
                <w:szCs w:val="21"/>
                <w:highlight w:val="none"/>
                <w:lang w:val="en-US" w:eastAsia="zh-CN"/>
              </w:rPr>
              <w:t>6</w:t>
            </w:r>
            <w:r>
              <w:rPr>
                <w:rFonts w:hint="default" w:ascii="Times New Roman" w:hAnsi="Times New Roman" w:eastAsia="宋体" w:cs="Times New Roman"/>
                <w:b/>
                <w:bCs/>
                <w:color w:val="auto"/>
                <w:sz w:val="21"/>
                <w:szCs w:val="21"/>
                <w:highlight w:val="none"/>
              </w:rPr>
              <w:t>本项目大气污染物排放量汇总表</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63"/>
              <w:gridCol w:w="1278"/>
              <w:gridCol w:w="1278"/>
              <w:gridCol w:w="1278"/>
              <w:gridCol w:w="1279"/>
            </w:tblGrid>
            <w:tr w14:paraId="75589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67" w:type="pct"/>
                  <w:tcBorders>
                    <w:top w:val="single" w:color="auto" w:sz="4" w:space="0"/>
                    <w:left w:val="single" w:color="auto" w:sz="4" w:space="0"/>
                    <w:bottom w:val="single" w:color="auto" w:sz="4" w:space="0"/>
                    <w:right w:val="single" w:color="auto" w:sz="4" w:space="0"/>
                  </w:tcBorders>
                  <w:noWrap w:val="0"/>
                  <w:vAlign w:val="center"/>
                </w:tcPr>
                <w:p w14:paraId="32509B49">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污染源及污染因子</w:t>
                  </w:r>
                </w:p>
              </w:tc>
              <w:tc>
                <w:tcPr>
                  <w:tcW w:w="508" w:type="pct"/>
                  <w:tcBorders>
                    <w:top w:val="single" w:color="auto" w:sz="4" w:space="0"/>
                    <w:left w:val="single" w:color="auto" w:sz="4" w:space="0"/>
                    <w:bottom w:val="single" w:color="auto" w:sz="4" w:space="0"/>
                    <w:right w:val="single" w:color="auto" w:sz="4" w:space="0"/>
                  </w:tcBorders>
                  <w:noWrap w:val="0"/>
                  <w:vAlign w:val="center"/>
                </w:tcPr>
                <w:p w14:paraId="4FF75F8D">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508" w:type="pct"/>
                  <w:tcBorders>
                    <w:top w:val="single" w:color="auto" w:sz="4" w:space="0"/>
                    <w:left w:val="single" w:color="auto" w:sz="4" w:space="0"/>
                    <w:bottom w:val="single" w:color="auto" w:sz="4" w:space="0"/>
                    <w:right w:val="single" w:color="auto" w:sz="4" w:space="0"/>
                  </w:tcBorders>
                  <w:noWrap w:val="0"/>
                  <w:vAlign w:val="center"/>
                </w:tcPr>
                <w:p w14:paraId="71FB7D29">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SO</w:t>
                  </w:r>
                  <w:r>
                    <w:rPr>
                      <w:rFonts w:hint="default" w:ascii="Times New Roman" w:hAnsi="Times New Roman" w:cs="Times New Roman"/>
                      <w:color w:val="auto"/>
                      <w:sz w:val="18"/>
                      <w:szCs w:val="18"/>
                      <w:highlight w:val="none"/>
                      <w:vertAlign w:val="subscript"/>
                    </w:rPr>
                    <w:t>2</w:t>
                  </w:r>
                </w:p>
              </w:tc>
              <w:tc>
                <w:tcPr>
                  <w:tcW w:w="508" w:type="pct"/>
                  <w:tcBorders>
                    <w:top w:val="single" w:color="auto" w:sz="4" w:space="0"/>
                    <w:left w:val="single" w:color="auto" w:sz="4" w:space="0"/>
                    <w:bottom w:val="single" w:color="auto" w:sz="4" w:space="0"/>
                    <w:right w:val="single" w:color="auto" w:sz="4" w:space="0"/>
                  </w:tcBorders>
                  <w:noWrap w:val="0"/>
                  <w:vAlign w:val="center"/>
                </w:tcPr>
                <w:p w14:paraId="0C290A10">
                  <w:pPr>
                    <w:adjustRightInd w:val="0"/>
                    <w:snapToGrid w:val="0"/>
                    <w:jc w:val="center"/>
                    <w:rPr>
                      <w:rFonts w:hint="default" w:ascii="Times New Roman" w:hAnsi="Times New Roman" w:cs="Times New Roman"/>
                      <w:color w:val="auto"/>
                      <w:sz w:val="18"/>
                      <w:szCs w:val="18"/>
                      <w:highlight w:val="none"/>
                    </w:rPr>
                  </w:pPr>
                  <w:r>
                    <w:rPr>
                      <w:rFonts w:hint="eastAsia"/>
                      <w:bCs/>
                      <w:color w:val="auto"/>
                      <w:sz w:val="18"/>
                      <w:szCs w:val="18"/>
                      <w:highlight w:val="none"/>
                    </w:rPr>
                    <w:t>NOx</w:t>
                  </w:r>
                </w:p>
              </w:tc>
              <w:tc>
                <w:tcPr>
                  <w:tcW w:w="508" w:type="pct"/>
                  <w:tcBorders>
                    <w:top w:val="single" w:color="auto" w:sz="4" w:space="0"/>
                    <w:left w:val="single" w:color="auto" w:sz="4" w:space="0"/>
                    <w:bottom w:val="single" w:color="auto" w:sz="4" w:space="0"/>
                    <w:right w:val="single" w:color="auto" w:sz="4" w:space="0"/>
                  </w:tcBorders>
                  <w:noWrap w:val="0"/>
                  <w:vAlign w:val="center"/>
                </w:tcPr>
                <w:p w14:paraId="27D79101">
                  <w:pPr>
                    <w:adjustRightInd w:val="0"/>
                    <w:snapToGrid w:val="0"/>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氨</w:t>
                  </w:r>
                </w:p>
              </w:tc>
            </w:tr>
            <w:tr w14:paraId="3EBA3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2967" w:type="pct"/>
                  <w:tcBorders>
                    <w:top w:val="single" w:color="auto" w:sz="4" w:space="0"/>
                    <w:left w:val="single" w:color="auto" w:sz="4" w:space="0"/>
                    <w:bottom w:val="single" w:color="auto" w:sz="4" w:space="0"/>
                    <w:right w:val="single" w:color="auto" w:sz="4" w:space="0"/>
                  </w:tcBorders>
                  <w:noWrap w:val="0"/>
                  <w:vAlign w:val="center"/>
                </w:tcPr>
                <w:p w14:paraId="6188D795">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有组织</w:t>
                  </w:r>
                </w:p>
              </w:tc>
              <w:tc>
                <w:tcPr>
                  <w:tcW w:w="508" w:type="pct"/>
                  <w:tcBorders>
                    <w:top w:val="single" w:color="auto" w:sz="4" w:space="0"/>
                    <w:left w:val="single" w:color="auto" w:sz="4" w:space="0"/>
                    <w:bottom w:val="single" w:color="auto" w:sz="4" w:space="0"/>
                    <w:right w:val="single" w:color="auto" w:sz="4" w:space="0"/>
                  </w:tcBorders>
                  <w:noWrap w:val="0"/>
                  <w:vAlign w:val="center"/>
                </w:tcPr>
                <w:p w14:paraId="326A0A78">
                  <w:pPr>
                    <w:widowControl/>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0.483</w:t>
                  </w:r>
                </w:p>
              </w:tc>
              <w:tc>
                <w:tcPr>
                  <w:tcW w:w="508" w:type="pct"/>
                  <w:tcBorders>
                    <w:top w:val="single" w:color="auto" w:sz="4" w:space="0"/>
                    <w:left w:val="single" w:color="auto" w:sz="4" w:space="0"/>
                    <w:bottom w:val="single" w:color="auto" w:sz="4" w:space="0"/>
                    <w:right w:val="single" w:color="auto" w:sz="4" w:space="0"/>
                  </w:tcBorders>
                  <w:noWrap w:val="0"/>
                  <w:vAlign w:val="center"/>
                </w:tcPr>
                <w:p w14:paraId="473C0B42">
                  <w:pPr>
                    <w:widowControl/>
                    <w:jc w:val="center"/>
                    <w:textAlignment w:val="center"/>
                    <w:rPr>
                      <w:rFonts w:hint="default" w:ascii="Times New Roman" w:hAnsi="Times New Roman" w:cs="Times New Roman"/>
                      <w:color w:val="auto"/>
                      <w:sz w:val="18"/>
                      <w:szCs w:val="18"/>
                      <w:highlight w:val="none"/>
                      <w:lang w:val="en-US" w:eastAsia="zh-CN" w:bidi="ar"/>
                    </w:rPr>
                  </w:pPr>
                  <w:r>
                    <w:rPr>
                      <w:rFonts w:hint="eastAsia" w:ascii="Times New Roman" w:hAnsi="Times New Roman" w:cs="Times New Roman"/>
                      <w:color w:val="auto"/>
                      <w:sz w:val="18"/>
                      <w:szCs w:val="18"/>
                      <w:highlight w:val="none"/>
                      <w:lang w:val="en-US" w:eastAsia="zh-CN" w:bidi="ar"/>
                    </w:rPr>
                    <w:t>0.12</w:t>
                  </w:r>
                </w:p>
              </w:tc>
              <w:tc>
                <w:tcPr>
                  <w:tcW w:w="508" w:type="pct"/>
                  <w:tcBorders>
                    <w:top w:val="single" w:color="auto" w:sz="4" w:space="0"/>
                    <w:left w:val="single" w:color="auto" w:sz="4" w:space="0"/>
                    <w:bottom w:val="single" w:color="auto" w:sz="4" w:space="0"/>
                    <w:right w:val="single" w:color="auto" w:sz="4" w:space="0"/>
                  </w:tcBorders>
                  <w:noWrap w:val="0"/>
                  <w:vAlign w:val="center"/>
                </w:tcPr>
                <w:p w14:paraId="13AA3CB5">
                  <w:pPr>
                    <w:widowControl/>
                    <w:jc w:val="center"/>
                    <w:textAlignment w:val="center"/>
                    <w:rPr>
                      <w:rFonts w:hint="default" w:ascii="Times New Roman" w:hAnsi="Times New Roman" w:cs="Times New Roman"/>
                      <w:color w:val="auto"/>
                      <w:sz w:val="18"/>
                      <w:szCs w:val="18"/>
                      <w:highlight w:val="none"/>
                      <w:lang w:val="en-US" w:eastAsia="zh-CN" w:bidi="ar"/>
                    </w:rPr>
                  </w:pPr>
                  <w:r>
                    <w:rPr>
                      <w:rFonts w:hint="eastAsia" w:ascii="Times New Roman" w:hAnsi="Times New Roman" w:cs="Times New Roman"/>
                      <w:color w:val="auto"/>
                      <w:sz w:val="18"/>
                      <w:szCs w:val="18"/>
                      <w:highlight w:val="none"/>
                      <w:lang w:val="en-US" w:eastAsia="zh-CN" w:bidi="ar"/>
                    </w:rPr>
                    <w:t>0.4182</w:t>
                  </w:r>
                </w:p>
              </w:tc>
              <w:tc>
                <w:tcPr>
                  <w:tcW w:w="508" w:type="pct"/>
                  <w:tcBorders>
                    <w:top w:val="single" w:color="auto" w:sz="4" w:space="0"/>
                    <w:left w:val="single" w:color="auto" w:sz="4" w:space="0"/>
                    <w:bottom w:val="single" w:color="auto" w:sz="4" w:space="0"/>
                    <w:right w:val="single" w:color="auto" w:sz="4" w:space="0"/>
                  </w:tcBorders>
                  <w:noWrap w:val="0"/>
                  <w:vAlign w:val="center"/>
                </w:tcPr>
                <w:p w14:paraId="5D433E9D">
                  <w:pPr>
                    <w:widowControl/>
                    <w:jc w:val="center"/>
                    <w:textAlignment w:val="center"/>
                    <w:rPr>
                      <w:rFonts w:hint="default" w:ascii="Times New Roman" w:hAnsi="Times New Roman" w:cs="Times New Roman"/>
                      <w:color w:val="auto"/>
                      <w:sz w:val="18"/>
                      <w:szCs w:val="18"/>
                      <w:highlight w:val="none"/>
                      <w:lang w:val="en-US" w:eastAsia="zh-CN" w:bidi="ar"/>
                    </w:rPr>
                  </w:pPr>
                  <w:r>
                    <w:rPr>
                      <w:rFonts w:hint="eastAsia" w:ascii="Times New Roman" w:hAnsi="Times New Roman" w:cs="Times New Roman"/>
                      <w:color w:val="auto"/>
                      <w:sz w:val="18"/>
                      <w:szCs w:val="18"/>
                      <w:highlight w:val="none"/>
                      <w:lang w:val="en-US" w:eastAsia="zh-CN" w:bidi="ar"/>
                    </w:rPr>
                    <w:t>0.798</w:t>
                  </w:r>
                </w:p>
              </w:tc>
            </w:tr>
            <w:tr w14:paraId="4FD52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67" w:type="pct"/>
                  <w:tcBorders>
                    <w:top w:val="single" w:color="auto" w:sz="4" w:space="0"/>
                    <w:left w:val="single" w:color="auto" w:sz="4" w:space="0"/>
                    <w:bottom w:val="single" w:color="auto" w:sz="4" w:space="0"/>
                    <w:right w:val="single" w:color="auto" w:sz="4" w:space="0"/>
                  </w:tcBorders>
                  <w:noWrap w:val="0"/>
                  <w:vAlign w:val="center"/>
                </w:tcPr>
                <w:p w14:paraId="2FADBD5C">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无组织</w:t>
                  </w:r>
                </w:p>
              </w:tc>
              <w:tc>
                <w:tcPr>
                  <w:tcW w:w="508" w:type="pct"/>
                  <w:tcBorders>
                    <w:top w:val="single" w:color="auto" w:sz="4" w:space="0"/>
                    <w:left w:val="single" w:color="auto" w:sz="4" w:space="0"/>
                    <w:bottom w:val="single" w:color="auto" w:sz="4" w:space="0"/>
                    <w:right w:val="single" w:color="auto" w:sz="4" w:space="0"/>
                  </w:tcBorders>
                  <w:noWrap w:val="0"/>
                  <w:vAlign w:val="center"/>
                </w:tcPr>
                <w:p w14:paraId="6E128D66">
                  <w:pPr>
                    <w:widowControl/>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1.897</w:t>
                  </w:r>
                </w:p>
              </w:tc>
              <w:tc>
                <w:tcPr>
                  <w:tcW w:w="508" w:type="pct"/>
                  <w:tcBorders>
                    <w:top w:val="single" w:color="auto" w:sz="4" w:space="0"/>
                    <w:left w:val="single" w:color="auto" w:sz="4" w:space="0"/>
                    <w:bottom w:val="single" w:color="auto" w:sz="4" w:space="0"/>
                    <w:right w:val="single" w:color="auto" w:sz="4" w:space="0"/>
                  </w:tcBorders>
                  <w:noWrap w:val="0"/>
                  <w:vAlign w:val="center"/>
                </w:tcPr>
                <w:p w14:paraId="09A607BD">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0</w:t>
                  </w:r>
                </w:p>
              </w:tc>
              <w:tc>
                <w:tcPr>
                  <w:tcW w:w="508" w:type="pct"/>
                  <w:tcBorders>
                    <w:top w:val="single" w:color="auto" w:sz="4" w:space="0"/>
                    <w:left w:val="single" w:color="auto" w:sz="4" w:space="0"/>
                    <w:bottom w:val="single" w:color="auto" w:sz="4" w:space="0"/>
                    <w:right w:val="single" w:color="auto" w:sz="4" w:space="0"/>
                  </w:tcBorders>
                  <w:noWrap w:val="0"/>
                  <w:vAlign w:val="center"/>
                </w:tcPr>
                <w:p w14:paraId="34928FD4">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0</w:t>
                  </w:r>
                </w:p>
              </w:tc>
              <w:tc>
                <w:tcPr>
                  <w:tcW w:w="508" w:type="pct"/>
                  <w:tcBorders>
                    <w:top w:val="single" w:color="auto" w:sz="4" w:space="0"/>
                    <w:left w:val="single" w:color="auto" w:sz="4" w:space="0"/>
                    <w:bottom w:val="single" w:color="auto" w:sz="4" w:space="0"/>
                    <w:right w:val="single" w:color="auto" w:sz="4" w:space="0"/>
                  </w:tcBorders>
                  <w:noWrap w:val="0"/>
                  <w:vAlign w:val="center"/>
                </w:tcPr>
                <w:p w14:paraId="441A4FCC">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ascii="Times New Roman" w:hAnsi="Times New Roman" w:cs="Times New Roman"/>
                      <w:color w:val="auto"/>
                      <w:kern w:val="0"/>
                      <w:sz w:val="18"/>
                      <w:szCs w:val="18"/>
                      <w:highlight w:val="none"/>
                      <w:lang w:val="en-US" w:eastAsia="zh-CN" w:bidi="ar"/>
                    </w:rPr>
                    <w:t>0.575</w:t>
                  </w:r>
                </w:p>
              </w:tc>
            </w:tr>
            <w:tr w14:paraId="15C9E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67" w:type="pct"/>
                  <w:tcBorders>
                    <w:top w:val="single" w:color="auto" w:sz="4" w:space="0"/>
                    <w:left w:val="single" w:color="auto" w:sz="4" w:space="0"/>
                    <w:bottom w:val="single" w:color="auto" w:sz="4" w:space="0"/>
                    <w:right w:val="single" w:color="auto" w:sz="4" w:space="0"/>
                  </w:tcBorders>
                  <w:noWrap w:val="0"/>
                  <w:vAlign w:val="center"/>
                </w:tcPr>
                <w:p w14:paraId="5398CA04">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总计</w:t>
                  </w:r>
                </w:p>
              </w:tc>
              <w:tc>
                <w:tcPr>
                  <w:tcW w:w="508" w:type="pct"/>
                  <w:tcBorders>
                    <w:top w:val="single" w:color="auto" w:sz="4" w:space="0"/>
                    <w:left w:val="single" w:color="auto" w:sz="4" w:space="0"/>
                    <w:bottom w:val="single" w:color="auto" w:sz="4" w:space="0"/>
                    <w:right w:val="single" w:color="auto" w:sz="4" w:space="0"/>
                  </w:tcBorders>
                  <w:noWrap w:val="0"/>
                  <w:vAlign w:val="center"/>
                </w:tcPr>
                <w:p w14:paraId="6F301C6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2.38</w:t>
                  </w:r>
                </w:p>
              </w:tc>
              <w:tc>
                <w:tcPr>
                  <w:tcW w:w="508"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30B5C71">
                  <w:pPr>
                    <w:widowControl/>
                    <w:jc w:val="center"/>
                    <w:textAlignment w:val="center"/>
                    <w:rPr>
                      <w:rFonts w:hint="default" w:ascii="Times New Roman" w:hAnsi="Times New Roman" w:eastAsia="宋体" w:cs="Times New Roman"/>
                      <w:color w:val="auto"/>
                      <w:kern w:val="2"/>
                      <w:sz w:val="18"/>
                      <w:szCs w:val="18"/>
                      <w:highlight w:val="none"/>
                      <w:lang w:val="en-US" w:eastAsia="zh-CN" w:bidi="ar"/>
                    </w:rPr>
                  </w:pPr>
                  <w:r>
                    <w:rPr>
                      <w:rFonts w:hint="eastAsia" w:ascii="Times New Roman" w:hAnsi="Times New Roman" w:cs="Times New Roman"/>
                      <w:color w:val="auto"/>
                      <w:sz w:val="18"/>
                      <w:szCs w:val="18"/>
                      <w:highlight w:val="none"/>
                      <w:lang w:val="en-US" w:eastAsia="zh-CN" w:bidi="ar"/>
                    </w:rPr>
                    <w:t>0.12</w:t>
                  </w:r>
                </w:p>
              </w:tc>
              <w:tc>
                <w:tcPr>
                  <w:tcW w:w="508"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D3B9AF6">
                  <w:pPr>
                    <w:widowControl/>
                    <w:jc w:val="center"/>
                    <w:textAlignment w:val="center"/>
                    <w:rPr>
                      <w:rFonts w:hint="default" w:ascii="Times New Roman" w:hAnsi="Times New Roman" w:eastAsia="宋体" w:cs="Times New Roman"/>
                      <w:color w:val="auto"/>
                      <w:kern w:val="2"/>
                      <w:sz w:val="18"/>
                      <w:szCs w:val="18"/>
                      <w:highlight w:val="none"/>
                      <w:lang w:val="en-US" w:eastAsia="zh-CN" w:bidi="ar"/>
                    </w:rPr>
                  </w:pPr>
                  <w:r>
                    <w:rPr>
                      <w:rFonts w:hint="eastAsia" w:ascii="Times New Roman" w:hAnsi="Times New Roman" w:cs="Times New Roman"/>
                      <w:color w:val="auto"/>
                      <w:sz w:val="18"/>
                      <w:szCs w:val="18"/>
                      <w:highlight w:val="none"/>
                      <w:lang w:val="en-US" w:eastAsia="zh-CN" w:bidi="ar"/>
                    </w:rPr>
                    <w:t>0.4182</w:t>
                  </w:r>
                </w:p>
              </w:tc>
              <w:tc>
                <w:tcPr>
                  <w:tcW w:w="508" w:type="pct"/>
                  <w:tcBorders>
                    <w:top w:val="single" w:color="auto" w:sz="4" w:space="0"/>
                    <w:left w:val="single" w:color="auto" w:sz="4" w:space="0"/>
                    <w:bottom w:val="single" w:color="auto" w:sz="4" w:space="0"/>
                    <w:right w:val="single" w:color="auto" w:sz="4" w:space="0"/>
                  </w:tcBorders>
                  <w:noWrap w:val="0"/>
                  <w:vAlign w:val="center"/>
                </w:tcPr>
                <w:p w14:paraId="6F94FDFD">
                  <w:pPr>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1.373</w:t>
                  </w:r>
                </w:p>
              </w:tc>
            </w:tr>
          </w:tbl>
          <w:p w14:paraId="5B6434D0">
            <w:pPr>
              <w:rPr>
                <w:rFonts w:hint="eastAsia" w:cs="Times New Roman"/>
                <w:color w:val="auto"/>
                <w:lang w:eastAsia="zh-CN"/>
              </w:rPr>
            </w:pPr>
          </w:p>
          <w:p w14:paraId="5138659C">
            <w:pPr>
              <w:rPr>
                <w:rFonts w:hint="eastAsia" w:cs="Times New Roman"/>
                <w:color w:val="auto"/>
                <w:lang w:eastAsia="zh-CN"/>
              </w:rPr>
            </w:pPr>
          </w:p>
          <w:p w14:paraId="30D8BAA6">
            <w:pPr>
              <w:rPr>
                <w:rFonts w:hint="eastAsia" w:cs="Times New Roman"/>
                <w:color w:val="auto"/>
                <w:lang w:eastAsia="zh-CN"/>
              </w:rPr>
            </w:pPr>
          </w:p>
          <w:p w14:paraId="6D19900E">
            <w:pPr>
              <w:rPr>
                <w:rFonts w:hint="eastAsia" w:cs="Times New Roman"/>
                <w:color w:val="auto"/>
                <w:lang w:eastAsia="zh-CN"/>
              </w:rPr>
            </w:pPr>
          </w:p>
          <w:p w14:paraId="24419205">
            <w:pPr>
              <w:rPr>
                <w:rFonts w:hint="eastAsia" w:cs="Times New Roman"/>
                <w:color w:val="auto"/>
                <w:lang w:eastAsia="zh-CN"/>
              </w:rPr>
            </w:pPr>
          </w:p>
          <w:p w14:paraId="2AF94F65">
            <w:pPr>
              <w:rPr>
                <w:rFonts w:hint="eastAsia" w:cs="Times New Roman"/>
                <w:color w:val="auto"/>
                <w:lang w:eastAsia="zh-CN"/>
              </w:rPr>
            </w:pPr>
          </w:p>
          <w:p w14:paraId="4158F6E0">
            <w:pPr>
              <w:rPr>
                <w:rFonts w:hint="eastAsia" w:cs="Times New Roman"/>
                <w:color w:val="auto"/>
                <w:lang w:eastAsia="zh-CN"/>
              </w:rPr>
            </w:pPr>
          </w:p>
          <w:p w14:paraId="19F682D8">
            <w:pPr>
              <w:rPr>
                <w:rFonts w:hint="eastAsia" w:cs="Times New Roman"/>
                <w:color w:val="auto"/>
                <w:lang w:eastAsia="zh-CN"/>
              </w:rPr>
            </w:pPr>
          </w:p>
          <w:p w14:paraId="7045FBA7">
            <w:pPr>
              <w:rPr>
                <w:rFonts w:hint="eastAsia" w:cs="Times New Roman"/>
                <w:color w:val="auto"/>
                <w:lang w:eastAsia="zh-CN"/>
              </w:rPr>
            </w:pPr>
          </w:p>
          <w:p w14:paraId="12373B20">
            <w:pPr>
              <w:rPr>
                <w:rFonts w:hint="eastAsia" w:cs="Times New Roman"/>
                <w:color w:val="auto"/>
                <w:lang w:eastAsia="zh-CN"/>
              </w:rPr>
            </w:pPr>
          </w:p>
          <w:p w14:paraId="4A74C696">
            <w:pPr>
              <w:rPr>
                <w:rFonts w:hint="eastAsia" w:cs="Times New Roman"/>
                <w:color w:val="auto"/>
                <w:lang w:eastAsia="zh-CN"/>
              </w:rPr>
            </w:pPr>
          </w:p>
          <w:p w14:paraId="04FC3D28">
            <w:pPr>
              <w:rPr>
                <w:rFonts w:hint="eastAsia" w:cs="Times New Roman"/>
                <w:color w:val="auto"/>
                <w:lang w:eastAsia="zh-CN"/>
              </w:rPr>
            </w:pPr>
          </w:p>
          <w:p w14:paraId="0FA19B60">
            <w:pPr>
              <w:rPr>
                <w:rFonts w:hint="eastAsia" w:cs="Times New Roman"/>
                <w:color w:val="auto"/>
                <w:lang w:eastAsia="zh-CN"/>
              </w:rPr>
            </w:pPr>
          </w:p>
          <w:p w14:paraId="48E7EA26">
            <w:pPr>
              <w:rPr>
                <w:rFonts w:hint="eastAsia" w:cs="Times New Roman"/>
                <w:color w:val="auto"/>
                <w:lang w:eastAsia="zh-CN"/>
              </w:rPr>
            </w:pPr>
          </w:p>
          <w:p w14:paraId="61CF61EC">
            <w:pPr>
              <w:rPr>
                <w:rFonts w:hint="default" w:ascii="Times New Roman" w:hAnsi="Times New Roman" w:eastAsia="宋体" w:cs="Times New Roman"/>
                <w:color w:val="auto"/>
                <w:lang w:eastAsia="zh-CN"/>
              </w:rPr>
            </w:pPr>
          </w:p>
        </w:tc>
      </w:tr>
    </w:tbl>
    <w:p w14:paraId="5B3A41F0">
      <w:pPr>
        <w:pStyle w:val="80"/>
        <w:jc w:val="right"/>
        <w:rPr>
          <w:rFonts w:hint="default" w:ascii="Times New Roman" w:hAnsi="Times New Roman" w:cs="Times New Roman"/>
          <w:color w:val="FF0000"/>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9"/>
        <w:gridCol w:w="8601"/>
      </w:tblGrid>
      <w:tr w14:paraId="6515F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44" w:hRule="atLeast"/>
          <w:jc w:val="center"/>
        </w:trPr>
        <w:tc>
          <w:tcPr>
            <w:tcW w:w="466" w:type="dxa"/>
            <w:tcBorders>
              <w:top w:val="single" w:color="auto" w:sz="4" w:space="0"/>
              <w:left w:val="single" w:color="auto" w:sz="4" w:space="0"/>
              <w:right w:val="single" w:color="auto" w:sz="4" w:space="0"/>
            </w:tcBorders>
            <w:vAlign w:val="center"/>
          </w:tcPr>
          <w:p w14:paraId="414C430F">
            <w:pPr>
              <w:adjustRightInd w:val="0"/>
              <w:snapToGrid w:val="0"/>
              <w:spacing w:line="420" w:lineRule="exact"/>
              <w:jc w:val="center"/>
              <w:rPr>
                <w:rFonts w:hint="default" w:ascii="Times New Roman" w:hAnsi="Times New Roman" w:cs="Times New Roman"/>
                <w:bCs/>
                <w:color w:val="auto"/>
              </w:rPr>
            </w:pPr>
            <w:r>
              <w:rPr>
                <w:rFonts w:hint="default" w:ascii="Times New Roman" w:hAnsi="Times New Roman" w:cs="Times New Roman"/>
                <w:bCs/>
                <w:color w:val="auto"/>
              </w:rPr>
              <w:t>运营</w:t>
            </w:r>
          </w:p>
          <w:p w14:paraId="04EE06FB">
            <w:pPr>
              <w:adjustRightInd w:val="0"/>
              <w:snapToGrid w:val="0"/>
              <w:spacing w:line="420" w:lineRule="exact"/>
              <w:jc w:val="center"/>
              <w:rPr>
                <w:rFonts w:hint="default" w:ascii="Times New Roman" w:hAnsi="Times New Roman" w:cs="Times New Roman"/>
                <w:bCs/>
                <w:color w:val="auto"/>
              </w:rPr>
            </w:pPr>
            <w:r>
              <w:rPr>
                <w:rFonts w:hint="default" w:ascii="Times New Roman" w:hAnsi="Times New Roman" w:cs="Times New Roman"/>
                <w:bCs/>
                <w:color w:val="auto"/>
              </w:rPr>
              <w:t>期环</w:t>
            </w:r>
          </w:p>
          <w:p w14:paraId="5B3E577D">
            <w:pPr>
              <w:adjustRightInd w:val="0"/>
              <w:snapToGrid w:val="0"/>
              <w:spacing w:line="420" w:lineRule="exact"/>
              <w:jc w:val="center"/>
              <w:rPr>
                <w:rFonts w:hint="default" w:ascii="Times New Roman" w:hAnsi="Times New Roman" w:cs="Times New Roman"/>
                <w:bCs/>
                <w:color w:val="auto"/>
              </w:rPr>
            </w:pPr>
            <w:r>
              <w:rPr>
                <w:rFonts w:hint="default" w:ascii="Times New Roman" w:hAnsi="Times New Roman" w:cs="Times New Roman"/>
                <w:bCs/>
                <w:color w:val="auto"/>
              </w:rPr>
              <w:t>境影</w:t>
            </w:r>
          </w:p>
          <w:p w14:paraId="6D941E9A">
            <w:pPr>
              <w:adjustRightInd w:val="0"/>
              <w:snapToGrid w:val="0"/>
              <w:spacing w:line="420" w:lineRule="exact"/>
              <w:jc w:val="center"/>
              <w:rPr>
                <w:rFonts w:hint="default" w:ascii="Times New Roman" w:hAnsi="Times New Roman" w:cs="Times New Roman"/>
                <w:bCs/>
                <w:color w:val="auto"/>
              </w:rPr>
            </w:pPr>
            <w:r>
              <w:rPr>
                <w:rFonts w:hint="default" w:ascii="Times New Roman" w:hAnsi="Times New Roman" w:cs="Times New Roman"/>
                <w:bCs/>
                <w:color w:val="auto"/>
              </w:rPr>
              <w:t>响和</w:t>
            </w:r>
          </w:p>
          <w:p w14:paraId="34565F65">
            <w:pPr>
              <w:adjustRightInd w:val="0"/>
              <w:snapToGrid w:val="0"/>
              <w:spacing w:line="420" w:lineRule="exact"/>
              <w:jc w:val="center"/>
              <w:rPr>
                <w:rFonts w:hint="default" w:ascii="Times New Roman" w:hAnsi="Times New Roman" w:cs="Times New Roman"/>
                <w:bCs/>
                <w:color w:val="auto"/>
              </w:rPr>
            </w:pPr>
            <w:r>
              <w:rPr>
                <w:rFonts w:hint="default" w:ascii="Times New Roman" w:hAnsi="Times New Roman" w:cs="Times New Roman"/>
                <w:bCs/>
                <w:color w:val="auto"/>
              </w:rPr>
              <w:t>保护</w:t>
            </w:r>
          </w:p>
          <w:p w14:paraId="04D5B520">
            <w:pPr>
              <w:adjustRightInd w:val="0"/>
              <w:snapToGrid w:val="0"/>
              <w:spacing w:line="420" w:lineRule="exact"/>
              <w:jc w:val="center"/>
              <w:rPr>
                <w:rFonts w:hint="default" w:ascii="Times New Roman" w:hAnsi="Times New Roman" w:cs="Times New Roman"/>
                <w:bCs/>
                <w:color w:val="FF0000"/>
              </w:rPr>
            </w:pPr>
            <w:r>
              <w:rPr>
                <w:rFonts w:hint="default" w:ascii="Times New Roman" w:hAnsi="Times New Roman" w:cs="Times New Roman"/>
                <w:bCs/>
                <w:color w:val="auto"/>
              </w:rPr>
              <w:t>措施</w:t>
            </w:r>
          </w:p>
        </w:tc>
        <w:tc>
          <w:tcPr>
            <w:tcW w:w="8594" w:type="dxa"/>
            <w:tcBorders>
              <w:top w:val="single" w:color="auto" w:sz="4" w:space="0"/>
              <w:left w:val="single" w:color="auto" w:sz="4" w:space="0"/>
              <w:right w:val="single" w:color="auto" w:sz="4" w:space="0"/>
            </w:tcBorders>
          </w:tcPr>
          <w:p w14:paraId="030E95F8">
            <w:pPr>
              <w:pStyle w:val="1042"/>
              <w:adjustRightInd w:val="0"/>
              <w:snapToGrid w:val="0"/>
              <w:spacing w:line="360" w:lineRule="auto"/>
              <w:ind w:firstLine="422"/>
              <w:rPr>
                <w:rFonts w:hint="default" w:ascii="Times New Roman" w:hAnsi="Times New Roman" w:cs="Times New Roman"/>
                <w:b/>
                <w:color w:val="auto"/>
                <w:szCs w:val="21"/>
              </w:rPr>
            </w:pPr>
            <w:r>
              <w:rPr>
                <w:rFonts w:hint="default" w:ascii="Times New Roman" w:hAnsi="Times New Roman" w:cs="Times New Roman"/>
                <w:b/>
                <w:color w:val="auto"/>
                <w:szCs w:val="21"/>
              </w:rPr>
              <w:t>（</w:t>
            </w:r>
            <w:r>
              <w:rPr>
                <w:rFonts w:hint="default" w:ascii="Times New Roman" w:hAnsi="Times New Roman" w:cs="Times New Roman"/>
                <w:b/>
                <w:color w:val="auto"/>
                <w:szCs w:val="21"/>
                <w:lang w:val="en-US" w:eastAsia="zh-CN"/>
              </w:rPr>
              <w:t>二</w:t>
            </w:r>
            <w:r>
              <w:rPr>
                <w:rFonts w:hint="default" w:ascii="Times New Roman" w:hAnsi="Times New Roman" w:cs="Times New Roman"/>
                <w:b/>
                <w:color w:val="auto"/>
                <w:szCs w:val="21"/>
              </w:rPr>
              <w:t>）源强核算过程：</w:t>
            </w:r>
          </w:p>
          <w:p w14:paraId="16B02D15">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cs="Times New Roman"/>
                <w:color w:val="auto"/>
                <w:highlight w:val="none"/>
                <w:lang w:eastAsia="zh-CN"/>
              </w:rPr>
            </w:pPr>
            <w:r>
              <w:rPr>
                <w:rFonts w:hint="eastAsia" w:cs="Times New Roman"/>
                <w:bCs/>
                <w:color w:val="auto"/>
                <w:highlight w:val="none"/>
                <w:lang w:eastAsia="zh-CN"/>
              </w:rPr>
              <w:t>一期项目</w:t>
            </w:r>
            <w:r>
              <w:rPr>
                <w:rFonts w:hint="default" w:ascii="Times New Roman" w:hAnsi="Times New Roman" w:cs="Times New Roman"/>
                <w:bCs/>
                <w:color w:val="auto"/>
                <w:highlight w:val="none"/>
              </w:rPr>
              <w:t>大气污染物主要为</w:t>
            </w:r>
            <w:r>
              <w:rPr>
                <w:rFonts w:hint="default" w:ascii="Times New Roman" w:hAnsi="Times New Roman" w:cs="Times New Roman"/>
                <w:bCs/>
                <w:color w:val="auto"/>
                <w:highlight w:val="none"/>
                <w:lang w:eastAsia="zh-CN"/>
              </w:rPr>
              <w:t>原料</w:t>
            </w:r>
            <w:r>
              <w:rPr>
                <w:rFonts w:hint="eastAsia" w:cs="Times New Roman"/>
                <w:bCs/>
                <w:color w:val="auto"/>
                <w:highlight w:val="none"/>
                <w:lang w:val="en-US" w:eastAsia="zh-CN"/>
              </w:rPr>
              <w:t>破碎过程产生的粉尘（G1）；原料筛分过程产生的粉尘（G2）；配料过程产生的粉尘（G3）；筛分工序产生的粉尘（G4）；混合过程产生的粉尘（G5）；造粒过程产生的粉尘、氨、臭气浓度（G6）；粗筛过程产生的粉尘（G7）；整形过程产生的粉尘（G8）；天然气燃烧过程产生的</w:t>
            </w:r>
            <w:r>
              <w:rPr>
                <w:rFonts w:hint="default" w:ascii="Times New Roman" w:hAnsi="Times New Roman" w:eastAsia="宋体" w:cs="Times New Roman"/>
                <w:color w:val="auto"/>
                <w:spacing w:val="0"/>
                <w:kern w:val="36"/>
                <w:sz w:val="21"/>
                <w:szCs w:val="21"/>
                <w:highlight w:val="none"/>
                <w:lang w:val="en-US" w:eastAsia="zh-CN" w:bidi="ar-SA"/>
              </w:rPr>
              <w:t>SO</w:t>
            </w:r>
            <w:r>
              <w:rPr>
                <w:rFonts w:hint="default" w:ascii="Times New Roman" w:hAnsi="Times New Roman" w:eastAsia="宋体" w:cs="Times New Roman"/>
                <w:color w:val="auto"/>
                <w:spacing w:val="0"/>
                <w:kern w:val="36"/>
                <w:sz w:val="21"/>
                <w:szCs w:val="21"/>
                <w:highlight w:val="none"/>
                <w:vertAlign w:val="subscript"/>
                <w:lang w:val="en-US" w:eastAsia="zh-CN" w:bidi="ar-SA"/>
              </w:rPr>
              <w:t>2</w:t>
            </w:r>
            <w:r>
              <w:rPr>
                <w:rFonts w:hint="default" w:ascii="Times New Roman" w:hAnsi="Times New Roman" w:eastAsia="宋体" w:cs="Times New Roman"/>
                <w:color w:val="auto"/>
                <w:spacing w:val="0"/>
                <w:kern w:val="36"/>
                <w:sz w:val="21"/>
                <w:szCs w:val="21"/>
                <w:highlight w:val="none"/>
                <w:lang w:val="en-US" w:eastAsia="zh-CN" w:bidi="ar-SA"/>
              </w:rPr>
              <w:t>、NOx、烟尘</w:t>
            </w:r>
            <w:r>
              <w:rPr>
                <w:rFonts w:hint="eastAsia" w:cs="Times New Roman"/>
                <w:bCs/>
                <w:color w:val="auto"/>
                <w:highlight w:val="none"/>
                <w:lang w:val="en-US" w:eastAsia="zh-CN"/>
              </w:rPr>
              <w:t>（G9）；烘干过程产生的粉尘、氨、臭气浓度（G10）；冷却过程产生的粉尘（G11）；精筛过程产生的粉尘（G12）；入仓产生的粉尘（G13）；包膜和包装过程产生的粉尘（G14）；</w:t>
            </w:r>
            <w:r>
              <w:rPr>
                <w:rFonts w:hint="default" w:ascii="Times New Roman" w:hAnsi="Times New Roman" w:cs="Times New Roman"/>
                <w:bCs/>
                <w:color w:val="auto"/>
                <w:highlight w:val="none"/>
                <w:lang w:val="en-US" w:eastAsia="zh-CN"/>
              </w:rPr>
              <w:t>卸料、</w:t>
            </w:r>
            <w:r>
              <w:rPr>
                <w:rFonts w:hint="eastAsia" w:ascii="Times New Roman" w:hAnsi="Times New Roman" w:cs="Times New Roman"/>
                <w:bCs/>
                <w:color w:val="auto"/>
                <w:highlight w:val="none"/>
                <w:lang w:val="en-US" w:eastAsia="zh-CN"/>
              </w:rPr>
              <w:t>堆存</w:t>
            </w:r>
            <w:r>
              <w:rPr>
                <w:rFonts w:hint="default" w:ascii="Times New Roman" w:hAnsi="Times New Roman" w:cs="Times New Roman"/>
                <w:bCs/>
                <w:color w:val="auto"/>
                <w:highlight w:val="none"/>
                <w:lang w:val="en-US" w:eastAsia="zh-CN"/>
              </w:rPr>
              <w:t>过程</w:t>
            </w:r>
            <w:r>
              <w:rPr>
                <w:rFonts w:hint="default" w:ascii="Times New Roman" w:hAnsi="Times New Roman" w:cs="Times New Roman"/>
                <w:bCs/>
                <w:color w:val="auto"/>
                <w:highlight w:val="none"/>
              </w:rPr>
              <w:t>产生的</w:t>
            </w:r>
            <w:r>
              <w:rPr>
                <w:rFonts w:hint="default" w:ascii="Times New Roman" w:hAnsi="Times New Roman" w:cs="Times New Roman"/>
                <w:bCs/>
                <w:color w:val="auto"/>
                <w:highlight w:val="none"/>
                <w:lang w:val="en-US" w:eastAsia="zh-CN"/>
              </w:rPr>
              <w:t>粉尘</w:t>
            </w:r>
            <w:r>
              <w:rPr>
                <w:rFonts w:hint="eastAsia" w:ascii="Times New Roman" w:hAnsi="Times New Roman" w:cs="Times New Roman"/>
                <w:bCs/>
                <w:color w:val="auto"/>
                <w:highlight w:val="none"/>
                <w:lang w:val="en-US" w:eastAsia="zh-CN"/>
              </w:rPr>
              <w:t>、氨气</w:t>
            </w:r>
            <w:r>
              <w:rPr>
                <w:rFonts w:hint="eastAsia" w:cs="Times New Roman"/>
                <w:bCs/>
                <w:color w:val="auto"/>
                <w:highlight w:val="none"/>
                <w:lang w:val="en-US" w:eastAsia="zh-CN"/>
              </w:rPr>
              <w:t>、臭气浓度</w:t>
            </w:r>
            <w:r>
              <w:rPr>
                <w:rFonts w:hint="eastAsia" w:ascii="Times New Roman" w:hAnsi="Times New Roman" w:cs="Times New Roman"/>
                <w:bCs/>
                <w:color w:val="auto"/>
                <w:highlight w:val="none"/>
                <w:lang w:val="en-US" w:eastAsia="zh-CN"/>
              </w:rPr>
              <w:t>（G1</w:t>
            </w:r>
            <w:r>
              <w:rPr>
                <w:rFonts w:hint="eastAsia" w:cs="Times New Roman"/>
                <w:bCs/>
                <w:color w:val="auto"/>
                <w:highlight w:val="none"/>
                <w:lang w:val="en-US" w:eastAsia="zh-CN"/>
              </w:rPr>
              <w:t>5</w:t>
            </w:r>
            <w:r>
              <w:rPr>
                <w:rFonts w:hint="eastAsia" w:ascii="Times New Roman" w:hAnsi="Times New Roman" w:cs="Times New Roman"/>
                <w:bCs/>
                <w:color w:val="auto"/>
                <w:highlight w:val="none"/>
                <w:lang w:val="en-US" w:eastAsia="zh-CN"/>
              </w:rPr>
              <w:t>）；车辆运输产生的粉尘（G1</w:t>
            </w:r>
            <w:r>
              <w:rPr>
                <w:rFonts w:hint="eastAsia" w:cs="Times New Roman"/>
                <w:bCs/>
                <w:color w:val="auto"/>
                <w:highlight w:val="none"/>
                <w:lang w:val="en-US" w:eastAsia="zh-CN"/>
              </w:rPr>
              <w:t>6</w:t>
            </w:r>
            <w:r>
              <w:rPr>
                <w:rFonts w:hint="eastAsia" w:ascii="Times New Roman" w:hAnsi="Times New Roman" w:cs="Times New Roman"/>
                <w:bCs/>
                <w:color w:val="auto"/>
                <w:highlight w:val="none"/>
                <w:lang w:val="en-US" w:eastAsia="zh-CN"/>
              </w:rPr>
              <w:t>）；</w:t>
            </w:r>
            <w:r>
              <w:rPr>
                <w:rFonts w:hint="eastAsia" w:cs="Times New Roman"/>
                <w:bCs/>
                <w:color w:val="auto"/>
                <w:highlight w:val="none"/>
                <w:lang w:val="en-US" w:eastAsia="zh-CN"/>
              </w:rPr>
              <w:t>食堂油烟（G17）；集气罩未收集的废气（G18）</w:t>
            </w:r>
            <w:r>
              <w:rPr>
                <w:rFonts w:hint="default" w:ascii="Times New Roman" w:hAnsi="Times New Roman" w:cs="Times New Roman"/>
                <w:color w:val="auto"/>
                <w:highlight w:val="none"/>
                <w:lang w:eastAsia="zh-CN"/>
              </w:rPr>
              <w:t>。</w:t>
            </w:r>
          </w:p>
          <w:p w14:paraId="0845D768">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eastAsia="宋体" w:cs="Times New Roman"/>
                <w:bCs/>
                <w:color w:val="auto"/>
                <w:sz w:val="21"/>
                <w:szCs w:val="21"/>
                <w:lang w:val="en-US" w:eastAsia="zh-CN"/>
              </w:rPr>
            </w:pPr>
            <w:r>
              <w:rPr>
                <w:rFonts w:hint="eastAsia" w:cs="Times New Roman"/>
                <w:bCs/>
                <w:color w:val="auto"/>
                <w:highlight w:val="none"/>
                <w:lang w:val="en-US" w:eastAsia="zh-CN"/>
              </w:rPr>
              <w:t>原料破碎、筛分、配料、部分筛分、混合、粗筛、整形过程</w:t>
            </w:r>
            <w:r>
              <w:rPr>
                <w:rFonts w:hint="eastAsia" w:cs="Times New Roman"/>
                <w:bCs/>
                <w:color w:val="auto"/>
                <w:highlight w:val="none"/>
                <w:lang w:eastAsia="zh-CN"/>
              </w:rPr>
              <w:t>产生的颗粒物经集气罩收集后经1套布袋除尘器处理后通过同一根15m高DA00</w:t>
            </w:r>
            <w:r>
              <w:rPr>
                <w:rFonts w:hint="eastAsia" w:cs="Times New Roman"/>
                <w:bCs/>
                <w:color w:val="auto"/>
                <w:highlight w:val="none"/>
                <w:lang w:val="en-US" w:eastAsia="zh-CN"/>
              </w:rPr>
              <w:t>3</w:t>
            </w:r>
            <w:r>
              <w:rPr>
                <w:rFonts w:hint="eastAsia" w:cs="Times New Roman"/>
                <w:bCs/>
                <w:color w:val="auto"/>
                <w:highlight w:val="none"/>
                <w:lang w:eastAsia="zh-CN"/>
              </w:rPr>
              <w:t>排气筒有组织排放；</w:t>
            </w:r>
            <w:r>
              <w:rPr>
                <w:rFonts w:hint="eastAsia" w:cs="Times New Roman"/>
                <w:bCs/>
                <w:color w:val="auto"/>
                <w:highlight w:val="none"/>
                <w:lang w:val="en-US" w:eastAsia="zh-CN"/>
              </w:rPr>
              <w:t>天然气燃烧废气（烟尘、SO</w:t>
            </w:r>
            <w:r>
              <w:rPr>
                <w:rFonts w:hint="eastAsia" w:cs="Times New Roman"/>
                <w:bCs/>
                <w:color w:val="auto"/>
                <w:highlight w:val="none"/>
                <w:vertAlign w:val="subscript"/>
                <w:lang w:val="en-US" w:eastAsia="zh-CN"/>
              </w:rPr>
              <w:t>2</w:t>
            </w:r>
            <w:r>
              <w:rPr>
                <w:rFonts w:hint="eastAsia" w:cs="Times New Roman"/>
                <w:bCs/>
                <w:color w:val="auto"/>
                <w:highlight w:val="none"/>
                <w:lang w:val="en-US" w:eastAsia="zh-CN"/>
              </w:rPr>
              <w:t>、NOx）、造粒工序、和烘干工序产生的粉尘、氨气、臭气浓度</w:t>
            </w:r>
            <w:r>
              <w:rPr>
                <w:rFonts w:hint="default" w:ascii="Times New Roman" w:hAnsi="Times New Roman" w:cs="Times New Roman"/>
                <w:bCs/>
                <w:color w:val="auto"/>
                <w:highlight w:val="none"/>
                <w:lang w:eastAsia="zh-CN"/>
              </w:rPr>
              <w:t>经</w:t>
            </w:r>
            <w:r>
              <w:rPr>
                <w:rFonts w:hint="eastAsia" w:cs="Times New Roman"/>
                <w:bCs/>
                <w:color w:val="auto"/>
                <w:highlight w:val="none"/>
                <w:lang w:val="en-US" w:eastAsia="zh-CN"/>
              </w:rPr>
              <w:t>布袋除尘器+水喷淋</w:t>
            </w:r>
            <w:r>
              <w:rPr>
                <w:rFonts w:hint="default" w:ascii="Times New Roman" w:hAnsi="Times New Roman" w:cs="Times New Roman"/>
                <w:bCs/>
                <w:color w:val="auto"/>
                <w:highlight w:val="none"/>
                <w:lang w:val="en-US" w:eastAsia="zh-CN"/>
              </w:rPr>
              <w:t>处理</w:t>
            </w:r>
            <w:r>
              <w:rPr>
                <w:rFonts w:hint="default" w:ascii="Times New Roman" w:hAnsi="Times New Roman" w:cs="Times New Roman"/>
                <w:bCs/>
                <w:color w:val="auto"/>
                <w:highlight w:val="none"/>
              </w:rPr>
              <w:t>后由</w:t>
            </w:r>
            <w:r>
              <w:rPr>
                <w:rFonts w:hint="eastAsia" w:cs="Times New Roman"/>
                <w:bCs/>
                <w:color w:val="auto"/>
                <w:highlight w:val="none"/>
                <w:lang w:eastAsia="zh-CN"/>
              </w:rPr>
              <w:t>同一根15m高DA00</w:t>
            </w:r>
            <w:r>
              <w:rPr>
                <w:rFonts w:hint="eastAsia" w:cs="Times New Roman"/>
                <w:bCs/>
                <w:color w:val="auto"/>
                <w:highlight w:val="none"/>
                <w:lang w:val="en-US" w:eastAsia="zh-CN"/>
              </w:rPr>
              <w:t>1</w:t>
            </w:r>
            <w:r>
              <w:rPr>
                <w:rFonts w:hint="eastAsia" w:cs="Times New Roman"/>
                <w:bCs/>
                <w:color w:val="auto"/>
                <w:highlight w:val="none"/>
                <w:lang w:eastAsia="zh-CN"/>
              </w:rPr>
              <w:t>排气筒有组织排放</w:t>
            </w:r>
            <w:r>
              <w:rPr>
                <w:rFonts w:hint="default" w:ascii="Times New Roman" w:hAnsi="Times New Roman" w:cs="Times New Roman"/>
                <w:bCs/>
                <w:color w:val="auto"/>
                <w:highlight w:val="none"/>
              </w:rPr>
              <w:t>；</w:t>
            </w:r>
            <w:r>
              <w:rPr>
                <w:rFonts w:hint="eastAsia" w:cs="Times New Roman"/>
                <w:bCs/>
                <w:color w:val="auto"/>
                <w:highlight w:val="none"/>
                <w:lang w:val="en-US" w:eastAsia="zh-CN"/>
              </w:rPr>
              <w:t>冷却、精筛、入仓、包膜、包装过程</w:t>
            </w:r>
            <w:r>
              <w:rPr>
                <w:rFonts w:hint="eastAsia" w:cs="Times New Roman"/>
                <w:bCs/>
                <w:color w:val="auto"/>
                <w:highlight w:val="none"/>
                <w:lang w:eastAsia="zh-CN"/>
              </w:rPr>
              <w:t>产生的颗粒物经集气罩收集后经1套布袋除尘器处理后通过同一根15m高DA00</w:t>
            </w:r>
            <w:r>
              <w:rPr>
                <w:rFonts w:hint="eastAsia" w:cs="Times New Roman"/>
                <w:bCs/>
                <w:color w:val="auto"/>
                <w:highlight w:val="none"/>
                <w:lang w:val="en-US" w:eastAsia="zh-CN"/>
              </w:rPr>
              <w:t>2</w:t>
            </w:r>
            <w:r>
              <w:rPr>
                <w:rFonts w:hint="eastAsia" w:cs="Times New Roman"/>
                <w:bCs/>
                <w:color w:val="auto"/>
                <w:highlight w:val="none"/>
                <w:lang w:eastAsia="zh-CN"/>
              </w:rPr>
              <w:t>排气筒有组织排放。</w:t>
            </w:r>
            <w:r>
              <w:rPr>
                <w:rFonts w:hint="default" w:ascii="Times New Roman" w:hAnsi="Times New Roman" w:cs="Times New Roman"/>
                <w:bCs/>
                <w:color w:val="auto"/>
                <w:highlight w:val="none"/>
                <w:lang w:val="en-US" w:eastAsia="zh-CN"/>
              </w:rPr>
              <w:t>食堂油烟经油烟净化装置处理后</w:t>
            </w:r>
            <w:r>
              <w:rPr>
                <w:rFonts w:hint="eastAsia" w:cs="Times New Roman"/>
                <w:bCs/>
                <w:color w:val="auto"/>
                <w:highlight w:val="none"/>
                <w:lang w:val="en-US" w:eastAsia="zh-CN"/>
              </w:rPr>
              <w:t>经高于建筑物1.5m排气筒有组织排放；</w:t>
            </w:r>
            <w:r>
              <w:rPr>
                <w:rFonts w:hint="default" w:ascii="Times New Roman" w:hAnsi="Times New Roman" w:cs="Times New Roman"/>
                <w:bCs/>
                <w:color w:val="auto"/>
                <w:sz w:val="21"/>
                <w:szCs w:val="21"/>
                <w:highlight w:val="none"/>
                <w:lang w:eastAsia="zh-CN"/>
              </w:rPr>
              <w:t>集气罩未收集的颗粒物</w:t>
            </w:r>
            <w:r>
              <w:rPr>
                <w:rFonts w:hint="default" w:ascii="Times New Roman" w:hAnsi="Times New Roman" w:cs="Times New Roman"/>
                <w:bCs/>
                <w:color w:val="auto"/>
                <w:sz w:val="21"/>
                <w:szCs w:val="21"/>
                <w:highlight w:val="none"/>
                <w:lang w:val="en-US" w:eastAsia="zh-CN"/>
              </w:rPr>
              <w:t>无组织排放</w:t>
            </w:r>
            <w:r>
              <w:rPr>
                <w:rFonts w:hint="default" w:ascii="Times New Roman" w:hAnsi="Times New Roman" w:cs="Times New Roman"/>
                <w:bCs/>
                <w:color w:val="auto"/>
                <w:sz w:val="21"/>
                <w:szCs w:val="21"/>
              </w:rPr>
              <w:t>。</w:t>
            </w:r>
          </w:p>
          <w:p w14:paraId="30061F60">
            <w:pPr>
              <w:pStyle w:val="381"/>
              <w:keepNext w:val="0"/>
              <w:keepLines w:val="0"/>
              <w:pageBreakBefore w:val="0"/>
              <w:widowControl w:val="0"/>
              <w:kinsoku/>
              <w:wordWrap/>
              <w:overflowPunct/>
              <w:topLinePunct w:val="0"/>
              <w:autoSpaceDE/>
              <w:autoSpaceDN/>
              <w:bidi w:val="0"/>
              <w:adjustRightInd w:val="0"/>
              <w:snapToGrid w:val="0"/>
              <w:ind w:left="0" w:firstLine="422"/>
              <w:textAlignment w:val="auto"/>
              <w:rPr>
                <w:rFonts w:hint="default" w:ascii="Times New Roman" w:hAnsi="Times New Roman" w:eastAsia="宋体" w:cs="Times New Roman"/>
                <w:b/>
                <w:bCs/>
                <w:color w:val="auto"/>
                <w:sz w:val="21"/>
                <w:highlight w:val="none"/>
                <w:lang w:val="en-US" w:eastAsia="zh-CN"/>
              </w:rPr>
            </w:pPr>
            <w:r>
              <w:rPr>
                <w:rFonts w:hint="default" w:ascii="Times New Roman" w:hAnsi="Times New Roman" w:cs="Times New Roman"/>
                <w:b/>
                <w:bCs/>
                <w:color w:val="auto"/>
                <w:sz w:val="21"/>
                <w:highlight w:val="none"/>
                <w:lang w:val="en-US"/>
              </w:rPr>
              <w:t>1、</w:t>
            </w:r>
            <w:r>
              <w:rPr>
                <w:rFonts w:hint="default" w:ascii="Times New Roman" w:hAnsi="Times New Roman" w:cs="Times New Roman"/>
                <w:b/>
                <w:bCs/>
                <w:color w:val="auto"/>
                <w:sz w:val="21"/>
                <w:highlight w:val="none"/>
                <w:lang w:val="en-US" w:eastAsia="zh-CN"/>
              </w:rPr>
              <w:t>源强分析</w:t>
            </w:r>
          </w:p>
          <w:p w14:paraId="591621FC">
            <w:pPr>
              <w:adjustRightInd w:val="0"/>
              <w:snapToGrid w:val="0"/>
              <w:spacing w:line="360" w:lineRule="auto"/>
              <w:ind w:firstLine="420" w:firstLineChars="200"/>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lang w:eastAsia="zh-CN"/>
              </w:rPr>
              <w:t>（</w:t>
            </w:r>
            <w:r>
              <w:rPr>
                <w:rFonts w:hint="default" w:ascii="Times New Roman" w:hAnsi="Times New Roman" w:cs="Times New Roman"/>
                <w:bCs/>
                <w:color w:val="auto"/>
                <w:lang w:val="en-US" w:eastAsia="zh-CN"/>
              </w:rPr>
              <w:t>1</w:t>
            </w:r>
            <w:r>
              <w:rPr>
                <w:rFonts w:hint="default" w:ascii="Times New Roman" w:hAnsi="Times New Roman" w:cs="Times New Roman"/>
                <w:bCs/>
                <w:color w:val="auto"/>
                <w:highlight w:val="none"/>
                <w:lang w:eastAsia="zh-CN"/>
              </w:rPr>
              <w:t>）</w:t>
            </w:r>
            <w:r>
              <w:rPr>
                <w:rFonts w:hint="eastAsia" w:cs="Times New Roman"/>
                <w:bCs/>
                <w:color w:val="auto"/>
                <w:highlight w:val="none"/>
                <w:lang w:val="en-US" w:eastAsia="zh-CN"/>
              </w:rPr>
              <w:t>原料破碎、筛分、配料、部分筛分、混合、粗筛、整形过程</w:t>
            </w:r>
            <w:r>
              <w:rPr>
                <w:rFonts w:hint="eastAsia" w:cs="Times New Roman"/>
                <w:bCs/>
                <w:color w:val="auto"/>
                <w:highlight w:val="none"/>
                <w:lang w:eastAsia="zh-CN"/>
              </w:rPr>
              <w:t>产生的颗粒物</w:t>
            </w:r>
            <w:r>
              <w:rPr>
                <w:rFonts w:hint="eastAsia" w:cs="Times New Roman"/>
                <w:bCs/>
                <w:color w:val="auto"/>
                <w:highlight w:val="none"/>
                <w:lang w:val="en-US" w:eastAsia="zh-CN"/>
              </w:rPr>
              <w:t>（G1、G2、G3、G4、G5、G7、G8）</w:t>
            </w:r>
          </w:p>
          <w:p w14:paraId="5DF516F9">
            <w:pPr>
              <w:adjustRightInd w:val="0"/>
              <w:snapToGrid w:val="0"/>
              <w:spacing w:line="360" w:lineRule="auto"/>
              <w:ind w:firstLine="420" w:firstLineChars="200"/>
              <w:rPr>
                <w:rFonts w:hint="default" w:ascii="Times New Roman" w:hAnsi="Times New Roman" w:eastAsia="宋体" w:cs="Times New Roman"/>
                <w:bCs/>
                <w:color w:val="auto"/>
                <w:highlight w:val="none"/>
                <w:lang w:val="en-US" w:eastAsia="zh-CN"/>
              </w:rPr>
            </w:pPr>
            <w:r>
              <w:rPr>
                <w:rFonts w:hint="eastAsia" w:ascii="Times New Roman" w:hAnsi="Times New Roman" w:eastAsia="宋体" w:cs="Times New Roman"/>
                <w:bCs/>
                <w:color w:val="auto"/>
                <w:highlight w:val="none"/>
                <w:lang w:val="en-US" w:eastAsia="zh-CN"/>
              </w:rPr>
              <w:t>①</w:t>
            </w:r>
            <w:r>
              <w:rPr>
                <w:rFonts w:hint="default" w:ascii="Times New Roman" w:hAnsi="Times New Roman" w:eastAsia="宋体" w:cs="Times New Roman"/>
                <w:bCs/>
                <w:color w:val="auto"/>
                <w:highlight w:val="none"/>
                <w:lang w:val="en-US" w:eastAsia="zh-CN"/>
              </w:rPr>
              <w:t>原料破碎</w:t>
            </w:r>
            <w:r>
              <w:rPr>
                <w:rFonts w:hint="eastAsia" w:cs="Times New Roman"/>
                <w:bCs/>
                <w:color w:val="auto"/>
                <w:highlight w:val="none"/>
                <w:lang w:val="en-US" w:eastAsia="zh-CN"/>
              </w:rPr>
              <w:t>、筛分</w:t>
            </w:r>
            <w:r>
              <w:rPr>
                <w:rFonts w:hint="eastAsia" w:ascii="Times New Roman" w:hAnsi="Times New Roman" w:eastAsia="宋体" w:cs="Times New Roman"/>
                <w:bCs/>
                <w:color w:val="auto"/>
                <w:highlight w:val="none"/>
                <w:lang w:val="en-US" w:eastAsia="zh-CN"/>
              </w:rPr>
              <w:t>产尘</w:t>
            </w:r>
            <w:r>
              <w:rPr>
                <w:rFonts w:hint="eastAsia" w:cs="Times New Roman"/>
                <w:bCs/>
                <w:color w:val="auto"/>
                <w:highlight w:val="none"/>
                <w:lang w:val="en-US" w:eastAsia="zh-CN"/>
              </w:rPr>
              <w:t>（G1、G2）</w:t>
            </w:r>
            <w:r>
              <w:rPr>
                <w:rFonts w:hint="eastAsia" w:ascii="Times New Roman" w:hAnsi="Times New Roman" w:eastAsia="宋体" w:cs="Times New Roman"/>
                <w:bCs/>
                <w:color w:val="auto"/>
                <w:highlight w:val="none"/>
                <w:lang w:val="en-US" w:eastAsia="zh-CN"/>
              </w:rPr>
              <w:t>：</w:t>
            </w:r>
            <w:r>
              <w:rPr>
                <w:rFonts w:hint="eastAsia" w:cs="Times New Roman"/>
                <w:bCs/>
                <w:color w:val="auto"/>
                <w:highlight w:val="none"/>
                <w:lang w:val="en-US" w:eastAsia="zh-CN"/>
              </w:rPr>
              <w:t>参照</w:t>
            </w:r>
            <w:r>
              <w:rPr>
                <w:rFonts w:hint="default" w:ascii="Times New Roman" w:hAnsi="Times New Roman" w:cs="Times New Roman"/>
                <w:bCs/>
                <w:color w:val="auto"/>
                <w:szCs w:val="21"/>
                <w:highlight w:val="none"/>
              </w:rPr>
              <w:t>《逸散性工业粉尘控制技术》中表</w:t>
            </w:r>
            <w:r>
              <w:rPr>
                <w:rFonts w:hint="eastAsia" w:ascii="Times New Roman" w:hAnsi="Times New Roman" w:cs="Times New Roman"/>
                <w:bCs/>
                <w:color w:val="auto"/>
                <w:szCs w:val="21"/>
                <w:highlight w:val="none"/>
                <w:lang w:val="en-US" w:eastAsia="zh-CN"/>
              </w:rPr>
              <w:t>18</w:t>
            </w:r>
            <w:r>
              <w:rPr>
                <w:rFonts w:hint="default" w:ascii="Times New Roman" w:hAnsi="Times New Roman" w:cs="Times New Roman"/>
                <w:bCs/>
                <w:color w:val="auto"/>
                <w:szCs w:val="21"/>
                <w:highlight w:val="none"/>
              </w:rPr>
              <w:t>-1第</w:t>
            </w:r>
            <w:r>
              <w:rPr>
                <w:rFonts w:hint="eastAsia" w:ascii="Times New Roman" w:hAnsi="Times New Roman" w:cs="Times New Roman"/>
                <w:bCs/>
                <w:color w:val="auto"/>
                <w:szCs w:val="21"/>
                <w:highlight w:val="none"/>
                <w:lang w:val="en-US" w:eastAsia="zh-CN"/>
              </w:rPr>
              <w:t>2</w:t>
            </w:r>
            <w:r>
              <w:rPr>
                <w:rFonts w:hint="default" w:ascii="Times New Roman" w:hAnsi="Times New Roman" w:cs="Times New Roman"/>
                <w:bCs/>
                <w:color w:val="auto"/>
                <w:szCs w:val="21"/>
                <w:highlight w:val="none"/>
              </w:rPr>
              <w:t>条，逸散性粉尘产生量约为0.</w:t>
            </w:r>
            <w:r>
              <w:rPr>
                <w:rFonts w:hint="eastAsia" w:ascii="Times New Roman" w:hAnsi="Times New Roman" w:cs="Times New Roman"/>
                <w:bCs/>
                <w:color w:val="auto"/>
                <w:szCs w:val="21"/>
                <w:highlight w:val="none"/>
                <w:lang w:val="en-US" w:eastAsia="zh-CN"/>
              </w:rPr>
              <w:t>05</w:t>
            </w:r>
            <w:r>
              <w:rPr>
                <w:rFonts w:hint="default" w:ascii="Times New Roman" w:hAnsi="Times New Roman" w:cs="Times New Roman"/>
                <w:bCs/>
                <w:color w:val="auto"/>
                <w:szCs w:val="21"/>
                <w:highlight w:val="none"/>
              </w:rPr>
              <w:t>kg/t（</w:t>
            </w:r>
            <w:r>
              <w:rPr>
                <w:rFonts w:hint="eastAsia" w:ascii="Times New Roman" w:hAnsi="Times New Roman" w:cs="Times New Roman"/>
                <w:bCs/>
                <w:color w:val="auto"/>
                <w:szCs w:val="21"/>
                <w:highlight w:val="none"/>
                <w:lang w:val="en-US" w:eastAsia="zh-CN"/>
              </w:rPr>
              <w:t>破碎</w:t>
            </w:r>
            <w:r>
              <w:rPr>
                <w:rFonts w:hint="default" w:ascii="Times New Roman" w:hAnsi="Times New Roman" w:cs="Times New Roman"/>
                <w:bCs/>
                <w:color w:val="auto"/>
                <w:szCs w:val="21"/>
                <w:highlight w:val="none"/>
              </w:rPr>
              <w:t>料）</w:t>
            </w:r>
            <w:r>
              <w:rPr>
                <w:rFonts w:hint="eastAsia" w:ascii="Times New Roman" w:hAnsi="Times New Roman" w:cs="Times New Roman"/>
                <w:bCs/>
                <w:color w:val="auto"/>
                <w:szCs w:val="21"/>
                <w:highlight w:val="none"/>
                <w:lang w:eastAsia="zh-CN"/>
              </w:rPr>
              <w:t>，</w:t>
            </w:r>
            <w:r>
              <w:rPr>
                <w:rFonts w:hint="eastAsia" w:cs="Times New Roman"/>
                <w:bCs/>
                <w:color w:val="auto"/>
                <w:szCs w:val="21"/>
                <w:highlight w:val="none"/>
                <w:lang w:val="en-US" w:eastAsia="zh-CN"/>
              </w:rPr>
              <w:t>一期项目</w:t>
            </w:r>
            <w:r>
              <w:rPr>
                <w:rFonts w:hint="eastAsia" w:ascii="Times New Roman" w:hAnsi="Times New Roman" w:cs="Times New Roman"/>
                <w:bCs/>
                <w:color w:val="auto"/>
                <w:szCs w:val="21"/>
                <w:highlight w:val="none"/>
                <w:lang w:val="en-US" w:eastAsia="zh-CN"/>
              </w:rPr>
              <w:t>需进行破碎的硫酸铵约为</w:t>
            </w:r>
            <w:r>
              <w:rPr>
                <w:rFonts w:hint="eastAsia" w:cs="Times New Roman"/>
                <w:bCs/>
                <w:color w:val="auto"/>
                <w:szCs w:val="21"/>
                <w:highlight w:val="none"/>
                <w:lang w:val="en-US" w:eastAsia="zh-CN"/>
              </w:rPr>
              <w:t>5</w:t>
            </w:r>
            <w:r>
              <w:rPr>
                <w:rFonts w:hint="eastAsia" w:ascii="Times New Roman" w:hAnsi="Times New Roman" w:cs="Times New Roman"/>
                <w:bCs/>
                <w:color w:val="auto"/>
                <w:szCs w:val="21"/>
                <w:highlight w:val="none"/>
                <w:lang w:val="en-US" w:eastAsia="zh-CN"/>
              </w:rPr>
              <w:t>万t/a，尿素</w:t>
            </w:r>
            <w:r>
              <w:rPr>
                <w:rFonts w:hint="eastAsia" w:cs="Times New Roman"/>
                <w:bCs/>
                <w:color w:val="auto"/>
                <w:szCs w:val="21"/>
                <w:highlight w:val="none"/>
                <w:lang w:val="en-US" w:eastAsia="zh-CN"/>
              </w:rPr>
              <w:t>3</w:t>
            </w:r>
            <w:r>
              <w:rPr>
                <w:rFonts w:hint="eastAsia" w:ascii="Times New Roman" w:hAnsi="Times New Roman" w:cs="Times New Roman"/>
                <w:bCs/>
                <w:color w:val="auto"/>
                <w:szCs w:val="21"/>
                <w:highlight w:val="none"/>
                <w:lang w:val="en-US" w:eastAsia="zh-CN"/>
              </w:rPr>
              <w:t>万t/a，则原料破碎、筛分粉尘产生量为</w:t>
            </w:r>
            <w:r>
              <w:rPr>
                <w:rFonts w:hint="eastAsia" w:cs="Times New Roman"/>
                <w:bCs/>
                <w:color w:val="auto"/>
                <w:szCs w:val="21"/>
                <w:highlight w:val="none"/>
                <w:lang w:val="en-US" w:eastAsia="zh-CN"/>
              </w:rPr>
              <w:t>4</w:t>
            </w:r>
            <w:r>
              <w:rPr>
                <w:rFonts w:hint="eastAsia" w:ascii="Times New Roman" w:hAnsi="Times New Roman" w:cs="Times New Roman"/>
                <w:bCs/>
                <w:color w:val="auto"/>
                <w:szCs w:val="21"/>
                <w:highlight w:val="none"/>
                <w:lang w:val="en-US" w:eastAsia="zh-CN"/>
              </w:rPr>
              <w:t>t/a。</w:t>
            </w:r>
          </w:p>
          <w:p w14:paraId="0349DB5D">
            <w:pPr>
              <w:adjustRightInd w:val="0"/>
              <w:snapToGrid w:val="0"/>
              <w:spacing w:line="360" w:lineRule="auto"/>
              <w:ind w:firstLine="420" w:firstLineChars="200"/>
              <w:rPr>
                <w:rFonts w:hint="default" w:ascii="Times New Roman" w:hAnsi="Times New Roman" w:eastAsia="宋体" w:cs="Times New Roman"/>
                <w:bCs/>
                <w:color w:val="auto"/>
                <w:highlight w:val="none"/>
                <w:lang w:val="en-US" w:eastAsia="zh-CN"/>
              </w:rPr>
            </w:pPr>
            <w:r>
              <w:rPr>
                <w:rFonts w:hint="eastAsia" w:ascii="Times New Roman" w:hAnsi="Times New Roman" w:eastAsia="宋体" w:cs="Times New Roman"/>
                <w:bCs/>
                <w:color w:val="auto"/>
                <w:highlight w:val="none"/>
                <w:lang w:val="en-US" w:eastAsia="zh-CN"/>
              </w:rPr>
              <w:t>②</w:t>
            </w:r>
            <w:r>
              <w:rPr>
                <w:rFonts w:hint="default" w:ascii="Times New Roman" w:hAnsi="Times New Roman" w:eastAsia="宋体" w:cs="Times New Roman"/>
                <w:bCs/>
                <w:color w:val="auto"/>
                <w:highlight w:val="none"/>
                <w:lang w:val="en-US" w:eastAsia="zh-CN"/>
              </w:rPr>
              <w:t>配料</w:t>
            </w:r>
            <w:r>
              <w:rPr>
                <w:rFonts w:hint="default" w:ascii="Times New Roman" w:hAnsi="Times New Roman" w:cs="Times New Roman"/>
                <w:bCs/>
                <w:color w:val="auto"/>
                <w:szCs w:val="21"/>
                <w:highlight w:val="none"/>
              </w:rPr>
              <w:t>产尘</w:t>
            </w:r>
            <w:r>
              <w:rPr>
                <w:rFonts w:hint="eastAsia" w:ascii="Times New Roman" w:hAnsi="Times New Roman" w:cs="Times New Roman"/>
                <w:bCs/>
                <w:color w:val="auto"/>
                <w:szCs w:val="21"/>
                <w:highlight w:val="none"/>
                <w:lang w:eastAsia="zh-CN"/>
              </w:rPr>
              <w:t>（</w:t>
            </w:r>
            <w:r>
              <w:rPr>
                <w:rFonts w:hint="eastAsia" w:ascii="Times New Roman" w:hAnsi="Times New Roman" w:cs="Times New Roman"/>
                <w:bCs/>
                <w:color w:val="auto"/>
                <w:szCs w:val="21"/>
                <w:highlight w:val="none"/>
                <w:lang w:val="en-US" w:eastAsia="zh-CN"/>
              </w:rPr>
              <w:t>G3</w:t>
            </w:r>
            <w:r>
              <w:rPr>
                <w:rFonts w:hint="eastAsia"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参照《逸散性工业粉尘控制技术》中表22-1第</w:t>
            </w:r>
            <w:r>
              <w:rPr>
                <w:rFonts w:hint="eastAsia" w:cs="Times New Roman"/>
                <w:bCs/>
                <w:color w:val="auto"/>
                <w:szCs w:val="21"/>
                <w:highlight w:val="none"/>
                <w:lang w:val="en-US" w:eastAsia="zh-CN"/>
              </w:rPr>
              <w:t>5</w:t>
            </w:r>
            <w:r>
              <w:rPr>
                <w:rFonts w:hint="default" w:ascii="Times New Roman" w:hAnsi="Times New Roman" w:cs="Times New Roman"/>
                <w:bCs/>
                <w:color w:val="auto"/>
                <w:szCs w:val="21"/>
                <w:highlight w:val="none"/>
              </w:rPr>
              <w:t>条，逸散性粉尘产生量约为0.0</w:t>
            </w:r>
            <w:r>
              <w:rPr>
                <w:rFonts w:hint="eastAsia" w:cs="Times New Roman"/>
                <w:bCs/>
                <w:color w:val="auto"/>
                <w:szCs w:val="21"/>
                <w:highlight w:val="none"/>
                <w:lang w:val="en-US" w:eastAsia="zh-CN"/>
              </w:rPr>
              <w:t>1</w:t>
            </w:r>
            <w:r>
              <w:rPr>
                <w:rFonts w:hint="default" w:ascii="Times New Roman" w:hAnsi="Times New Roman" w:cs="Times New Roman"/>
                <w:bCs/>
                <w:color w:val="auto"/>
                <w:szCs w:val="21"/>
                <w:highlight w:val="none"/>
              </w:rPr>
              <w:t>kg/t（</w:t>
            </w:r>
            <w:r>
              <w:rPr>
                <w:rFonts w:hint="eastAsia" w:cs="Times New Roman"/>
                <w:bCs/>
                <w:color w:val="auto"/>
                <w:szCs w:val="21"/>
                <w:highlight w:val="none"/>
                <w:lang w:val="en-US" w:eastAsia="zh-CN"/>
              </w:rPr>
              <w:t>装料</w:t>
            </w:r>
            <w:r>
              <w:rPr>
                <w:rFonts w:hint="default" w:ascii="Times New Roman" w:hAnsi="Times New Roman" w:cs="Times New Roman"/>
                <w:bCs/>
                <w:color w:val="auto"/>
                <w:szCs w:val="21"/>
                <w:highlight w:val="none"/>
              </w:rPr>
              <w:t>）</w:t>
            </w:r>
            <w:r>
              <w:rPr>
                <w:rFonts w:hint="eastAsia" w:ascii="Times New Roman" w:hAnsi="Times New Roman" w:cs="Times New Roman"/>
                <w:bCs/>
                <w:color w:val="auto"/>
                <w:szCs w:val="21"/>
                <w:highlight w:val="none"/>
                <w:lang w:eastAsia="zh-CN"/>
              </w:rPr>
              <w:t>，</w:t>
            </w:r>
            <w:r>
              <w:rPr>
                <w:rFonts w:hint="eastAsia" w:ascii="Times New Roman" w:hAnsi="Times New Roman" w:cs="Times New Roman"/>
                <w:bCs/>
                <w:color w:val="auto"/>
                <w:szCs w:val="21"/>
                <w:highlight w:val="none"/>
                <w:lang w:val="en-US" w:eastAsia="zh-CN"/>
              </w:rPr>
              <w:t>配料过程原料用量为</w:t>
            </w:r>
            <w:r>
              <w:rPr>
                <w:rFonts w:hint="eastAsia" w:cs="Times New Roman"/>
                <w:bCs/>
                <w:color w:val="auto"/>
                <w:szCs w:val="21"/>
                <w:highlight w:val="none"/>
                <w:lang w:val="en-US" w:eastAsia="zh-CN"/>
              </w:rPr>
              <w:t>29.91</w:t>
            </w:r>
            <w:r>
              <w:rPr>
                <w:rFonts w:hint="eastAsia" w:ascii="Times New Roman" w:hAnsi="Times New Roman" w:cs="Times New Roman"/>
                <w:bCs/>
                <w:color w:val="auto"/>
                <w:szCs w:val="21"/>
                <w:highlight w:val="none"/>
                <w:lang w:val="en-US" w:eastAsia="zh-CN"/>
              </w:rPr>
              <w:t>万t/a，则配料过程粉尘产生量为</w:t>
            </w:r>
            <w:r>
              <w:rPr>
                <w:rFonts w:hint="eastAsia" w:cs="Times New Roman"/>
                <w:bCs/>
                <w:color w:val="auto"/>
                <w:szCs w:val="21"/>
                <w:highlight w:val="none"/>
                <w:lang w:val="en-US" w:eastAsia="zh-CN"/>
              </w:rPr>
              <w:t>2.991</w:t>
            </w:r>
            <w:r>
              <w:rPr>
                <w:rFonts w:hint="eastAsia" w:ascii="Times New Roman" w:hAnsi="Times New Roman" w:cs="Times New Roman"/>
                <w:bCs/>
                <w:color w:val="auto"/>
                <w:szCs w:val="21"/>
                <w:highlight w:val="none"/>
                <w:lang w:val="en-US" w:eastAsia="zh-CN"/>
              </w:rPr>
              <w:t>t/a。</w:t>
            </w:r>
          </w:p>
          <w:p w14:paraId="50308441">
            <w:pPr>
              <w:adjustRightInd w:val="0"/>
              <w:snapToGrid w:val="0"/>
              <w:spacing w:line="360" w:lineRule="auto"/>
              <w:ind w:firstLine="420" w:firstLineChars="200"/>
              <w:rPr>
                <w:rFonts w:hint="default" w:ascii="Times New Roman" w:hAnsi="Times New Roman" w:eastAsia="宋体" w:cs="Times New Roman"/>
                <w:bCs/>
                <w:color w:val="auto"/>
                <w:highlight w:val="none"/>
                <w:lang w:val="en-US" w:eastAsia="zh-CN"/>
              </w:rPr>
            </w:pPr>
            <w:r>
              <w:rPr>
                <w:rFonts w:hint="eastAsia" w:ascii="宋体" w:hAnsi="宋体" w:eastAsia="宋体" w:cs="宋体"/>
                <w:bCs/>
                <w:color w:val="auto"/>
                <w:highlight w:val="none"/>
                <w:lang w:val="en-US" w:eastAsia="zh-CN"/>
              </w:rPr>
              <w:t>③</w:t>
            </w:r>
            <w:r>
              <w:rPr>
                <w:rFonts w:hint="eastAsia" w:cs="Times New Roman"/>
                <w:bCs/>
                <w:color w:val="auto"/>
                <w:highlight w:val="none"/>
                <w:lang w:val="en-US" w:eastAsia="zh-CN"/>
              </w:rPr>
              <w:t>部分筛分</w:t>
            </w:r>
            <w:r>
              <w:rPr>
                <w:rFonts w:hint="eastAsia" w:ascii="Times New Roman" w:hAnsi="Times New Roman" w:cs="Times New Roman"/>
                <w:bCs/>
                <w:color w:val="auto"/>
                <w:szCs w:val="21"/>
                <w:highlight w:val="none"/>
                <w:lang w:eastAsia="zh-CN"/>
              </w:rPr>
              <w:t>（</w:t>
            </w:r>
            <w:r>
              <w:rPr>
                <w:rFonts w:hint="eastAsia" w:ascii="Times New Roman" w:hAnsi="Times New Roman" w:cs="Times New Roman"/>
                <w:bCs/>
                <w:color w:val="auto"/>
                <w:szCs w:val="21"/>
                <w:highlight w:val="none"/>
                <w:lang w:val="en-US" w:eastAsia="zh-CN"/>
              </w:rPr>
              <w:t>G4</w:t>
            </w:r>
            <w:r>
              <w:rPr>
                <w:rFonts w:hint="eastAsia" w:ascii="Times New Roman" w:hAnsi="Times New Roman" w:cs="Times New Roman"/>
                <w:bCs/>
                <w:color w:val="auto"/>
                <w:szCs w:val="21"/>
                <w:highlight w:val="none"/>
                <w:lang w:eastAsia="zh-CN"/>
              </w:rPr>
              <w:t>）：</w:t>
            </w:r>
            <w:r>
              <w:rPr>
                <w:rFonts w:hint="eastAsia" w:cs="Times New Roman"/>
                <w:bCs/>
                <w:color w:val="auto"/>
                <w:highlight w:val="none"/>
                <w:lang w:val="en-US" w:eastAsia="zh-CN"/>
              </w:rPr>
              <w:t>参照</w:t>
            </w:r>
            <w:r>
              <w:rPr>
                <w:rFonts w:hint="default" w:ascii="Times New Roman" w:hAnsi="Times New Roman" w:cs="Times New Roman"/>
                <w:bCs/>
                <w:color w:val="auto"/>
                <w:szCs w:val="21"/>
                <w:highlight w:val="none"/>
              </w:rPr>
              <w:t>《逸散性工业粉尘控制技术》中表</w:t>
            </w:r>
            <w:r>
              <w:rPr>
                <w:rFonts w:hint="eastAsia" w:ascii="Times New Roman" w:hAnsi="Times New Roman" w:cs="Times New Roman"/>
                <w:bCs/>
                <w:color w:val="auto"/>
                <w:szCs w:val="21"/>
                <w:highlight w:val="none"/>
                <w:lang w:val="en-US" w:eastAsia="zh-CN"/>
              </w:rPr>
              <w:t>18</w:t>
            </w:r>
            <w:r>
              <w:rPr>
                <w:rFonts w:hint="default" w:ascii="Times New Roman" w:hAnsi="Times New Roman" w:cs="Times New Roman"/>
                <w:bCs/>
                <w:color w:val="auto"/>
                <w:szCs w:val="21"/>
                <w:highlight w:val="none"/>
              </w:rPr>
              <w:t>-1第</w:t>
            </w:r>
            <w:r>
              <w:rPr>
                <w:rFonts w:hint="eastAsia" w:ascii="Times New Roman" w:hAnsi="Times New Roman" w:cs="Times New Roman"/>
                <w:bCs/>
                <w:color w:val="auto"/>
                <w:szCs w:val="21"/>
                <w:highlight w:val="none"/>
                <w:lang w:val="en-US" w:eastAsia="zh-CN"/>
              </w:rPr>
              <w:t>2</w:t>
            </w:r>
            <w:r>
              <w:rPr>
                <w:rFonts w:hint="default" w:ascii="Times New Roman" w:hAnsi="Times New Roman" w:cs="Times New Roman"/>
                <w:bCs/>
                <w:color w:val="auto"/>
                <w:szCs w:val="21"/>
                <w:highlight w:val="none"/>
              </w:rPr>
              <w:t>条，逸散性粉尘产生量约为0.</w:t>
            </w:r>
            <w:r>
              <w:rPr>
                <w:rFonts w:hint="eastAsia" w:ascii="Times New Roman" w:hAnsi="Times New Roman" w:cs="Times New Roman"/>
                <w:bCs/>
                <w:color w:val="auto"/>
                <w:szCs w:val="21"/>
                <w:highlight w:val="none"/>
                <w:lang w:val="en-US" w:eastAsia="zh-CN"/>
              </w:rPr>
              <w:t>05</w:t>
            </w:r>
            <w:r>
              <w:rPr>
                <w:rFonts w:hint="default" w:ascii="Times New Roman" w:hAnsi="Times New Roman" w:cs="Times New Roman"/>
                <w:bCs/>
                <w:color w:val="auto"/>
                <w:szCs w:val="21"/>
                <w:highlight w:val="none"/>
              </w:rPr>
              <w:t>kg/t（</w:t>
            </w:r>
            <w:r>
              <w:rPr>
                <w:rFonts w:hint="eastAsia" w:ascii="Times New Roman" w:hAnsi="Times New Roman" w:cs="Times New Roman"/>
                <w:bCs/>
                <w:color w:val="auto"/>
                <w:szCs w:val="21"/>
                <w:highlight w:val="none"/>
                <w:lang w:val="en-US" w:eastAsia="zh-CN"/>
              </w:rPr>
              <w:t>破碎</w:t>
            </w:r>
            <w:r>
              <w:rPr>
                <w:rFonts w:hint="default" w:ascii="Times New Roman" w:hAnsi="Times New Roman" w:cs="Times New Roman"/>
                <w:bCs/>
                <w:color w:val="auto"/>
                <w:szCs w:val="21"/>
                <w:highlight w:val="none"/>
              </w:rPr>
              <w:t>料）</w:t>
            </w:r>
            <w:r>
              <w:rPr>
                <w:rFonts w:hint="eastAsia" w:ascii="Times New Roman" w:hAnsi="Times New Roman" w:cs="Times New Roman"/>
                <w:bCs/>
                <w:color w:val="auto"/>
                <w:szCs w:val="21"/>
                <w:highlight w:val="none"/>
                <w:lang w:eastAsia="zh-CN"/>
              </w:rPr>
              <w:t>，</w:t>
            </w:r>
            <w:r>
              <w:rPr>
                <w:rFonts w:hint="eastAsia" w:ascii="Times New Roman" w:hAnsi="Times New Roman" w:cs="Times New Roman"/>
                <w:bCs/>
                <w:color w:val="auto"/>
                <w:szCs w:val="21"/>
                <w:highlight w:val="none"/>
                <w:lang w:val="en-US" w:eastAsia="zh-CN"/>
              </w:rPr>
              <w:t>需要筛分的块状原料约为总量的10%，即</w:t>
            </w:r>
            <w:r>
              <w:rPr>
                <w:rFonts w:hint="eastAsia" w:cs="Times New Roman"/>
                <w:bCs/>
                <w:color w:val="auto"/>
                <w:szCs w:val="21"/>
                <w:highlight w:val="none"/>
                <w:lang w:val="en-US" w:eastAsia="zh-CN"/>
              </w:rPr>
              <w:t>2.991</w:t>
            </w:r>
            <w:r>
              <w:rPr>
                <w:rFonts w:hint="eastAsia" w:ascii="Times New Roman" w:hAnsi="Times New Roman" w:cs="Times New Roman"/>
                <w:bCs/>
                <w:color w:val="auto"/>
                <w:szCs w:val="21"/>
                <w:highlight w:val="none"/>
                <w:lang w:val="en-US" w:eastAsia="zh-CN"/>
              </w:rPr>
              <w:t>万t/a，则</w:t>
            </w:r>
            <w:r>
              <w:rPr>
                <w:rFonts w:hint="eastAsia" w:cs="Times New Roman"/>
                <w:bCs/>
                <w:color w:val="auto"/>
                <w:highlight w:val="none"/>
                <w:lang w:val="en-US" w:eastAsia="zh-CN"/>
              </w:rPr>
              <w:t>部分筛分</w:t>
            </w:r>
            <w:r>
              <w:rPr>
                <w:rFonts w:hint="eastAsia" w:ascii="Times New Roman" w:hAnsi="Times New Roman" w:cs="Times New Roman"/>
                <w:bCs/>
                <w:color w:val="auto"/>
                <w:szCs w:val="21"/>
                <w:highlight w:val="none"/>
                <w:lang w:val="en-US" w:eastAsia="zh-CN"/>
              </w:rPr>
              <w:t>过程粉尘产生量为</w:t>
            </w:r>
            <w:r>
              <w:rPr>
                <w:rFonts w:hint="eastAsia" w:cs="Times New Roman"/>
                <w:bCs/>
                <w:color w:val="auto"/>
                <w:szCs w:val="21"/>
                <w:highlight w:val="none"/>
                <w:lang w:val="en-US" w:eastAsia="zh-CN"/>
              </w:rPr>
              <w:t>1.496</w:t>
            </w:r>
            <w:r>
              <w:rPr>
                <w:rFonts w:hint="eastAsia" w:ascii="Times New Roman" w:hAnsi="Times New Roman" w:cs="Times New Roman"/>
                <w:bCs/>
                <w:color w:val="auto"/>
                <w:szCs w:val="21"/>
                <w:highlight w:val="none"/>
                <w:lang w:val="en-US" w:eastAsia="zh-CN"/>
              </w:rPr>
              <w:t>t/a。</w:t>
            </w:r>
          </w:p>
          <w:p w14:paraId="40C9062C">
            <w:pPr>
              <w:adjustRightInd w:val="0"/>
              <w:snapToGrid w:val="0"/>
              <w:spacing w:line="360" w:lineRule="auto"/>
              <w:ind w:firstLine="420" w:firstLineChars="200"/>
              <w:rPr>
                <w:rFonts w:hint="default" w:ascii="Times New Roman" w:hAnsi="Times New Roman" w:eastAsia="宋体" w:cs="Times New Roman"/>
                <w:bCs/>
                <w:color w:val="auto"/>
                <w:highlight w:val="none"/>
                <w:lang w:val="en-US" w:eastAsia="zh-CN"/>
              </w:rPr>
            </w:pPr>
            <w:r>
              <w:rPr>
                <w:rFonts w:hint="eastAsia" w:ascii="Times New Roman" w:hAnsi="Times New Roman" w:eastAsia="宋体" w:cs="Times New Roman"/>
                <w:bCs/>
                <w:color w:val="auto"/>
                <w:highlight w:val="none"/>
                <w:lang w:val="en-US" w:eastAsia="zh-CN"/>
              </w:rPr>
              <w:t>④</w:t>
            </w:r>
            <w:r>
              <w:rPr>
                <w:rFonts w:hint="default" w:ascii="Times New Roman" w:hAnsi="Times New Roman" w:eastAsia="宋体" w:cs="Times New Roman"/>
                <w:bCs/>
                <w:color w:val="auto"/>
                <w:highlight w:val="none"/>
                <w:lang w:val="en-US" w:eastAsia="zh-CN"/>
              </w:rPr>
              <w:t>混合</w:t>
            </w:r>
            <w:r>
              <w:rPr>
                <w:rFonts w:hint="eastAsia" w:ascii="Times New Roman" w:hAnsi="Times New Roman" w:eastAsia="宋体" w:cs="Times New Roman"/>
                <w:bCs/>
                <w:color w:val="auto"/>
                <w:highlight w:val="none"/>
                <w:lang w:val="en-US" w:eastAsia="zh-CN"/>
              </w:rPr>
              <w:t>产尘</w:t>
            </w:r>
            <w:r>
              <w:rPr>
                <w:rFonts w:hint="eastAsia" w:cs="Times New Roman"/>
                <w:bCs/>
                <w:color w:val="auto"/>
                <w:highlight w:val="none"/>
                <w:lang w:val="en-US" w:eastAsia="zh-CN"/>
              </w:rPr>
              <w:t>（G5）</w:t>
            </w:r>
            <w:r>
              <w:rPr>
                <w:rFonts w:hint="eastAsia" w:ascii="Times New Roman" w:hAnsi="Times New Roman" w:eastAsia="宋体" w:cs="Times New Roman"/>
                <w:bCs/>
                <w:color w:val="auto"/>
                <w:highlight w:val="none"/>
                <w:lang w:val="en-US" w:eastAsia="zh-CN"/>
              </w:rPr>
              <w:t>：</w:t>
            </w:r>
            <w:r>
              <w:rPr>
                <w:rFonts w:hint="default" w:ascii="Times New Roman" w:hAnsi="Times New Roman" w:cs="Times New Roman"/>
                <w:bCs/>
                <w:color w:val="auto"/>
                <w:szCs w:val="21"/>
                <w:highlight w:val="none"/>
              </w:rPr>
              <w:t>产尘参照《逸散性工业粉尘控制技术》中表22-1</w:t>
            </w:r>
            <w:r>
              <w:rPr>
                <w:rFonts w:hint="eastAsia" w:cs="Times New Roman"/>
                <w:bCs/>
                <w:color w:val="auto"/>
                <w:szCs w:val="21"/>
                <w:highlight w:val="none"/>
                <w:lang w:val="en-US" w:eastAsia="zh-CN"/>
              </w:rPr>
              <w:t>第6条</w:t>
            </w:r>
            <w:r>
              <w:rPr>
                <w:rFonts w:hint="default" w:ascii="Times New Roman" w:hAnsi="Times New Roman" w:cs="Times New Roman"/>
                <w:bCs/>
                <w:color w:val="auto"/>
                <w:szCs w:val="21"/>
                <w:highlight w:val="none"/>
              </w:rPr>
              <w:t>，逸散性粉尘产生量约为0.0</w:t>
            </w:r>
            <w:r>
              <w:rPr>
                <w:rFonts w:hint="eastAsia" w:cs="Times New Roman"/>
                <w:bCs/>
                <w:color w:val="auto"/>
                <w:szCs w:val="21"/>
                <w:highlight w:val="none"/>
                <w:lang w:val="en-US" w:eastAsia="zh-CN"/>
              </w:rPr>
              <w:t>2</w:t>
            </w:r>
            <w:r>
              <w:rPr>
                <w:rFonts w:hint="default" w:ascii="Times New Roman" w:hAnsi="Times New Roman" w:cs="Times New Roman"/>
                <w:bCs/>
                <w:color w:val="auto"/>
                <w:szCs w:val="21"/>
                <w:highlight w:val="none"/>
              </w:rPr>
              <w:t>kg/t（</w:t>
            </w:r>
            <w:r>
              <w:rPr>
                <w:rFonts w:hint="eastAsia" w:cs="Times New Roman"/>
                <w:bCs/>
                <w:color w:val="auto"/>
                <w:szCs w:val="21"/>
                <w:highlight w:val="none"/>
                <w:lang w:val="en-US" w:eastAsia="zh-CN"/>
              </w:rPr>
              <w:t>装料</w:t>
            </w:r>
            <w:r>
              <w:rPr>
                <w:rFonts w:hint="default" w:ascii="Times New Roman" w:hAnsi="Times New Roman" w:cs="Times New Roman"/>
                <w:bCs/>
                <w:color w:val="auto"/>
                <w:szCs w:val="21"/>
                <w:highlight w:val="none"/>
              </w:rPr>
              <w:t>），</w:t>
            </w:r>
            <w:r>
              <w:rPr>
                <w:rFonts w:hint="eastAsia" w:cs="Times New Roman"/>
                <w:bCs/>
                <w:color w:val="auto"/>
                <w:szCs w:val="21"/>
                <w:highlight w:val="none"/>
                <w:lang w:val="en-US" w:eastAsia="zh-CN"/>
              </w:rPr>
              <w:t>混合过程</w:t>
            </w:r>
            <w:r>
              <w:rPr>
                <w:rFonts w:hint="default" w:ascii="Times New Roman" w:hAnsi="Times New Roman" w:cs="Times New Roman"/>
                <w:bCs/>
                <w:color w:val="auto"/>
                <w:szCs w:val="21"/>
                <w:highlight w:val="none"/>
              </w:rPr>
              <w:t>原料用量为</w:t>
            </w:r>
            <w:r>
              <w:rPr>
                <w:rFonts w:hint="eastAsia" w:cs="Times New Roman"/>
                <w:bCs/>
                <w:color w:val="auto"/>
                <w:szCs w:val="21"/>
                <w:highlight w:val="none"/>
                <w:lang w:val="en-US" w:eastAsia="zh-CN"/>
              </w:rPr>
              <w:t>29.91万</w:t>
            </w:r>
            <w:r>
              <w:rPr>
                <w:rFonts w:hint="eastAsia" w:ascii="Times New Roman" w:hAnsi="Times New Roman" w:cs="Times New Roman"/>
                <w:bCs/>
                <w:color w:val="auto"/>
                <w:szCs w:val="21"/>
                <w:highlight w:val="none"/>
                <w:lang w:val="en-US" w:eastAsia="zh-CN"/>
              </w:rPr>
              <w:t>t/a</w:t>
            </w:r>
            <w:r>
              <w:rPr>
                <w:rFonts w:hint="default" w:ascii="Times New Roman" w:hAnsi="Times New Roman" w:cs="Times New Roman"/>
                <w:bCs/>
                <w:color w:val="auto"/>
                <w:szCs w:val="21"/>
                <w:highlight w:val="none"/>
              </w:rPr>
              <w:t>，</w:t>
            </w:r>
            <w:r>
              <w:rPr>
                <w:rFonts w:hint="eastAsia" w:cs="Times New Roman"/>
                <w:bCs/>
                <w:color w:val="auto"/>
                <w:szCs w:val="21"/>
                <w:highlight w:val="none"/>
                <w:lang w:val="en-US" w:eastAsia="zh-CN"/>
              </w:rPr>
              <w:t>不合格品返回混料量为1.509万吨/a（粗筛量的10%），</w:t>
            </w:r>
            <w:r>
              <w:rPr>
                <w:rFonts w:hint="default" w:ascii="Times New Roman" w:hAnsi="Times New Roman" w:cs="Times New Roman"/>
                <w:bCs/>
                <w:color w:val="auto"/>
                <w:szCs w:val="21"/>
                <w:highlight w:val="none"/>
              </w:rPr>
              <w:t>则</w:t>
            </w:r>
            <w:r>
              <w:rPr>
                <w:rFonts w:hint="default" w:ascii="Times New Roman" w:hAnsi="Times New Roman" w:eastAsia="宋体" w:cs="Times New Roman"/>
                <w:bCs/>
                <w:color w:val="auto"/>
                <w:highlight w:val="none"/>
                <w:lang w:val="en-US" w:eastAsia="zh-CN"/>
              </w:rPr>
              <w:t>混合</w:t>
            </w:r>
            <w:r>
              <w:rPr>
                <w:rFonts w:hint="default" w:ascii="Times New Roman" w:hAnsi="Times New Roman" w:cs="Times New Roman"/>
                <w:bCs/>
                <w:color w:val="auto"/>
                <w:szCs w:val="21"/>
                <w:highlight w:val="none"/>
              </w:rPr>
              <w:t>工序产生的粉尘为</w:t>
            </w:r>
            <w:r>
              <w:rPr>
                <w:rFonts w:hint="eastAsia" w:cs="Times New Roman"/>
                <w:bCs/>
                <w:color w:val="auto"/>
                <w:szCs w:val="21"/>
                <w:highlight w:val="none"/>
                <w:lang w:val="en-US" w:eastAsia="zh-CN"/>
              </w:rPr>
              <w:t>6.284</w:t>
            </w:r>
            <w:r>
              <w:rPr>
                <w:rFonts w:hint="default" w:ascii="Times New Roman" w:hAnsi="Times New Roman" w:cs="Times New Roman"/>
                <w:bCs/>
                <w:color w:val="auto"/>
                <w:szCs w:val="21"/>
                <w:highlight w:val="none"/>
              </w:rPr>
              <w:t>t/a</w:t>
            </w:r>
            <w:r>
              <w:rPr>
                <w:rFonts w:hint="default" w:ascii="Times New Roman" w:hAnsi="Times New Roman" w:cs="Times New Roman"/>
                <w:bCs/>
                <w:color w:val="auto"/>
                <w:szCs w:val="21"/>
                <w:highlight w:val="none"/>
                <w:lang w:eastAsia="zh-CN"/>
              </w:rPr>
              <w:t>。</w:t>
            </w:r>
          </w:p>
          <w:p w14:paraId="25580486">
            <w:pPr>
              <w:adjustRightInd w:val="0"/>
              <w:snapToGrid w:val="0"/>
              <w:spacing w:line="360" w:lineRule="auto"/>
              <w:ind w:firstLine="420" w:firstLineChars="200"/>
              <w:rPr>
                <w:rFonts w:hint="default" w:ascii="Times New Roman" w:hAnsi="Times New Roman" w:eastAsia="宋体" w:cs="Times New Roman"/>
                <w:bCs/>
                <w:color w:val="auto"/>
                <w:highlight w:val="none"/>
                <w:lang w:val="en-US" w:eastAsia="zh-CN"/>
              </w:rPr>
            </w:pPr>
            <w:r>
              <w:rPr>
                <w:rFonts w:hint="eastAsia" w:ascii="Times New Roman" w:hAnsi="Times New Roman" w:eastAsia="宋体" w:cs="Times New Roman"/>
                <w:bCs/>
                <w:color w:val="auto"/>
                <w:highlight w:val="none"/>
                <w:lang w:val="en-US" w:eastAsia="zh-CN"/>
              </w:rPr>
              <w:t>⑤</w:t>
            </w:r>
            <w:r>
              <w:rPr>
                <w:rFonts w:hint="default" w:ascii="Times New Roman" w:hAnsi="Times New Roman" w:eastAsia="宋体" w:cs="Times New Roman"/>
                <w:bCs/>
                <w:color w:val="auto"/>
                <w:highlight w:val="none"/>
                <w:lang w:val="en-US" w:eastAsia="zh-CN"/>
              </w:rPr>
              <w:t>粗筛</w:t>
            </w:r>
            <w:r>
              <w:rPr>
                <w:rFonts w:hint="eastAsia" w:cs="Times New Roman"/>
                <w:bCs/>
                <w:color w:val="auto"/>
                <w:highlight w:val="none"/>
                <w:lang w:val="en-US" w:eastAsia="zh-CN"/>
              </w:rPr>
              <w:t>、</w:t>
            </w:r>
            <w:r>
              <w:rPr>
                <w:rFonts w:hint="default" w:ascii="Times New Roman" w:hAnsi="Times New Roman" w:eastAsia="宋体" w:cs="Times New Roman"/>
                <w:bCs/>
                <w:color w:val="auto"/>
                <w:highlight w:val="none"/>
                <w:lang w:val="en-US" w:eastAsia="zh-CN"/>
              </w:rPr>
              <w:t>整形</w:t>
            </w:r>
            <w:r>
              <w:rPr>
                <w:rFonts w:hint="eastAsia" w:ascii="Times New Roman" w:hAnsi="Times New Roman" w:eastAsia="宋体" w:cs="Times New Roman"/>
                <w:bCs/>
                <w:color w:val="auto"/>
                <w:highlight w:val="none"/>
                <w:lang w:val="en-US" w:eastAsia="zh-CN"/>
              </w:rPr>
              <w:t>产尘</w:t>
            </w:r>
            <w:r>
              <w:rPr>
                <w:rFonts w:hint="eastAsia" w:cs="Times New Roman"/>
                <w:bCs/>
                <w:color w:val="auto"/>
                <w:highlight w:val="none"/>
                <w:lang w:val="en-US" w:eastAsia="zh-CN"/>
              </w:rPr>
              <w:t>（G7、G8）</w:t>
            </w:r>
            <w:r>
              <w:rPr>
                <w:rFonts w:hint="eastAsia" w:ascii="Times New Roman" w:hAnsi="Times New Roman" w:eastAsia="宋体" w:cs="Times New Roman"/>
                <w:bCs/>
                <w:color w:val="auto"/>
                <w:highlight w:val="none"/>
                <w:lang w:val="en-US" w:eastAsia="zh-CN"/>
              </w:rPr>
              <w:t>：</w:t>
            </w:r>
            <w:r>
              <w:rPr>
                <w:rFonts w:hint="eastAsia" w:cs="Times New Roman"/>
                <w:bCs/>
                <w:color w:val="auto"/>
                <w:highlight w:val="none"/>
                <w:lang w:val="en-US" w:eastAsia="zh-CN"/>
              </w:rPr>
              <w:t>参照</w:t>
            </w:r>
            <w:r>
              <w:rPr>
                <w:rFonts w:hint="default" w:ascii="Times New Roman" w:hAnsi="Times New Roman" w:cs="Times New Roman"/>
                <w:bCs/>
                <w:color w:val="auto"/>
                <w:szCs w:val="21"/>
                <w:highlight w:val="none"/>
              </w:rPr>
              <w:t>《逸散性工业粉尘控制技术》中表</w:t>
            </w:r>
            <w:r>
              <w:rPr>
                <w:rFonts w:hint="eastAsia" w:ascii="Times New Roman" w:hAnsi="Times New Roman" w:cs="Times New Roman"/>
                <w:bCs/>
                <w:color w:val="auto"/>
                <w:szCs w:val="21"/>
                <w:highlight w:val="none"/>
                <w:lang w:val="en-US" w:eastAsia="zh-CN"/>
              </w:rPr>
              <w:t>18</w:t>
            </w:r>
            <w:r>
              <w:rPr>
                <w:rFonts w:hint="default" w:ascii="Times New Roman" w:hAnsi="Times New Roman" w:cs="Times New Roman"/>
                <w:bCs/>
                <w:color w:val="auto"/>
                <w:szCs w:val="21"/>
                <w:highlight w:val="none"/>
              </w:rPr>
              <w:t>-1第</w:t>
            </w:r>
            <w:r>
              <w:rPr>
                <w:rFonts w:hint="eastAsia" w:ascii="Times New Roman" w:hAnsi="Times New Roman" w:cs="Times New Roman"/>
                <w:bCs/>
                <w:color w:val="auto"/>
                <w:szCs w:val="21"/>
                <w:highlight w:val="none"/>
                <w:lang w:val="en-US" w:eastAsia="zh-CN"/>
              </w:rPr>
              <w:t>2</w:t>
            </w:r>
            <w:r>
              <w:rPr>
                <w:rFonts w:hint="default" w:ascii="Times New Roman" w:hAnsi="Times New Roman" w:cs="Times New Roman"/>
                <w:bCs/>
                <w:color w:val="auto"/>
                <w:szCs w:val="21"/>
                <w:highlight w:val="none"/>
              </w:rPr>
              <w:t>条</w:t>
            </w:r>
            <w:r>
              <w:rPr>
                <w:rFonts w:hint="eastAsia" w:ascii="Times New Roman" w:hAnsi="Times New Roman" w:cs="Times New Roman"/>
                <w:bCs/>
                <w:color w:val="auto"/>
                <w:szCs w:val="21"/>
                <w:highlight w:val="none"/>
                <w:lang w:val="en-US" w:eastAsia="zh-CN"/>
              </w:rPr>
              <w:t>一级筛选</w:t>
            </w:r>
            <w:r>
              <w:rPr>
                <w:rFonts w:hint="default" w:ascii="Times New Roman" w:hAnsi="Times New Roman" w:cs="Times New Roman"/>
                <w:bCs/>
                <w:color w:val="auto"/>
                <w:szCs w:val="21"/>
                <w:highlight w:val="none"/>
              </w:rPr>
              <w:t>，逸散性粉尘产生量约为0.</w:t>
            </w:r>
            <w:r>
              <w:rPr>
                <w:rFonts w:hint="eastAsia" w:ascii="Times New Roman" w:hAnsi="Times New Roman" w:cs="Times New Roman"/>
                <w:bCs/>
                <w:color w:val="auto"/>
                <w:szCs w:val="21"/>
                <w:highlight w:val="none"/>
                <w:lang w:val="en-US" w:eastAsia="zh-CN"/>
              </w:rPr>
              <w:t>05</w:t>
            </w:r>
            <w:r>
              <w:rPr>
                <w:rFonts w:hint="default" w:ascii="Times New Roman" w:hAnsi="Times New Roman" w:cs="Times New Roman"/>
                <w:bCs/>
                <w:color w:val="auto"/>
                <w:szCs w:val="21"/>
                <w:highlight w:val="none"/>
              </w:rPr>
              <w:t>kg/t（</w:t>
            </w:r>
            <w:r>
              <w:rPr>
                <w:rFonts w:hint="eastAsia" w:ascii="Times New Roman" w:hAnsi="Times New Roman" w:cs="Times New Roman"/>
                <w:bCs/>
                <w:color w:val="auto"/>
                <w:szCs w:val="21"/>
                <w:highlight w:val="none"/>
                <w:lang w:val="en-US" w:eastAsia="zh-CN"/>
              </w:rPr>
              <w:t>破碎</w:t>
            </w:r>
            <w:r>
              <w:rPr>
                <w:rFonts w:hint="default" w:ascii="Times New Roman" w:hAnsi="Times New Roman" w:cs="Times New Roman"/>
                <w:bCs/>
                <w:color w:val="auto"/>
                <w:szCs w:val="21"/>
                <w:highlight w:val="none"/>
              </w:rPr>
              <w:t>料）</w:t>
            </w:r>
            <w:r>
              <w:rPr>
                <w:rFonts w:hint="eastAsia" w:ascii="Times New Roman" w:hAnsi="Times New Roman" w:cs="Times New Roman"/>
                <w:bCs/>
                <w:color w:val="auto"/>
                <w:szCs w:val="21"/>
                <w:highlight w:val="none"/>
                <w:lang w:eastAsia="zh-CN"/>
              </w:rPr>
              <w:t>，</w:t>
            </w:r>
            <w:r>
              <w:rPr>
                <w:rFonts w:hint="eastAsia" w:ascii="Times New Roman" w:hAnsi="Times New Roman" w:cs="Times New Roman"/>
                <w:bCs/>
                <w:color w:val="auto"/>
                <w:szCs w:val="21"/>
                <w:highlight w:val="none"/>
                <w:lang w:val="en-US" w:eastAsia="zh-CN"/>
              </w:rPr>
              <w:t>粗筛、整形过程原料</w:t>
            </w:r>
            <w:r>
              <w:rPr>
                <w:rFonts w:hint="eastAsia" w:cs="Times New Roman"/>
                <w:bCs/>
                <w:color w:val="auto"/>
                <w:szCs w:val="21"/>
                <w:highlight w:val="none"/>
                <w:lang w:val="en-US" w:eastAsia="zh-CN"/>
              </w:rPr>
              <w:t>量为15.09</w:t>
            </w:r>
            <w:r>
              <w:rPr>
                <w:rFonts w:hint="eastAsia" w:ascii="Times New Roman" w:hAnsi="Times New Roman" w:cs="Times New Roman"/>
                <w:bCs/>
                <w:color w:val="auto"/>
                <w:szCs w:val="21"/>
                <w:highlight w:val="none"/>
                <w:lang w:val="en-US" w:eastAsia="zh-CN"/>
              </w:rPr>
              <w:t>万t/a，</w:t>
            </w:r>
            <w:r>
              <w:rPr>
                <w:rFonts w:hint="eastAsia" w:cs="Times New Roman"/>
                <w:bCs/>
                <w:color w:val="auto"/>
                <w:szCs w:val="21"/>
                <w:highlight w:val="none"/>
                <w:lang w:val="en-US" w:eastAsia="zh-CN"/>
              </w:rPr>
              <w:t>不合格品返回</w:t>
            </w:r>
            <w:r>
              <w:rPr>
                <w:rFonts w:hint="eastAsia" w:ascii="Times New Roman" w:hAnsi="Times New Roman" w:eastAsia="宋体" w:cs="Times New Roman"/>
                <w:bCs/>
                <w:color w:val="auto"/>
                <w:highlight w:val="none"/>
                <w:lang w:val="en-US" w:eastAsia="zh-CN"/>
              </w:rPr>
              <w:t>混料机</w:t>
            </w:r>
            <w:r>
              <w:rPr>
                <w:rFonts w:hint="eastAsia" w:cs="Times New Roman"/>
                <w:bCs/>
                <w:color w:val="auto"/>
                <w:szCs w:val="21"/>
                <w:highlight w:val="none"/>
                <w:lang w:val="en-US" w:eastAsia="zh-CN"/>
              </w:rPr>
              <w:t>量为1.509万吨/a，则</w:t>
            </w:r>
            <w:r>
              <w:rPr>
                <w:rFonts w:hint="default" w:ascii="Times New Roman" w:hAnsi="Times New Roman" w:eastAsia="宋体" w:cs="Times New Roman"/>
                <w:bCs/>
                <w:color w:val="auto"/>
                <w:highlight w:val="none"/>
                <w:lang w:val="en-US" w:eastAsia="zh-CN"/>
              </w:rPr>
              <w:t>粗筛</w:t>
            </w:r>
            <w:r>
              <w:rPr>
                <w:rFonts w:hint="eastAsia" w:cs="Times New Roman"/>
                <w:bCs/>
                <w:color w:val="auto"/>
                <w:highlight w:val="none"/>
                <w:lang w:val="en-US" w:eastAsia="zh-CN"/>
              </w:rPr>
              <w:t>、</w:t>
            </w:r>
            <w:r>
              <w:rPr>
                <w:rFonts w:hint="default" w:ascii="Times New Roman" w:hAnsi="Times New Roman" w:eastAsia="宋体" w:cs="Times New Roman"/>
                <w:bCs/>
                <w:color w:val="auto"/>
                <w:highlight w:val="none"/>
                <w:lang w:val="en-US" w:eastAsia="zh-CN"/>
              </w:rPr>
              <w:t>整形</w:t>
            </w:r>
            <w:r>
              <w:rPr>
                <w:rFonts w:hint="default" w:ascii="Times New Roman" w:hAnsi="Times New Roman" w:cs="Times New Roman"/>
                <w:bCs/>
                <w:color w:val="auto"/>
                <w:szCs w:val="21"/>
                <w:highlight w:val="none"/>
              </w:rPr>
              <w:t>工序产生的粉尘为</w:t>
            </w:r>
            <w:r>
              <w:rPr>
                <w:rFonts w:hint="eastAsia" w:cs="Times New Roman"/>
                <w:bCs/>
                <w:color w:val="auto"/>
                <w:szCs w:val="21"/>
                <w:highlight w:val="none"/>
                <w:lang w:val="en-US" w:eastAsia="zh-CN"/>
              </w:rPr>
              <w:t>8.3</w:t>
            </w:r>
            <w:r>
              <w:rPr>
                <w:rFonts w:hint="eastAsia" w:ascii="Times New Roman" w:hAnsi="Times New Roman" w:cs="Times New Roman"/>
                <w:bCs/>
                <w:color w:val="auto"/>
                <w:szCs w:val="21"/>
                <w:highlight w:val="none"/>
                <w:lang w:val="en-US" w:eastAsia="zh-CN"/>
              </w:rPr>
              <w:t>t/a</w:t>
            </w:r>
            <w:r>
              <w:rPr>
                <w:rFonts w:hint="eastAsia" w:cs="Times New Roman"/>
                <w:bCs/>
                <w:color w:val="auto"/>
                <w:szCs w:val="21"/>
                <w:highlight w:val="none"/>
                <w:lang w:val="en-US" w:eastAsia="zh-CN"/>
              </w:rPr>
              <w:t>。</w:t>
            </w:r>
          </w:p>
          <w:p w14:paraId="0551EE88">
            <w:pPr>
              <w:adjustRightInd w:val="0"/>
              <w:snapToGrid w:val="0"/>
              <w:spacing w:line="360" w:lineRule="auto"/>
              <w:ind w:firstLine="420" w:firstLineChars="200"/>
              <w:rPr>
                <w:rFonts w:hint="default" w:cs="Times New Roman"/>
                <w:bCs/>
                <w:color w:val="auto"/>
                <w:highlight w:val="none"/>
                <w:lang w:val="en-US" w:eastAsia="zh-CN"/>
              </w:rPr>
            </w:pPr>
            <w:r>
              <w:rPr>
                <w:rFonts w:hint="eastAsia" w:cs="Times New Roman"/>
                <w:bCs/>
                <w:color w:val="auto"/>
                <w:highlight w:val="none"/>
                <w:lang w:val="en-US" w:eastAsia="zh-CN"/>
              </w:rPr>
              <w:t>综上所述，原料破碎、筛分、配料、部分筛分、混合、粗筛、整形过程</w:t>
            </w:r>
            <w:r>
              <w:rPr>
                <w:rFonts w:hint="eastAsia" w:cs="Times New Roman"/>
                <w:bCs/>
                <w:color w:val="auto"/>
                <w:highlight w:val="none"/>
                <w:lang w:eastAsia="zh-CN"/>
              </w:rPr>
              <w:t>产生的颗粒物</w:t>
            </w:r>
            <w:r>
              <w:rPr>
                <w:rFonts w:hint="eastAsia" w:cs="Times New Roman"/>
                <w:bCs/>
                <w:color w:val="auto"/>
                <w:highlight w:val="none"/>
                <w:lang w:val="en-US" w:eastAsia="zh-CN"/>
              </w:rPr>
              <w:t>量为23.071</w:t>
            </w:r>
            <w:r>
              <w:rPr>
                <w:rFonts w:hint="eastAsia" w:ascii="Times New Roman" w:hAnsi="Times New Roman" w:cs="Times New Roman"/>
                <w:bCs/>
                <w:color w:val="auto"/>
                <w:szCs w:val="21"/>
                <w:highlight w:val="none"/>
                <w:lang w:val="en-US" w:eastAsia="zh-CN"/>
              </w:rPr>
              <w:t>t/a。</w:t>
            </w:r>
          </w:p>
          <w:p w14:paraId="1D364274">
            <w:pPr>
              <w:adjustRightInd w:val="0"/>
              <w:snapToGrid w:val="0"/>
              <w:spacing w:line="360" w:lineRule="auto"/>
              <w:ind w:firstLine="420" w:firstLineChars="200"/>
              <w:rPr>
                <w:rFonts w:hint="default" w:ascii="Times New Roman" w:hAnsi="Times New Roman" w:cs="Times New Roman"/>
                <w:bCs/>
                <w:color w:val="auto"/>
                <w:highlight w:val="none"/>
                <w:lang w:val="en-US" w:eastAsia="zh-CN"/>
              </w:rPr>
            </w:pPr>
            <w:r>
              <w:rPr>
                <w:rFonts w:hint="eastAsia" w:cs="Times New Roman"/>
                <w:bCs/>
                <w:color w:val="auto"/>
                <w:highlight w:val="none"/>
                <w:lang w:val="en-US" w:eastAsia="zh-CN"/>
              </w:rPr>
              <w:t>（2）天然气燃烧废气（烟尘、SO</w:t>
            </w:r>
            <w:r>
              <w:rPr>
                <w:rFonts w:hint="eastAsia" w:cs="Times New Roman"/>
                <w:bCs/>
                <w:color w:val="auto"/>
                <w:highlight w:val="none"/>
                <w:vertAlign w:val="subscript"/>
                <w:lang w:val="en-US" w:eastAsia="zh-CN"/>
              </w:rPr>
              <w:t>2</w:t>
            </w:r>
            <w:r>
              <w:rPr>
                <w:rFonts w:hint="eastAsia" w:cs="Times New Roman"/>
                <w:bCs/>
                <w:color w:val="auto"/>
                <w:highlight w:val="none"/>
                <w:lang w:val="en-US" w:eastAsia="zh-CN"/>
              </w:rPr>
              <w:t>、NOx）和造粒、烘干</w:t>
            </w:r>
            <w:r>
              <w:rPr>
                <w:rFonts w:hint="default" w:ascii="Times New Roman" w:hAnsi="Times New Roman" w:cs="Times New Roman"/>
                <w:bCs/>
                <w:color w:val="auto"/>
                <w:highlight w:val="none"/>
                <w:lang w:val="en-US" w:eastAsia="zh-CN"/>
              </w:rPr>
              <w:t>工序</w:t>
            </w:r>
            <w:r>
              <w:rPr>
                <w:rFonts w:hint="default" w:ascii="Times New Roman" w:hAnsi="Times New Roman" w:cs="Times New Roman"/>
                <w:bCs/>
                <w:color w:val="auto"/>
                <w:sz w:val="21"/>
                <w:szCs w:val="21"/>
                <w:highlight w:val="none"/>
              </w:rPr>
              <w:t>产生的</w:t>
            </w:r>
            <w:r>
              <w:rPr>
                <w:rFonts w:hint="default" w:ascii="Times New Roman" w:hAnsi="Times New Roman" w:cs="Times New Roman"/>
                <w:bCs/>
                <w:color w:val="auto"/>
                <w:highlight w:val="none"/>
                <w:lang w:val="en-US" w:eastAsia="zh-CN"/>
              </w:rPr>
              <w:t>颗粒物</w:t>
            </w:r>
            <w:r>
              <w:rPr>
                <w:rFonts w:hint="eastAsia" w:cs="Times New Roman"/>
                <w:bCs/>
                <w:color w:val="auto"/>
                <w:highlight w:val="none"/>
                <w:lang w:val="en-US" w:eastAsia="zh-CN"/>
              </w:rPr>
              <w:t>、氨、臭气浓度（G6、G9、G10）</w:t>
            </w:r>
          </w:p>
          <w:p w14:paraId="5A06CA15">
            <w:pPr>
              <w:pStyle w:val="381"/>
              <w:snapToGrid/>
              <w:ind w:firstLine="420"/>
              <w:rPr>
                <w:color w:val="auto"/>
                <w:sz w:val="21"/>
                <w:szCs w:val="21"/>
                <w:highlight w:val="none"/>
              </w:rPr>
            </w:pPr>
            <w:r>
              <w:rPr>
                <w:rFonts w:hint="eastAsia" w:ascii="Times New Roman" w:hAnsi="Times New Roman" w:eastAsia="宋体" w:cs="Times New Roman"/>
                <w:bCs/>
                <w:color w:val="auto"/>
                <w:sz w:val="21"/>
                <w:szCs w:val="21"/>
                <w:highlight w:val="none"/>
                <w:lang w:val="en-US" w:eastAsia="zh-CN"/>
              </w:rPr>
              <w:t>①天然气燃烧废气（G9）：</w:t>
            </w:r>
            <w:r>
              <w:rPr>
                <w:rFonts w:hint="eastAsia" w:cs="Times New Roman"/>
                <w:color w:val="auto"/>
                <w:sz w:val="21"/>
                <w:szCs w:val="21"/>
                <w:highlight w:val="none"/>
                <w:lang w:val="en-US" w:eastAsia="zh-CN"/>
              </w:rPr>
              <w:t>一期项目</w:t>
            </w:r>
            <w:r>
              <w:rPr>
                <w:rFonts w:hint="default" w:ascii="Times New Roman" w:hAnsi="Times New Roman" w:eastAsia="宋体" w:cs="Times New Roman"/>
                <w:color w:val="auto"/>
                <w:sz w:val="21"/>
                <w:szCs w:val="21"/>
                <w:highlight w:val="none"/>
                <w:lang w:val="en-US" w:eastAsia="zh-CN"/>
              </w:rPr>
              <w:t>烘干工序</w:t>
            </w:r>
            <w:r>
              <w:rPr>
                <w:rFonts w:hint="eastAsia"/>
                <w:color w:val="auto"/>
                <w:sz w:val="21"/>
                <w:szCs w:val="21"/>
                <w:highlight w:val="none"/>
                <w:lang w:val="en-US" w:eastAsia="zh-CN"/>
              </w:rPr>
              <w:t>采用天然气燃烧器和热风机</w:t>
            </w:r>
            <w:r>
              <w:rPr>
                <w:rFonts w:hint="eastAsia"/>
                <w:color w:val="auto"/>
                <w:sz w:val="21"/>
                <w:szCs w:val="21"/>
                <w:highlight w:val="none"/>
              </w:rPr>
              <w:t>进行</w:t>
            </w:r>
            <w:r>
              <w:rPr>
                <w:rFonts w:hint="eastAsia"/>
                <w:color w:val="auto"/>
                <w:sz w:val="21"/>
                <w:szCs w:val="21"/>
                <w:highlight w:val="none"/>
                <w:lang w:val="en-US" w:eastAsia="zh-CN"/>
              </w:rPr>
              <w:t>加热</w:t>
            </w:r>
            <w:r>
              <w:rPr>
                <w:rFonts w:hint="eastAsia"/>
                <w:color w:val="auto"/>
                <w:sz w:val="21"/>
                <w:szCs w:val="21"/>
                <w:highlight w:val="none"/>
              </w:rPr>
              <w:t>烘干</w:t>
            </w:r>
            <w:r>
              <w:rPr>
                <w:rFonts w:hint="eastAsia"/>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天然气用量60万m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/a，</w:t>
            </w:r>
            <w:r>
              <w:rPr>
                <w:color w:val="auto"/>
                <w:sz w:val="21"/>
                <w:szCs w:val="21"/>
                <w:highlight w:val="none"/>
              </w:rPr>
              <w:t>二氧化硫、氮氧化物产污系数根据《排放源统计调查产排污核算方法和系数手册-</w:t>
            </w:r>
            <w:r>
              <w:rPr>
                <w:rFonts w:hint="eastAsia"/>
                <w:color w:val="auto"/>
                <w:sz w:val="21"/>
                <w:szCs w:val="21"/>
                <w:highlight w:val="none"/>
                <w:lang w:val="en-US" w:eastAsia="zh-CN"/>
              </w:rPr>
              <w:t>工业锅炉（热力供应）行业</w:t>
            </w:r>
            <w:r>
              <w:rPr>
                <w:color w:val="auto"/>
                <w:sz w:val="21"/>
                <w:szCs w:val="21"/>
                <w:highlight w:val="none"/>
              </w:rPr>
              <w:t>系数手册》</w:t>
            </w:r>
            <w:r>
              <w:rPr>
                <w:rFonts w:hint="eastAsia"/>
                <w:color w:val="auto"/>
                <w:sz w:val="21"/>
                <w:szCs w:val="21"/>
                <w:highlight w:val="none"/>
                <w:lang w:eastAsia="zh-CN"/>
              </w:rPr>
              <w:t>，</w:t>
            </w:r>
            <w:r>
              <w:rPr>
                <w:color w:val="auto"/>
                <w:sz w:val="21"/>
                <w:szCs w:val="21"/>
                <w:highlight w:val="none"/>
              </w:rPr>
              <w:t>烟尘产生量参照《排放源统计调查产排污核算方法和系数手册-火力发电热电联产系数手册》。具体产排污系数见表4-</w:t>
            </w:r>
            <w:r>
              <w:rPr>
                <w:rFonts w:hint="eastAsia"/>
                <w:color w:val="auto"/>
                <w:sz w:val="21"/>
                <w:szCs w:val="21"/>
                <w:highlight w:val="none"/>
                <w:lang w:val="en-US" w:eastAsia="zh-CN"/>
              </w:rPr>
              <w:t>7</w:t>
            </w:r>
            <w:r>
              <w:rPr>
                <w:color w:val="auto"/>
                <w:sz w:val="21"/>
                <w:szCs w:val="21"/>
                <w:highlight w:val="none"/>
              </w:rPr>
              <w:t>。</w:t>
            </w:r>
          </w:p>
          <w:p w14:paraId="4922DEBA">
            <w:pPr>
              <w:pStyle w:val="1313"/>
              <w:adjustRightInd w:val="0"/>
              <w:snapToGrid/>
              <w:ind w:firstLine="422" w:firstLineChars="200"/>
              <w:rPr>
                <w:rFonts w:ascii="Times New Roman" w:hAnsi="Times New Roman" w:eastAsia="宋体"/>
                <w:b/>
                <w:bCs/>
                <w:color w:val="auto"/>
                <w:sz w:val="21"/>
                <w:szCs w:val="21"/>
                <w:highlight w:val="none"/>
              </w:rPr>
            </w:pPr>
            <w:r>
              <w:rPr>
                <w:rFonts w:ascii="Times New Roman" w:hAnsi="Times New Roman" w:eastAsia="宋体"/>
                <w:b/>
                <w:bCs/>
                <w:color w:val="auto"/>
                <w:sz w:val="21"/>
                <w:szCs w:val="21"/>
                <w:highlight w:val="none"/>
              </w:rPr>
              <w:t>表4-</w:t>
            </w:r>
            <w:r>
              <w:rPr>
                <w:rFonts w:hint="eastAsia" w:ascii="Times New Roman" w:hAnsi="Times New Roman" w:eastAsia="宋体"/>
                <w:b/>
                <w:bCs/>
                <w:color w:val="auto"/>
                <w:sz w:val="21"/>
                <w:szCs w:val="21"/>
                <w:highlight w:val="none"/>
                <w:lang w:val="en-US" w:eastAsia="zh-CN"/>
              </w:rPr>
              <w:t>7</w:t>
            </w:r>
            <w:r>
              <w:rPr>
                <w:rFonts w:ascii="Times New Roman" w:hAnsi="Times New Roman" w:eastAsia="宋体"/>
                <w:b/>
                <w:bCs/>
                <w:color w:val="auto"/>
                <w:sz w:val="21"/>
                <w:szCs w:val="21"/>
                <w:highlight w:val="none"/>
              </w:rPr>
              <w:t>燃气（天然气）工业炉窑产排污系数一览表</w:t>
            </w:r>
          </w:p>
          <w:tbl>
            <w:tblPr>
              <w:tblStyle w:val="81"/>
              <w:tblW w:w="4995"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108" w:type="dxa"/>
                <w:bottom w:w="0" w:type="dxa"/>
                <w:right w:w="108" w:type="dxa"/>
              </w:tblCellMar>
            </w:tblPr>
            <w:tblGrid>
              <w:gridCol w:w="2077"/>
              <w:gridCol w:w="2077"/>
              <w:gridCol w:w="2105"/>
              <w:gridCol w:w="2113"/>
            </w:tblGrid>
            <w:tr w14:paraId="20D13B69">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248" w:type="dxa"/>
                  <w:noWrap w:val="0"/>
                  <w:vAlign w:val="center"/>
                </w:tcPr>
                <w:p w14:paraId="68B8952E">
                  <w:pPr>
                    <w:spacing w:line="240" w:lineRule="exact"/>
                    <w:jc w:val="center"/>
                    <w:rPr>
                      <w:color w:val="auto"/>
                      <w:sz w:val="18"/>
                      <w:szCs w:val="18"/>
                      <w:highlight w:val="none"/>
                    </w:rPr>
                  </w:pPr>
                  <w:r>
                    <w:rPr>
                      <w:color w:val="auto"/>
                      <w:sz w:val="18"/>
                      <w:szCs w:val="18"/>
                      <w:highlight w:val="none"/>
                    </w:rPr>
                    <w:t>燃料名称</w:t>
                  </w:r>
                </w:p>
              </w:tc>
              <w:tc>
                <w:tcPr>
                  <w:tcW w:w="2248" w:type="dxa"/>
                  <w:noWrap w:val="0"/>
                  <w:vAlign w:val="center"/>
                </w:tcPr>
                <w:p w14:paraId="708A0F43">
                  <w:pPr>
                    <w:spacing w:line="240" w:lineRule="exact"/>
                    <w:jc w:val="center"/>
                    <w:rPr>
                      <w:color w:val="auto"/>
                      <w:sz w:val="18"/>
                      <w:szCs w:val="18"/>
                      <w:highlight w:val="none"/>
                    </w:rPr>
                  </w:pPr>
                  <w:r>
                    <w:rPr>
                      <w:color w:val="auto"/>
                      <w:sz w:val="18"/>
                      <w:szCs w:val="18"/>
                      <w:highlight w:val="none"/>
                    </w:rPr>
                    <w:t>污染物</w:t>
                  </w:r>
                </w:p>
              </w:tc>
              <w:tc>
                <w:tcPr>
                  <w:tcW w:w="2249" w:type="dxa"/>
                  <w:noWrap w:val="0"/>
                  <w:vAlign w:val="center"/>
                </w:tcPr>
                <w:p w14:paraId="57B1F700">
                  <w:pPr>
                    <w:spacing w:line="240" w:lineRule="exact"/>
                    <w:jc w:val="center"/>
                    <w:rPr>
                      <w:color w:val="auto"/>
                      <w:sz w:val="18"/>
                      <w:szCs w:val="18"/>
                      <w:highlight w:val="none"/>
                    </w:rPr>
                  </w:pPr>
                  <w:r>
                    <w:rPr>
                      <w:color w:val="auto"/>
                      <w:sz w:val="18"/>
                      <w:szCs w:val="18"/>
                      <w:highlight w:val="none"/>
                    </w:rPr>
                    <w:t>单位</w:t>
                  </w:r>
                </w:p>
              </w:tc>
              <w:tc>
                <w:tcPr>
                  <w:tcW w:w="2251" w:type="dxa"/>
                  <w:noWrap w:val="0"/>
                  <w:vAlign w:val="center"/>
                </w:tcPr>
                <w:p w14:paraId="5F2D373A">
                  <w:pPr>
                    <w:spacing w:line="240" w:lineRule="exact"/>
                    <w:jc w:val="center"/>
                    <w:rPr>
                      <w:color w:val="auto"/>
                      <w:sz w:val="18"/>
                      <w:szCs w:val="18"/>
                      <w:highlight w:val="none"/>
                    </w:rPr>
                  </w:pPr>
                  <w:r>
                    <w:rPr>
                      <w:color w:val="auto"/>
                      <w:sz w:val="18"/>
                      <w:szCs w:val="18"/>
                      <w:highlight w:val="none"/>
                    </w:rPr>
                    <w:t>产污系数</w:t>
                  </w:r>
                </w:p>
              </w:tc>
            </w:tr>
            <w:tr w14:paraId="2CBF77B4">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jc w:val="center"/>
              </w:trPr>
              <w:tc>
                <w:tcPr>
                  <w:tcW w:w="2248" w:type="dxa"/>
                  <w:vMerge w:val="restart"/>
                  <w:noWrap w:val="0"/>
                  <w:vAlign w:val="center"/>
                </w:tcPr>
                <w:p w14:paraId="6D53CA59">
                  <w:pPr>
                    <w:spacing w:line="240" w:lineRule="exact"/>
                    <w:jc w:val="center"/>
                    <w:rPr>
                      <w:color w:val="auto"/>
                      <w:sz w:val="18"/>
                      <w:szCs w:val="18"/>
                      <w:highlight w:val="none"/>
                    </w:rPr>
                  </w:pPr>
                  <w:r>
                    <w:rPr>
                      <w:color w:val="auto"/>
                      <w:sz w:val="18"/>
                      <w:szCs w:val="18"/>
                      <w:highlight w:val="none"/>
                    </w:rPr>
                    <w:t>天然气</w:t>
                  </w:r>
                </w:p>
              </w:tc>
              <w:tc>
                <w:tcPr>
                  <w:tcW w:w="2248" w:type="dxa"/>
                  <w:noWrap w:val="0"/>
                  <w:vAlign w:val="center"/>
                </w:tcPr>
                <w:p w14:paraId="0EB64082">
                  <w:pPr>
                    <w:spacing w:line="240" w:lineRule="exact"/>
                    <w:jc w:val="center"/>
                    <w:rPr>
                      <w:color w:val="auto"/>
                      <w:sz w:val="18"/>
                      <w:szCs w:val="18"/>
                      <w:highlight w:val="none"/>
                    </w:rPr>
                  </w:pPr>
                  <w:r>
                    <w:rPr>
                      <w:color w:val="auto"/>
                      <w:sz w:val="18"/>
                      <w:szCs w:val="18"/>
                      <w:highlight w:val="none"/>
                    </w:rPr>
                    <w:t>工业废气量</w:t>
                  </w:r>
                </w:p>
              </w:tc>
              <w:tc>
                <w:tcPr>
                  <w:tcW w:w="2249" w:type="dxa"/>
                  <w:noWrap w:val="0"/>
                  <w:vAlign w:val="center"/>
                </w:tcPr>
                <w:p w14:paraId="12F0647C">
                  <w:pPr>
                    <w:spacing w:line="240" w:lineRule="exact"/>
                    <w:jc w:val="center"/>
                    <w:rPr>
                      <w:color w:val="auto"/>
                      <w:sz w:val="18"/>
                      <w:szCs w:val="18"/>
                      <w:highlight w:val="none"/>
                    </w:rPr>
                  </w:pPr>
                  <w:r>
                    <w:rPr>
                      <w:color w:val="auto"/>
                      <w:sz w:val="18"/>
                      <w:szCs w:val="18"/>
                      <w:highlight w:val="none"/>
                    </w:rPr>
                    <w:t>标立方米/</w:t>
                  </w:r>
                  <w:r>
                    <w:rPr>
                      <w:rFonts w:hint="eastAsia"/>
                      <w:color w:val="auto"/>
                      <w:sz w:val="18"/>
                      <w:szCs w:val="18"/>
                      <w:highlight w:val="none"/>
                      <w:lang w:val="en-US" w:eastAsia="zh-CN"/>
                    </w:rPr>
                    <w:t>万</w:t>
                  </w:r>
                  <w:r>
                    <w:rPr>
                      <w:color w:val="auto"/>
                      <w:sz w:val="18"/>
                      <w:szCs w:val="18"/>
                      <w:highlight w:val="none"/>
                    </w:rPr>
                    <w:t>m</w:t>
                  </w:r>
                  <w:r>
                    <w:rPr>
                      <w:color w:val="auto"/>
                      <w:sz w:val="18"/>
                      <w:szCs w:val="18"/>
                      <w:highlight w:val="none"/>
                      <w:vertAlign w:val="superscript"/>
                    </w:rPr>
                    <w:t>3</w:t>
                  </w:r>
                  <w:r>
                    <w:rPr>
                      <w:color w:val="auto"/>
                      <w:sz w:val="18"/>
                      <w:szCs w:val="18"/>
                      <w:highlight w:val="none"/>
                    </w:rPr>
                    <w:t>原料</w:t>
                  </w:r>
                </w:p>
              </w:tc>
              <w:tc>
                <w:tcPr>
                  <w:tcW w:w="2251" w:type="dxa"/>
                  <w:noWrap w:val="0"/>
                  <w:vAlign w:val="center"/>
                </w:tcPr>
                <w:p w14:paraId="462AB14D">
                  <w:pPr>
                    <w:spacing w:line="240" w:lineRule="exact"/>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107753</w:t>
                  </w:r>
                </w:p>
              </w:tc>
            </w:tr>
            <w:tr w14:paraId="08D0A8CE">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jc w:val="center"/>
              </w:trPr>
              <w:tc>
                <w:tcPr>
                  <w:tcW w:w="2248" w:type="dxa"/>
                  <w:vMerge w:val="continue"/>
                  <w:noWrap w:val="0"/>
                  <w:vAlign w:val="center"/>
                </w:tcPr>
                <w:p w14:paraId="23E2C831">
                  <w:pPr>
                    <w:spacing w:line="240" w:lineRule="exact"/>
                    <w:jc w:val="center"/>
                    <w:rPr>
                      <w:color w:val="auto"/>
                      <w:sz w:val="18"/>
                      <w:szCs w:val="18"/>
                      <w:highlight w:val="none"/>
                    </w:rPr>
                  </w:pPr>
                </w:p>
              </w:tc>
              <w:tc>
                <w:tcPr>
                  <w:tcW w:w="2248" w:type="dxa"/>
                  <w:noWrap w:val="0"/>
                  <w:vAlign w:val="center"/>
                </w:tcPr>
                <w:p w14:paraId="3BFF5406">
                  <w:pPr>
                    <w:spacing w:line="240" w:lineRule="exact"/>
                    <w:jc w:val="center"/>
                    <w:rPr>
                      <w:color w:val="auto"/>
                      <w:sz w:val="18"/>
                      <w:szCs w:val="18"/>
                      <w:highlight w:val="none"/>
                    </w:rPr>
                  </w:pPr>
                  <w:r>
                    <w:rPr>
                      <w:color w:val="auto"/>
                      <w:sz w:val="18"/>
                      <w:szCs w:val="18"/>
                      <w:highlight w:val="none"/>
                    </w:rPr>
                    <w:t>二氧化硫</w:t>
                  </w:r>
                </w:p>
              </w:tc>
              <w:tc>
                <w:tcPr>
                  <w:tcW w:w="2249" w:type="dxa"/>
                  <w:noWrap w:val="0"/>
                  <w:vAlign w:val="center"/>
                </w:tcPr>
                <w:p w14:paraId="0560284E">
                  <w:pPr>
                    <w:spacing w:line="240" w:lineRule="exact"/>
                    <w:jc w:val="center"/>
                    <w:rPr>
                      <w:color w:val="auto"/>
                      <w:sz w:val="18"/>
                      <w:szCs w:val="18"/>
                      <w:highlight w:val="none"/>
                    </w:rPr>
                  </w:pPr>
                  <w:r>
                    <w:rPr>
                      <w:color w:val="auto"/>
                      <w:sz w:val="18"/>
                      <w:szCs w:val="18"/>
                      <w:highlight w:val="none"/>
                    </w:rPr>
                    <w:t>kg/</w:t>
                  </w:r>
                  <w:r>
                    <w:rPr>
                      <w:rFonts w:hint="eastAsia"/>
                      <w:color w:val="auto"/>
                      <w:sz w:val="18"/>
                      <w:szCs w:val="18"/>
                      <w:highlight w:val="none"/>
                      <w:lang w:val="en-US" w:eastAsia="zh-CN"/>
                    </w:rPr>
                    <w:t>万</w:t>
                  </w:r>
                  <w:r>
                    <w:rPr>
                      <w:color w:val="auto"/>
                      <w:sz w:val="18"/>
                      <w:szCs w:val="18"/>
                      <w:highlight w:val="none"/>
                    </w:rPr>
                    <w:t>m</w:t>
                  </w:r>
                  <w:r>
                    <w:rPr>
                      <w:color w:val="auto"/>
                      <w:sz w:val="18"/>
                      <w:szCs w:val="18"/>
                      <w:highlight w:val="none"/>
                      <w:vertAlign w:val="superscript"/>
                    </w:rPr>
                    <w:t>3</w:t>
                  </w:r>
                  <w:r>
                    <w:rPr>
                      <w:color w:val="auto"/>
                      <w:sz w:val="18"/>
                      <w:szCs w:val="18"/>
                      <w:highlight w:val="none"/>
                    </w:rPr>
                    <w:t>原料</w:t>
                  </w:r>
                </w:p>
              </w:tc>
              <w:tc>
                <w:tcPr>
                  <w:tcW w:w="2251" w:type="dxa"/>
                  <w:noWrap w:val="0"/>
                  <w:vAlign w:val="center"/>
                </w:tcPr>
                <w:p w14:paraId="60E79A88">
                  <w:pPr>
                    <w:spacing w:line="240" w:lineRule="exact"/>
                    <w:jc w:val="center"/>
                    <w:rPr>
                      <w:color w:val="auto"/>
                      <w:sz w:val="18"/>
                      <w:szCs w:val="18"/>
                      <w:highlight w:val="none"/>
                    </w:rPr>
                  </w:pPr>
                  <w:r>
                    <w:rPr>
                      <w:color w:val="auto"/>
                      <w:sz w:val="18"/>
                      <w:szCs w:val="18"/>
                      <w:highlight w:val="none"/>
                    </w:rPr>
                    <w:t>0.02S</w:t>
                  </w:r>
                </w:p>
              </w:tc>
            </w:tr>
            <w:tr w14:paraId="7780D240">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jc w:val="center"/>
              </w:trPr>
              <w:tc>
                <w:tcPr>
                  <w:tcW w:w="2248" w:type="dxa"/>
                  <w:vMerge w:val="continue"/>
                  <w:noWrap w:val="0"/>
                  <w:vAlign w:val="center"/>
                </w:tcPr>
                <w:p w14:paraId="3EC75937">
                  <w:pPr>
                    <w:spacing w:line="240" w:lineRule="exact"/>
                    <w:jc w:val="center"/>
                    <w:rPr>
                      <w:color w:val="auto"/>
                      <w:sz w:val="18"/>
                      <w:szCs w:val="18"/>
                      <w:highlight w:val="none"/>
                    </w:rPr>
                  </w:pPr>
                </w:p>
              </w:tc>
              <w:tc>
                <w:tcPr>
                  <w:tcW w:w="2248" w:type="dxa"/>
                  <w:noWrap w:val="0"/>
                  <w:vAlign w:val="center"/>
                </w:tcPr>
                <w:p w14:paraId="79657A69">
                  <w:pPr>
                    <w:spacing w:line="240" w:lineRule="exact"/>
                    <w:jc w:val="center"/>
                    <w:rPr>
                      <w:color w:val="auto"/>
                      <w:sz w:val="18"/>
                      <w:szCs w:val="18"/>
                      <w:highlight w:val="none"/>
                    </w:rPr>
                  </w:pPr>
                  <w:r>
                    <w:rPr>
                      <w:color w:val="auto"/>
                      <w:sz w:val="18"/>
                      <w:szCs w:val="18"/>
                      <w:highlight w:val="none"/>
                    </w:rPr>
                    <w:t>氮氧化物</w:t>
                  </w:r>
                </w:p>
              </w:tc>
              <w:tc>
                <w:tcPr>
                  <w:tcW w:w="2249" w:type="dxa"/>
                  <w:noWrap w:val="0"/>
                  <w:vAlign w:val="center"/>
                </w:tcPr>
                <w:p w14:paraId="0E94CE73">
                  <w:pPr>
                    <w:spacing w:line="240" w:lineRule="exact"/>
                    <w:jc w:val="center"/>
                    <w:rPr>
                      <w:color w:val="auto"/>
                      <w:sz w:val="18"/>
                      <w:szCs w:val="18"/>
                      <w:highlight w:val="none"/>
                    </w:rPr>
                  </w:pPr>
                  <w:r>
                    <w:rPr>
                      <w:color w:val="auto"/>
                      <w:sz w:val="18"/>
                      <w:szCs w:val="18"/>
                      <w:highlight w:val="none"/>
                    </w:rPr>
                    <w:t>kg/</w:t>
                  </w:r>
                  <w:r>
                    <w:rPr>
                      <w:rFonts w:hint="eastAsia"/>
                      <w:color w:val="auto"/>
                      <w:sz w:val="18"/>
                      <w:szCs w:val="18"/>
                      <w:highlight w:val="none"/>
                      <w:lang w:val="en-US" w:eastAsia="zh-CN"/>
                    </w:rPr>
                    <w:t>万</w:t>
                  </w:r>
                  <w:r>
                    <w:rPr>
                      <w:color w:val="auto"/>
                      <w:sz w:val="18"/>
                      <w:szCs w:val="18"/>
                      <w:highlight w:val="none"/>
                    </w:rPr>
                    <w:t>m</w:t>
                  </w:r>
                  <w:r>
                    <w:rPr>
                      <w:color w:val="auto"/>
                      <w:sz w:val="18"/>
                      <w:szCs w:val="18"/>
                      <w:highlight w:val="none"/>
                      <w:vertAlign w:val="superscript"/>
                    </w:rPr>
                    <w:t>3</w:t>
                  </w:r>
                  <w:r>
                    <w:rPr>
                      <w:color w:val="auto"/>
                      <w:sz w:val="18"/>
                      <w:szCs w:val="18"/>
                      <w:highlight w:val="none"/>
                    </w:rPr>
                    <w:t>原料</w:t>
                  </w:r>
                </w:p>
              </w:tc>
              <w:tc>
                <w:tcPr>
                  <w:tcW w:w="2251" w:type="dxa"/>
                  <w:noWrap w:val="0"/>
                  <w:vAlign w:val="center"/>
                </w:tcPr>
                <w:p w14:paraId="766655D4">
                  <w:pPr>
                    <w:spacing w:line="240" w:lineRule="exact"/>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6.97（低氮燃烧-国内领先）</w:t>
                  </w:r>
                </w:p>
              </w:tc>
            </w:tr>
            <w:tr w14:paraId="59D490F2">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jc w:val="center"/>
              </w:trPr>
              <w:tc>
                <w:tcPr>
                  <w:tcW w:w="2248" w:type="dxa"/>
                  <w:vMerge w:val="continue"/>
                  <w:noWrap w:val="0"/>
                  <w:vAlign w:val="center"/>
                </w:tcPr>
                <w:p w14:paraId="739A3950">
                  <w:pPr>
                    <w:spacing w:line="240" w:lineRule="exact"/>
                    <w:jc w:val="center"/>
                    <w:rPr>
                      <w:color w:val="auto"/>
                      <w:sz w:val="18"/>
                      <w:szCs w:val="18"/>
                      <w:highlight w:val="none"/>
                    </w:rPr>
                  </w:pPr>
                </w:p>
              </w:tc>
              <w:tc>
                <w:tcPr>
                  <w:tcW w:w="2248" w:type="dxa"/>
                  <w:noWrap w:val="0"/>
                  <w:vAlign w:val="center"/>
                </w:tcPr>
                <w:p w14:paraId="44525D07">
                  <w:pPr>
                    <w:spacing w:line="240" w:lineRule="exact"/>
                    <w:jc w:val="center"/>
                    <w:rPr>
                      <w:color w:val="auto"/>
                      <w:sz w:val="18"/>
                      <w:szCs w:val="18"/>
                      <w:highlight w:val="none"/>
                    </w:rPr>
                  </w:pPr>
                  <w:r>
                    <w:rPr>
                      <w:color w:val="auto"/>
                      <w:sz w:val="18"/>
                      <w:szCs w:val="18"/>
                      <w:highlight w:val="none"/>
                    </w:rPr>
                    <w:t>烟尘</w:t>
                  </w:r>
                </w:p>
              </w:tc>
              <w:tc>
                <w:tcPr>
                  <w:tcW w:w="2249" w:type="dxa"/>
                  <w:noWrap w:val="0"/>
                  <w:vAlign w:val="center"/>
                </w:tcPr>
                <w:p w14:paraId="5C993A48">
                  <w:pPr>
                    <w:spacing w:line="240" w:lineRule="exact"/>
                    <w:jc w:val="center"/>
                    <w:rPr>
                      <w:color w:val="auto"/>
                      <w:sz w:val="18"/>
                      <w:szCs w:val="18"/>
                      <w:highlight w:val="none"/>
                    </w:rPr>
                  </w:pPr>
                  <w:r>
                    <w:rPr>
                      <w:color w:val="auto"/>
                      <w:sz w:val="18"/>
                      <w:szCs w:val="18"/>
                      <w:highlight w:val="none"/>
                    </w:rPr>
                    <w:t>mg/m</w:t>
                  </w:r>
                  <w:r>
                    <w:rPr>
                      <w:color w:val="auto"/>
                      <w:sz w:val="18"/>
                      <w:szCs w:val="18"/>
                      <w:highlight w:val="none"/>
                      <w:vertAlign w:val="superscript"/>
                    </w:rPr>
                    <w:t>3</w:t>
                  </w:r>
                  <w:r>
                    <w:rPr>
                      <w:color w:val="auto"/>
                      <w:sz w:val="18"/>
                      <w:szCs w:val="18"/>
                      <w:highlight w:val="none"/>
                    </w:rPr>
                    <w:t>原料</w:t>
                  </w:r>
                </w:p>
              </w:tc>
              <w:tc>
                <w:tcPr>
                  <w:tcW w:w="2251" w:type="dxa"/>
                  <w:noWrap w:val="0"/>
                  <w:vAlign w:val="center"/>
                </w:tcPr>
                <w:p w14:paraId="32CC3D8B">
                  <w:pPr>
                    <w:spacing w:line="240" w:lineRule="exact"/>
                    <w:jc w:val="center"/>
                    <w:rPr>
                      <w:color w:val="auto"/>
                      <w:sz w:val="18"/>
                      <w:szCs w:val="18"/>
                      <w:highlight w:val="none"/>
                    </w:rPr>
                  </w:pPr>
                  <w:r>
                    <w:rPr>
                      <w:color w:val="auto"/>
                      <w:sz w:val="18"/>
                      <w:szCs w:val="18"/>
                      <w:highlight w:val="none"/>
                    </w:rPr>
                    <w:t>103.9</w:t>
                  </w:r>
                </w:p>
              </w:tc>
            </w:tr>
          </w:tbl>
          <w:p w14:paraId="1A13005F">
            <w:pPr>
              <w:pStyle w:val="381"/>
              <w:ind w:firstLine="420"/>
              <w:rPr>
                <w:color w:val="auto"/>
                <w:sz w:val="21"/>
                <w:szCs w:val="21"/>
                <w:highlight w:val="none"/>
              </w:rPr>
            </w:pPr>
            <w:r>
              <w:rPr>
                <w:color w:val="auto"/>
                <w:sz w:val="21"/>
                <w:szCs w:val="21"/>
                <w:highlight w:val="none"/>
              </w:rPr>
              <w:t>注：含硫量（S）是指燃气收到基硫分含量，单位为毫克/立方米；本次评价按照《天然气》（GB17820-2018）中二类标准，S取100。</w:t>
            </w:r>
          </w:p>
          <w:p w14:paraId="6F84BF12">
            <w:pPr>
              <w:adjustRightInd w:val="0"/>
              <w:snapToGrid w:val="0"/>
              <w:spacing w:line="360" w:lineRule="auto"/>
              <w:ind w:firstLine="420" w:firstLineChars="200"/>
              <w:rPr>
                <w:rFonts w:hint="eastAsia" w:ascii="Times New Roman" w:hAnsi="Times New Roman" w:eastAsia="宋体" w:cs="Times New Roman"/>
                <w:color w:val="auto"/>
                <w:highlight w:val="none"/>
                <w:lang w:val="en-US" w:eastAsia="zh-CN"/>
              </w:rPr>
            </w:pPr>
            <w:r>
              <w:rPr>
                <w:rFonts w:hint="eastAsia"/>
                <w:color w:val="auto"/>
                <w:szCs w:val="21"/>
                <w:highlight w:val="none"/>
              </w:rPr>
              <w:t>经计算，</w:t>
            </w:r>
            <w:r>
              <w:rPr>
                <w:color w:val="auto"/>
                <w:szCs w:val="21"/>
                <w:highlight w:val="none"/>
              </w:rPr>
              <w:t>颗粒物、SO</w:t>
            </w:r>
            <w:r>
              <w:rPr>
                <w:color w:val="auto"/>
                <w:szCs w:val="21"/>
                <w:highlight w:val="none"/>
                <w:vertAlign w:val="subscript"/>
              </w:rPr>
              <w:t>2</w:t>
            </w:r>
            <w:r>
              <w:rPr>
                <w:color w:val="auto"/>
                <w:szCs w:val="21"/>
                <w:highlight w:val="none"/>
              </w:rPr>
              <w:t>、NO</w:t>
            </w:r>
            <w:r>
              <w:rPr>
                <w:color w:val="auto"/>
                <w:szCs w:val="21"/>
                <w:highlight w:val="none"/>
                <w:vertAlign w:val="subscript"/>
              </w:rPr>
              <w:t>X</w:t>
            </w:r>
            <w:r>
              <w:rPr>
                <w:rFonts w:hint="eastAsia"/>
                <w:color w:val="auto"/>
                <w:szCs w:val="21"/>
                <w:highlight w:val="none"/>
              </w:rPr>
              <w:t>产生量</w:t>
            </w:r>
            <w:r>
              <w:rPr>
                <w:color w:val="auto"/>
                <w:szCs w:val="21"/>
                <w:highlight w:val="none"/>
              </w:rPr>
              <w:t>分别为</w:t>
            </w:r>
            <w:r>
              <w:rPr>
                <w:rFonts w:hint="eastAsia"/>
                <w:color w:val="auto"/>
                <w:szCs w:val="21"/>
                <w:highlight w:val="none"/>
                <w:lang w:eastAsia="zh-CN"/>
              </w:rPr>
              <w:t>0.0</w:t>
            </w:r>
            <w:r>
              <w:rPr>
                <w:rFonts w:hint="eastAsia"/>
                <w:color w:val="auto"/>
                <w:szCs w:val="21"/>
                <w:highlight w:val="none"/>
                <w:lang w:val="en-US" w:eastAsia="zh-CN"/>
              </w:rPr>
              <w:t>62</w:t>
            </w:r>
            <w:r>
              <w:rPr>
                <w:color w:val="auto"/>
                <w:szCs w:val="21"/>
                <w:highlight w:val="none"/>
              </w:rPr>
              <w:t>t/a、0.</w:t>
            </w:r>
            <w:r>
              <w:rPr>
                <w:rFonts w:hint="eastAsia"/>
                <w:color w:val="auto"/>
                <w:szCs w:val="21"/>
                <w:highlight w:val="none"/>
                <w:lang w:val="en-US" w:eastAsia="zh-CN"/>
              </w:rPr>
              <w:t>12</w:t>
            </w:r>
            <w:r>
              <w:rPr>
                <w:color w:val="auto"/>
                <w:szCs w:val="21"/>
                <w:highlight w:val="none"/>
              </w:rPr>
              <w:t>t/a、</w:t>
            </w:r>
            <w:r>
              <w:rPr>
                <w:rFonts w:hint="eastAsia"/>
                <w:color w:val="auto"/>
                <w:szCs w:val="21"/>
                <w:highlight w:val="none"/>
                <w:lang w:eastAsia="zh-CN"/>
              </w:rPr>
              <w:t>0.4182</w:t>
            </w:r>
            <w:r>
              <w:rPr>
                <w:color w:val="auto"/>
                <w:szCs w:val="21"/>
                <w:highlight w:val="none"/>
              </w:rPr>
              <w:t>t/a</w:t>
            </w:r>
            <w:r>
              <w:rPr>
                <w:rFonts w:hint="eastAsia"/>
                <w:color w:val="auto"/>
                <w:szCs w:val="21"/>
                <w:highlight w:val="none"/>
                <w:lang w:eastAsia="zh-CN"/>
              </w:rPr>
              <w:t>。</w:t>
            </w:r>
          </w:p>
          <w:p w14:paraId="71EC777C">
            <w:pPr>
              <w:adjustRightInd w:val="0"/>
              <w:snapToGrid w:val="0"/>
              <w:spacing w:line="360" w:lineRule="auto"/>
              <w:ind w:firstLine="420" w:firstLineChars="200"/>
              <w:rPr>
                <w:rFonts w:hint="default" w:cs="Times New Roman"/>
                <w:bCs/>
                <w:color w:val="auto"/>
                <w:szCs w:val="21"/>
                <w:highlight w:val="none"/>
                <w:lang w:val="en-US" w:eastAsia="zh-CN"/>
              </w:rPr>
            </w:pPr>
            <w:r>
              <w:rPr>
                <w:rFonts w:hint="eastAsia" w:ascii="Times New Roman" w:hAnsi="Times New Roman" w:eastAsia="宋体" w:cs="Times New Roman"/>
                <w:bCs/>
                <w:color w:val="auto"/>
                <w:highlight w:val="none"/>
                <w:lang w:val="en-US" w:eastAsia="zh-CN"/>
              </w:rPr>
              <w:t>②</w:t>
            </w:r>
            <w:r>
              <w:rPr>
                <w:rFonts w:hint="eastAsia" w:cs="Times New Roman"/>
                <w:bCs/>
                <w:color w:val="auto"/>
                <w:highlight w:val="none"/>
                <w:lang w:val="en-US" w:eastAsia="zh-CN"/>
              </w:rPr>
              <w:t>造粒和烘干废气（G6、G10）：</w:t>
            </w:r>
          </w:p>
          <w:p w14:paraId="5427775F">
            <w:pPr>
              <w:adjustRightInd w:val="0"/>
              <w:snapToGrid w:val="0"/>
              <w:spacing w:line="360" w:lineRule="auto"/>
              <w:ind w:firstLine="420" w:firstLineChars="200"/>
              <w:rPr>
                <w:rFonts w:hint="eastAsia" w:cs="Times New Roman"/>
                <w:bCs/>
                <w:color w:val="auto"/>
                <w:szCs w:val="21"/>
                <w:highlight w:val="none"/>
                <w:lang w:val="en-US" w:eastAsia="zh-CN"/>
              </w:rPr>
            </w:pPr>
            <w:r>
              <w:rPr>
                <w:rFonts w:hint="eastAsia" w:cs="Times New Roman"/>
                <w:bCs/>
                <w:color w:val="auto"/>
                <w:szCs w:val="21"/>
                <w:highlight w:val="none"/>
                <w:lang w:val="en-US" w:eastAsia="zh-CN"/>
              </w:rPr>
              <w:t>造粒</w:t>
            </w:r>
            <w:r>
              <w:rPr>
                <w:rFonts w:hint="default" w:ascii="Times New Roman" w:hAnsi="Times New Roman" w:cs="Times New Roman"/>
                <w:bCs/>
                <w:color w:val="auto"/>
                <w:szCs w:val="21"/>
                <w:highlight w:val="none"/>
              </w:rPr>
              <w:t>产尘参照《逸散性工业粉尘控制技术》中表22-1</w:t>
            </w:r>
            <w:r>
              <w:rPr>
                <w:rFonts w:hint="eastAsia" w:cs="Times New Roman"/>
                <w:bCs/>
                <w:color w:val="auto"/>
                <w:szCs w:val="21"/>
                <w:highlight w:val="none"/>
                <w:lang w:val="en-US" w:eastAsia="zh-CN"/>
              </w:rPr>
              <w:t>第6条</w:t>
            </w:r>
            <w:r>
              <w:rPr>
                <w:rFonts w:hint="default" w:ascii="Times New Roman" w:hAnsi="Times New Roman" w:cs="Times New Roman"/>
                <w:bCs/>
                <w:color w:val="auto"/>
                <w:szCs w:val="21"/>
                <w:highlight w:val="none"/>
              </w:rPr>
              <w:t>，逸散性粉尘产生量约为0.0</w:t>
            </w:r>
            <w:r>
              <w:rPr>
                <w:rFonts w:hint="eastAsia" w:cs="Times New Roman"/>
                <w:bCs/>
                <w:color w:val="auto"/>
                <w:szCs w:val="21"/>
                <w:highlight w:val="none"/>
                <w:lang w:val="en-US" w:eastAsia="zh-CN"/>
              </w:rPr>
              <w:t>2</w:t>
            </w:r>
            <w:r>
              <w:rPr>
                <w:rFonts w:hint="default" w:ascii="Times New Roman" w:hAnsi="Times New Roman" w:cs="Times New Roman"/>
                <w:bCs/>
                <w:color w:val="auto"/>
                <w:szCs w:val="21"/>
                <w:highlight w:val="none"/>
              </w:rPr>
              <w:t>kg/t（</w:t>
            </w:r>
            <w:r>
              <w:rPr>
                <w:rFonts w:hint="eastAsia" w:cs="Times New Roman"/>
                <w:bCs/>
                <w:color w:val="auto"/>
                <w:szCs w:val="21"/>
                <w:highlight w:val="none"/>
                <w:lang w:val="en-US" w:eastAsia="zh-CN"/>
              </w:rPr>
              <w:t>装料</w:t>
            </w:r>
            <w:r>
              <w:rPr>
                <w:rFonts w:hint="default" w:ascii="Times New Roman" w:hAnsi="Times New Roman" w:cs="Times New Roman"/>
                <w:bCs/>
                <w:color w:val="auto"/>
                <w:szCs w:val="21"/>
                <w:highlight w:val="none"/>
              </w:rPr>
              <w:t>）</w:t>
            </w:r>
            <w:r>
              <w:rPr>
                <w:rFonts w:hint="eastAsia" w:ascii="Times New Roman" w:hAnsi="Times New Roman" w:cs="Times New Roman"/>
                <w:bCs/>
                <w:color w:val="auto"/>
                <w:szCs w:val="21"/>
                <w:highlight w:val="none"/>
                <w:lang w:eastAsia="zh-CN"/>
              </w:rPr>
              <w:t>，</w:t>
            </w:r>
            <w:r>
              <w:rPr>
                <w:rFonts w:hint="eastAsia" w:ascii="Times New Roman" w:hAnsi="Times New Roman" w:cs="Times New Roman"/>
                <w:bCs/>
                <w:color w:val="auto"/>
                <w:szCs w:val="21"/>
                <w:highlight w:val="none"/>
                <w:lang w:val="en-US" w:eastAsia="zh-CN"/>
              </w:rPr>
              <w:t>造粒工序原料量为</w:t>
            </w:r>
            <w:r>
              <w:rPr>
                <w:rFonts w:hint="eastAsia" w:cs="Times New Roman"/>
                <w:bCs/>
                <w:color w:val="auto"/>
                <w:szCs w:val="21"/>
                <w:highlight w:val="none"/>
                <w:lang w:val="en-US" w:eastAsia="zh-CN"/>
              </w:rPr>
              <w:t>29.91万</w:t>
            </w:r>
            <w:r>
              <w:rPr>
                <w:rFonts w:hint="eastAsia" w:ascii="Times New Roman" w:hAnsi="Times New Roman" w:cs="Times New Roman"/>
                <w:bCs/>
                <w:color w:val="auto"/>
                <w:szCs w:val="21"/>
                <w:highlight w:val="none"/>
                <w:lang w:val="en-US" w:eastAsia="zh-CN"/>
              </w:rPr>
              <w:t>t/a，则粉尘产生量为</w:t>
            </w:r>
            <w:r>
              <w:rPr>
                <w:rFonts w:hint="eastAsia" w:cs="Times New Roman"/>
                <w:bCs/>
                <w:color w:val="auto"/>
                <w:szCs w:val="21"/>
                <w:highlight w:val="none"/>
                <w:lang w:val="en-US" w:eastAsia="zh-CN"/>
              </w:rPr>
              <w:t>5.982</w:t>
            </w:r>
            <w:r>
              <w:rPr>
                <w:rFonts w:hint="eastAsia" w:ascii="Times New Roman" w:hAnsi="Times New Roman" w:cs="Times New Roman"/>
                <w:bCs/>
                <w:color w:val="auto"/>
                <w:szCs w:val="21"/>
                <w:highlight w:val="none"/>
                <w:lang w:val="en-US" w:eastAsia="zh-CN"/>
              </w:rPr>
              <w:t>t/a。</w:t>
            </w:r>
          </w:p>
          <w:p w14:paraId="75488AF2">
            <w:pPr>
              <w:adjustRightInd w:val="0"/>
              <w:snapToGrid w:val="0"/>
              <w:spacing w:line="360" w:lineRule="auto"/>
              <w:ind w:firstLine="420" w:firstLineChars="200"/>
              <w:rPr>
                <w:rFonts w:hint="default" w:ascii="Times New Roman" w:hAnsi="Times New Roman" w:cs="Times New Roman"/>
                <w:bCs/>
                <w:color w:val="auto"/>
                <w:szCs w:val="21"/>
                <w:highlight w:val="none"/>
                <w:lang w:eastAsia="zh-CN"/>
              </w:rPr>
            </w:pPr>
            <w:r>
              <w:rPr>
                <w:rFonts w:hint="default" w:ascii="Times New Roman" w:hAnsi="Times New Roman" w:cs="Times New Roman"/>
                <w:bCs/>
                <w:color w:val="auto"/>
                <w:szCs w:val="21"/>
                <w:highlight w:val="none"/>
                <w:lang w:val="en-US" w:eastAsia="zh-CN"/>
              </w:rPr>
              <w:t>物料烘干过程产生的粉尘类比《介休市禾田农资经销有限公司硫酸铵挤压颗粒加工项目竣工环境保护验收监测报告》，该项目产能为年产6万吨硫酸铵颗粒与</w:t>
            </w:r>
            <w:r>
              <w:rPr>
                <w:rFonts w:hint="eastAsia" w:cs="Times New Roman"/>
                <w:bCs/>
                <w:color w:val="auto"/>
                <w:szCs w:val="21"/>
                <w:highlight w:val="none"/>
                <w:lang w:val="en-US" w:eastAsia="zh-CN"/>
              </w:rPr>
              <w:t>一期项目</w:t>
            </w:r>
            <w:r>
              <w:rPr>
                <w:rFonts w:hint="default" w:ascii="Times New Roman" w:hAnsi="Times New Roman" w:cs="Times New Roman"/>
                <w:bCs/>
                <w:color w:val="auto"/>
                <w:szCs w:val="21"/>
                <w:highlight w:val="none"/>
                <w:lang w:val="en-US" w:eastAsia="zh-CN"/>
              </w:rPr>
              <w:t>工艺相似、产品</w:t>
            </w:r>
            <w:r>
              <w:rPr>
                <w:rFonts w:hint="eastAsia" w:cs="Times New Roman"/>
                <w:bCs/>
                <w:color w:val="auto"/>
                <w:szCs w:val="21"/>
                <w:highlight w:val="none"/>
                <w:lang w:val="en-US" w:eastAsia="zh-CN"/>
              </w:rPr>
              <w:t>相似</w:t>
            </w:r>
            <w:r>
              <w:rPr>
                <w:rFonts w:hint="default" w:ascii="Times New Roman" w:hAnsi="Times New Roman" w:cs="Times New Roman"/>
                <w:bCs/>
                <w:color w:val="auto"/>
                <w:szCs w:val="21"/>
                <w:highlight w:val="none"/>
                <w:lang w:val="en-US" w:eastAsia="zh-CN"/>
              </w:rPr>
              <w:t>，该项目最大排放速率为0.044kg/h，烘干工序粉尘产生量约为 0.22kg/h。</w:t>
            </w:r>
            <w:r>
              <w:rPr>
                <w:rFonts w:hint="eastAsia" w:cs="Times New Roman"/>
                <w:bCs/>
                <w:color w:val="auto"/>
                <w:szCs w:val="21"/>
                <w:highlight w:val="none"/>
                <w:lang w:val="en-US" w:eastAsia="zh-CN"/>
              </w:rPr>
              <w:t>一期项目</w:t>
            </w:r>
            <w:r>
              <w:rPr>
                <w:rFonts w:hint="default" w:ascii="Times New Roman" w:hAnsi="Times New Roman" w:cs="Times New Roman"/>
                <w:bCs/>
                <w:color w:val="auto"/>
                <w:szCs w:val="21"/>
                <w:highlight w:val="none"/>
                <w:lang w:val="en-US" w:eastAsia="zh-CN"/>
              </w:rPr>
              <w:t>总产能为</w:t>
            </w:r>
            <w:r>
              <w:rPr>
                <w:rFonts w:hint="eastAsia" w:cs="Times New Roman"/>
                <w:bCs/>
                <w:color w:val="auto"/>
                <w:szCs w:val="21"/>
                <w:highlight w:val="none"/>
                <w:lang w:val="en-US" w:eastAsia="zh-CN"/>
              </w:rPr>
              <w:t>15</w:t>
            </w:r>
            <w:r>
              <w:rPr>
                <w:rFonts w:hint="default" w:ascii="Times New Roman" w:hAnsi="Times New Roman" w:cs="Times New Roman"/>
                <w:bCs/>
                <w:color w:val="auto"/>
                <w:szCs w:val="21"/>
                <w:highlight w:val="none"/>
                <w:lang w:val="en-US" w:eastAsia="zh-CN"/>
              </w:rPr>
              <w:t>万吨</w:t>
            </w:r>
            <w:r>
              <w:rPr>
                <w:rFonts w:hint="eastAsia" w:ascii="Times New Roman" w:hAnsi="Times New Roman" w:cs="Times New Roman"/>
                <w:bCs/>
                <w:color w:val="auto"/>
                <w:szCs w:val="21"/>
                <w:highlight w:val="none"/>
                <w:lang w:val="en-US" w:eastAsia="zh-CN"/>
              </w:rPr>
              <w:t>复混肥</w:t>
            </w:r>
            <w:r>
              <w:rPr>
                <w:rFonts w:hint="default" w:ascii="Times New Roman" w:hAnsi="Times New Roman" w:cs="Times New Roman"/>
                <w:bCs/>
                <w:color w:val="auto"/>
                <w:szCs w:val="21"/>
                <w:highlight w:val="none"/>
                <w:lang w:val="en-US" w:eastAsia="zh-CN"/>
              </w:rPr>
              <w:t>/年，</w:t>
            </w:r>
            <w:r>
              <w:rPr>
                <w:rFonts w:hint="eastAsia" w:cs="Times New Roman"/>
                <w:bCs/>
                <w:color w:val="auto"/>
                <w:szCs w:val="21"/>
                <w:highlight w:val="none"/>
                <w:lang w:val="en-US" w:eastAsia="zh-CN"/>
              </w:rPr>
              <w:t>则一期项目</w:t>
            </w:r>
            <w:r>
              <w:rPr>
                <w:rFonts w:hint="default" w:ascii="Times New Roman" w:hAnsi="Times New Roman" w:cs="Times New Roman"/>
                <w:bCs/>
                <w:color w:val="auto"/>
                <w:szCs w:val="21"/>
                <w:highlight w:val="none"/>
                <w:lang w:val="en-US" w:eastAsia="zh-CN"/>
              </w:rPr>
              <w:t>烘干过程粉尘</w:t>
            </w:r>
            <w:r>
              <w:rPr>
                <w:rFonts w:hint="eastAsia" w:cs="Times New Roman"/>
                <w:bCs/>
                <w:color w:val="auto"/>
                <w:szCs w:val="21"/>
                <w:highlight w:val="none"/>
                <w:lang w:val="en-US" w:eastAsia="zh-CN"/>
              </w:rPr>
              <w:t>产生速率为0.55kg/h，年工作7200h，则粉尘产生量为3.96t/a</w:t>
            </w:r>
            <w:r>
              <w:rPr>
                <w:rFonts w:hint="default" w:ascii="Times New Roman" w:hAnsi="Times New Roman" w:cs="Times New Roman"/>
                <w:bCs/>
                <w:color w:val="auto"/>
                <w:szCs w:val="21"/>
                <w:highlight w:val="none"/>
                <w:lang w:val="en-US" w:eastAsia="zh-CN"/>
              </w:rPr>
              <w:t>。</w:t>
            </w:r>
          </w:p>
          <w:p w14:paraId="5F8C574E">
            <w:pPr>
              <w:adjustRightInd w:val="0"/>
              <w:snapToGrid w:val="0"/>
              <w:spacing w:line="360" w:lineRule="auto"/>
              <w:ind w:firstLine="420" w:firstLineChars="200"/>
              <w:rPr>
                <w:rFonts w:hint="eastAsia" w:cs="Times New Roman"/>
                <w:bCs/>
                <w:color w:val="auto"/>
                <w:szCs w:val="21"/>
                <w:highlight w:val="none"/>
                <w:lang w:val="en-US" w:eastAsia="zh-CN"/>
              </w:rPr>
            </w:pPr>
            <w:r>
              <w:rPr>
                <w:rFonts w:hint="eastAsia" w:cs="Times New Roman"/>
                <w:bCs/>
                <w:color w:val="auto"/>
                <w:highlight w:val="none"/>
                <w:lang w:val="en-US" w:eastAsia="zh-CN"/>
              </w:rPr>
              <w:t>造粒和烘干产生的</w:t>
            </w:r>
            <w:r>
              <w:rPr>
                <w:rFonts w:hint="eastAsia" w:cs="Times New Roman"/>
                <w:bCs/>
                <w:color w:val="auto"/>
                <w:szCs w:val="21"/>
                <w:highlight w:val="none"/>
                <w:lang w:val="en-US" w:eastAsia="zh-CN"/>
              </w:rPr>
              <w:t>氨气：一期项目造粒过程挤压会升温，尿素、磷酸一铵、磷酸二铵以及回用的</w:t>
            </w:r>
            <w:r>
              <w:rPr>
                <w:rFonts w:hint="eastAsia"/>
                <w:color w:val="auto"/>
                <w:szCs w:val="21"/>
                <w:lang w:val="en-US" w:eastAsia="zh-CN"/>
              </w:rPr>
              <w:t>水喷淋废水（含氨）</w:t>
            </w:r>
            <w:r>
              <w:rPr>
                <w:rFonts w:hint="eastAsia" w:cs="Times New Roman"/>
                <w:bCs/>
                <w:color w:val="auto"/>
                <w:szCs w:val="21"/>
                <w:highlight w:val="none"/>
                <w:lang w:val="en-US" w:eastAsia="zh-CN"/>
              </w:rPr>
              <w:t>会发生分解，产生氨气；烘干工序温度在200℃，尿素、磷酸一铵、磷酸二铵会发生分解，产生氨气，类比《韶关芭田生态工程有限公司年产 30 万吨复合肥建设项目环境影响报告表》（韶环翁审[2022]9号）和《韶关芭田生态工程有限公司年产 30 万吨复合肥建设项目竣工环境保护验收监测报告》，氨的源强按物料投入量的 0.01%估算（造粒工序尿素、磷酸一铵和磷酸二铵的使用量分别为 30000t/a、10000t/a 和15000t/a，烘干工序尿素、磷酸一铵和磷酸二铵的使用量分别为15000t/a、5000t/a 和7500t/a），则</w:t>
            </w:r>
            <w:r>
              <w:rPr>
                <w:rFonts w:hint="eastAsia" w:cs="Times New Roman"/>
                <w:bCs/>
                <w:color w:val="auto"/>
                <w:highlight w:val="none"/>
                <w:lang w:val="en-US" w:eastAsia="zh-CN"/>
              </w:rPr>
              <w:t>造粒工序</w:t>
            </w:r>
            <w:r>
              <w:rPr>
                <w:rFonts w:hint="eastAsia" w:cs="Times New Roman"/>
                <w:bCs/>
                <w:color w:val="auto"/>
                <w:szCs w:val="21"/>
                <w:highlight w:val="none"/>
                <w:lang w:val="en-US" w:eastAsia="zh-CN"/>
              </w:rPr>
              <w:t>氨的产生量为5.5t/a，烘干工序氨产生量为2.75t/a。</w:t>
            </w:r>
          </w:p>
          <w:p w14:paraId="2A9FBD7C">
            <w:pPr>
              <w:adjustRightInd w:val="0"/>
              <w:snapToGrid w:val="0"/>
              <w:spacing w:line="360" w:lineRule="auto"/>
              <w:ind w:firstLine="420" w:firstLineChars="200"/>
              <w:rPr>
                <w:rFonts w:hint="default" w:ascii="Times New Roman" w:hAnsi="Times New Roman" w:cs="Times New Roman"/>
                <w:bCs/>
                <w:color w:val="auto"/>
                <w:szCs w:val="21"/>
                <w:highlight w:val="none"/>
                <w:lang w:val="en-US" w:eastAsia="zh-CN"/>
              </w:rPr>
            </w:pPr>
            <w:r>
              <w:rPr>
                <w:rFonts w:hint="eastAsia" w:cs="Times New Roman"/>
                <w:bCs/>
                <w:color w:val="auto"/>
                <w:highlight w:val="none"/>
                <w:lang w:val="en-US" w:eastAsia="zh-CN"/>
              </w:rPr>
              <w:t>造粒和烘干产生氨气的同时伴随着臭气浓度，</w:t>
            </w:r>
            <w:r>
              <w:rPr>
                <w:rFonts w:hint="default" w:ascii="Times New Roman" w:hAnsi="Times New Roman" w:cs="Times New Roman"/>
                <w:bCs/>
                <w:color w:val="auto"/>
                <w:highlight w:val="none"/>
                <w:lang w:eastAsia="zh-CN"/>
              </w:rPr>
              <w:t>经</w:t>
            </w:r>
            <w:r>
              <w:rPr>
                <w:rFonts w:hint="eastAsia" w:cs="Times New Roman"/>
                <w:bCs/>
                <w:color w:val="auto"/>
                <w:highlight w:val="none"/>
                <w:lang w:val="en-US" w:eastAsia="zh-CN"/>
              </w:rPr>
              <w:t>布袋除尘器+水喷淋</w:t>
            </w:r>
            <w:r>
              <w:rPr>
                <w:rFonts w:hint="default" w:ascii="Times New Roman" w:hAnsi="Times New Roman" w:cs="Times New Roman"/>
                <w:bCs/>
                <w:color w:val="auto"/>
                <w:highlight w:val="none"/>
                <w:lang w:val="en-US" w:eastAsia="zh-CN"/>
              </w:rPr>
              <w:t>处理</w:t>
            </w:r>
            <w:r>
              <w:rPr>
                <w:rFonts w:hint="default" w:ascii="Times New Roman" w:hAnsi="Times New Roman" w:cs="Times New Roman"/>
                <w:bCs/>
                <w:color w:val="auto"/>
                <w:highlight w:val="none"/>
              </w:rPr>
              <w:t>后由</w:t>
            </w:r>
            <w:r>
              <w:rPr>
                <w:rFonts w:hint="eastAsia" w:cs="Times New Roman"/>
                <w:bCs/>
                <w:color w:val="auto"/>
                <w:highlight w:val="none"/>
                <w:lang w:eastAsia="zh-CN"/>
              </w:rPr>
              <w:t>一根15m高DA00</w:t>
            </w:r>
            <w:r>
              <w:rPr>
                <w:rFonts w:hint="eastAsia" w:cs="Times New Roman"/>
                <w:bCs/>
                <w:color w:val="auto"/>
                <w:highlight w:val="none"/>
                <w:lang w:val="en-US" w:eastAsia="zh-CN"/>
              </w:rPr>
              <w:t>1</w:t>
            </w:r>
            <w:r>
              <w:rPr>
                <w:rFonts w:hint="eastAsia" w:cs="Times New Roman"/>
                <w:bCs/>
                <w:color w:val="auto"/>
                <w:highlight w:val="none"/>
                <w:lang w:eastAsia="zh-CN"/>
              </w:rPr>
              <w:t>排气筒有组织排放，</w:t>
            </w:r>
            <w:r>
              <w:rPr>
                <w:rFonts w:hint="eastAsia"/>
                <w:highlight w:val="none"/>
              </w:rPr>
              <w:t>臭气浓度</w:t>
            </w:r>
            <w:r>
              <w:rPr>
                <w:rFonts w:hint="eastAsia"/>
                <w:highlight w:val="none"/>
                <w:lang w:val="en-US" w:eastAsia="zh-CN"/>
              </w:rPr>
              <w:t>有组织排放</w:t>
            </w:r>
            <w:r>
              <w:rPr>
                <w:rFonts w:hint="eastAsia" w:cs="Times New Roman"/>
                <w:bCs/>
                <w:color w:val="auto"/>
                <w:szCs w:val="21"/>
                <w:highlight w:val="none"/>
                <w:lang w:val="en-US" w:eastAsia="zh-CN"/>
              </w:rPr>
              <w:t>满足《恶臭污染物排放标准》（GB14554-93）表2恶臭污染物排放标准值（2000（无量纲）、15m排气筒），</w:t>
            </w:r>
            <w:r>
              <w:rPr>
                <w:rFonts w:hint="eastAsia" w:cs="Times New Roman"/>
                <w:bCs/>
                <w:color w:val="auto"/>
                <w:highlight w:val="none"/>
                <w:lang w:val="en-US" w:eastAsia="zh-CN"/>
              </w:rPr>
              <w:t>未被收集的恶臭该部分废气产生量小，通过加强机械通风，在</w:t>
            </w:r>
            <w:r>
              <w:rPr>
                <w:rFonts w:hint="eastAsia" w:cs="Times New Roman"/>
                <w:b w:val="0"/>
                <w:bCs w:val="0"/>
                <w:color w:val="auto"/>
                <w:sz w:val="21"/>
                <w:szCs w:val="18"/>
                <w:highlight w:val="none"/>
                <w:lang w:val="en-US" w:eastAsia="zh-CN"/>
              </w:rPr>
              <w:t>厂区经空气稀释、自然扩散后，臭气浓度无组织排放浓度满足《挥发性有机物排放标准 第 7 部分：其他行业》（DB37/ 2801.7—2019）表2厂界监控点浓度限制（16无量纲）</w:t>
            </w:r>
            <w:r>
              <w:rPr>
                <w:rFonts w:hint="eastAsia" w:cs="Times New Roman"/>
                <w:bCs/>
                <w:color w:val="auto"/>
                <w:szCs w:val="21"/>
                <w:highlight w:val="none"/>
                <w:lang w:val="en-US" w:eastAsia="zh-CN"/>
              </w:rPr>
              <w:t>。</w:t>
            </w:r>
          </w:p>
          <w:p w14:paraId="4F979A35">
            <w:pPr>
              <w:adjustRightInd w:val="0"/>
              <w:snapToGrid w:val="0"/>
              <w:spacing w:line="360" w:lineRule="auto"/>
              <w:ind w:firstLine="420" w:firstLineChars="200"/>
              <w:rPr>
                <w:rFonts w:hint="eastAsia" w:ascii="Times New Roman" w:hAnsi="Times New Roman" w:eastAsia="宋体" w:cs="Times New Roman"/>
                <w:bCs/>
                <w:color w:val="auto"/>
                <w:highlight w:val="none"/>
                <w:lang w:val="en-US" w:eastAsia="zh-CN"/>
              </w:rPr>
            </w:pPr>
            <w:r>
              <w:rPr>
                <w:rFonts w:hint="eastAsia" w:cs="Times New Roman"/>
                <w:bCs/>
                <w:color w:val="auto"/>
                <w:highlight w:val="none"/>
                <w:lang w:val="en-US" w:eastAsia="zh-CN"/>
              </w:rPr>
              <w:t>（3）冷却、精筛、入仓、包膜、包装过程</w:t>
            </w:r>
            <w:r>
              <w:rPr>
                <w:rFonts w:hint="eastAsia" w:cs="Times New Roman"/>
                <w:bCs/>
                <w:color w:val="auto"/>
                <w:highlight w:val="none"/>
                <w:lang w:eastAsia="zh-CN"/>
              </w:rPr>
              <w:t>产生的颗粒物（</w:t>
            </w:r>
            <w:r>
              <w:rPr>
                <w:rFonts w:hint="eastAsia" w:cs="Times New Roman"/>
                <w:bCs/>
                <w:color w:val="auto"/>
                <w:highlight w:val="none"/>
                <w:lang w:val="en-US" w:eastAsia="zh-CN"/>
              </w:rPr>
              <w:t>G11、G12、G13、G14</w:t>
            </w:r>
            <w:r>
              <w:rPr>
                <w:rFonts w:hint="eastAsia" w:cs="Times New Roman"/>
                <w:bCs/>
                <w:color w:val="auto"/>
                <w:highlight w:val="none"/>
                <w:lang w:eastAsia="zh-CN"/>
              </w:rPr>
              <w:t>）</w:t>
            </w:r>
          </w:p>
          <w:p w14:paraId="2CA434C7">
            <w:pPr>
              <w:adjustRightInd w:val="0"/>
              <w:snapToGrid w:val="0"/>
              <w:spacing w:line="360" w:lineRule="auto"/>
              <w:ind w:firstLine="420" w:firstLineChars="200"/>
              <w:rPr>
                <w:rFonts w:hint="eastAsia" w:ascii="Times New Roman" w:hAnsi="Times New Roman" w:eastAsia="宋体" w:cs="Times New Roman"/>
                <w:bCs/>
                <w:color w:val="auto"/>
                <w:highlight w:val="none"/>
                <w:lang w:val="en-US" w:eastAsia="zh-CN"/>
              </w:rPr>
            </w:pPr>
            <w:r>
              <w:rPr>
                <w:rFonts w:hint="eastAsia" w:ascii="Times New Roman" w:hAnsi="Times New Roman" w:eastAsia="宋体" w:cs="Times New Roman"/>
                <w:bCs/>
                <w:color w:val="auto"/>
                <w:sz w:val="21"/>
                <w:szCs w:val="21"/>
                <w:highlight w:val="none"/>
                <w:lang w:val="en-US" w:eastAsia="zh-CN"/>
              </w:rPr>
              <w:t>①</w:t>
            </w:r>
            <w:r>
              <w:rPr>
                <w:rFonts w:hint="default" w:ascii="Times New Roman" w:hAnsi="Times New Roman" w:eastAsia="宋体" w:cs="Times New Roman"/>
                <w:bCs/>
                <w:color w:val="auto"/>
                <w:highlight w:val="none"/>
                <w:lang w:val="en-US" w:eastAsia="zh-CN"/>
              </w:rPr>
              <w:t>冷却</w:t>
            </w:r>
            <w:r>
              <w:rPr>
                <w:rFonts w:hint="eastAsia" w:ascii="Times New Roman" w:hAnsi="Times New Roman" w:eastAsia="宋体" w:cs="Times New Roman"/>
                <w:bCs/>
                <w:color w:val="auto"/>
                <w:highlight w:val="none"/>
                <w:lang w:val="en-US" w:eastAsia="zh-CN"/>
              </w:rPr>
              <w:t>产尘</w:t>
            </w:r>
            <w:r>
              <w:rPr>
                <w:rFonts w:hint="eastAsia" w:cs="Times New Roman"/>
                <w:bCs/>
                <w:color w:val="auto"/>
                <w:highlight w:val="none"/>
                <w:lang w:val="en-US" w:eastAsia="zh-CN"/>
              </w:rPr>
              <w:t>（G11）</w:t>
            </w:r>
            <w:r>
              <w:rPr>
                <w:rFonts w:hint="eastAsia" w:ascii="Times New Roman" w:hAnsi="Times New Roman" w:eastAsia="宋体" w:cs="Times New Roman"/>
                <w:bCs/>
                <w:color w:val="auto"/>
                <w:highlight w:val="none"/>
                <w:lang w:val="en-US" w:eastAsia="zh-CN"/>
              </w:rPr>
              <w:t>：</w:t>
            </w:r>
            <w:r>
              <w:rPr>
                <w:rFonts w:hint="eastAsia" w:cs="Times New Roman"/>
                <w:bCs/>
                <w:color w:val="auto"/>
                <w:highlight w:val="none"/>
                <w:lang w:val="en-US" w:eastAsia="zh-CN"/>
              </w:rPr>
              <w:t>参照</w:t>
            </w:r>
            <w:r>
              <w:rPr>
                <w:rFonts w:hint="default" w:ascii="Times New Roman" w:hAnsi="Times New Roman" w:cs="Times New Roman"/>
                <w:bCs/>
                <w:color w:val="auto"/>
                <w:szCs w:val="21"/>
                <w:highlight w:val="none"/>
              </w:rPr>
              <w:t>《逸散性工业粉尘控制技术》中表</w:t>
            </w:r>
            <w:r>
              <w:rPr>
                <w:rFonts w:hint="eastAsia" w:ascii="Times New Roman" w:hAnsi="Times New Roman" w:cs="Times New Roman"/>
                <w:bCs/>
                <w:color w:val="auto"/>
                <w:szCs w:val="21"/>
                <w:highlight w:val="none"/>
                <w:lang w:val="en-US" w:eastAsia="zh-CN"/>
              </w:rPr>
              <w:t>22</w:t>
            </w:r>
            <w:r>
              <w:rPr>
                <w:rFonts w:hint="default" w:ascii="Times New Roman" w:hAnsi="Times New Roman" w:cs="Times New Roman"/>
                <w:bCs/>
                <w:color w:val="auto"/>
                <w:szCs w:val="21"/>
                <w:highlight w:val="none"/>
              </w:rPr>
              <w:t>-1第</w:t>
            </w:r>
            <w:r>
              <w:rPr>
                <w:rFonts w:hint="eastAsia" w:ascii="Times New Roman" w:hAnsi="Times New Roman" w:cs="Times New Roman"/>
                <w:bCs/>
                <w:color w:val="auto"/>
                <w:szCs w:val="21"/>
                <w:highlight w:val="none"/>
                <w:lang w:val="en-US" w:eastAsia="zh-CN"/>
              </w:rPr>
              <w:t>1</w:t>
            </w:r>
            <w:r>
              <w:rPr>
                <w:rFonts w:hint="default" w:ascii="Times New Roman" w:hAnsi="Times New Roman" w:cs="Times New Roman"/>
                <w:bCs/>
                <w:color w:val="auto"/>
                <w:szCs w:val="21"/>
                <w:highlight w:val="none"/>
              </w:rPr>
              <w:t>条</w:t>
            </w:r>
            <w:r>
              <w:rPr>
                <w:rFonts w:hint="eastAsia" w:ascii="Times New Roman" w:hAnsi="Times New Roman" w:cs="Times New Roman"/>
                <w:bCs/>
                <w:color w:val="auto"/>
                <w:szCs w:val="21"/>
                <w:highlight w:val="none"/>
                <w:lang w:val="en-US" w:eastAsia="zh-CN"/>
              </w:rPr>
              <w:t>风蚀</w:t>
            </w:r>
            <w:r>
              <w:rPr>
                <w:rFonts w:hint="default" w:ascii="Times New Roman" w:hAnsi="Times New Roman" w:cs="Times New Roman"/>
                <w:bCs/>
                <w:color w:val="auto"/>
                <w:szCs w:val="21"/>
                <w:highlight w:val="none"/>
              </w:rPr>
              <w:t>，逸散性粉尘产生量约为0.</w:t>
            </w:r>
            <w:r>
              <w:rPr>
                <w:rFonts w:hint="eastAsia" w:ascii="Times New Roman" w:hAnsi="Times New Roman" w:cs="Times New Roman"/>
                <w:bCs/>
                <w:color w:val="auto"/>
                <w:szCs w:val="21"/>
                <w:highlight w:val="none"/>
                <w:lang w:val="en-US" w:eastAsia="zh-CN"/>
              </w:rPr>
              <w:t>055</w:t>
            </w:r>
            <w:r>
              <w:rPr>
                <w:rFonts w:hint="default" w:ascii="Times New Roman" w:hAnsi="Times New Roman" w:cs="Times New Roman"/>
                <w:bCs/>
                <w:color w:val="auto"/>
                <w:szCs w:val="21"/>
                <w:highlight w:val="none"/>
              </w:rPr>
              <w:t>kg/t（</w:t>
            </w:r>
            <w:r>
              <w:rPr>
                <w:rFonts w:hint="eastAsia" w:ascii="Times New Roman" w:hAnsi="Times New Roman" w:cs="Times New Roman"/>
                <w:bCs/>
                <w:color w:val="auto"/>
                <w:szCs w:val="21"/>
                <w:highlight w:val="none"/>
                <w:lang w:val="en-US" w:eastAsia="zh-CN"/>
              </w:rPr>
              <w:t>贮</w:t>
            </w:r>
            <w:r>
              <w:rPr>
                <w:rFonts w:hint="default" w:ascii="Times New Roman" w:hAnsi="Times New Roman" w:cs="Times New Roman"/>
                <w:bCs/>
                <w:color w:val="auto"/>
                <w:szCs w:val="21"/>
                <w:highlight w:val="none"/>
              </w:rPr>
              <w:t>料）</w:t>
            </w:r>
            <w:r>
              <w:rPr>
                <w:rFonts w:hint="eastAsia" w:ascii="Times New Roman" w:hAnsi="Times New Roman" w:cs="Times New Roman"/>
                <w:bCs/>
                <w:color w:val="auto"/>
                <w:szCs w:val="21"/>
                <w:highlight w:val="none"/>
                <w:lang w:eastAsia="zh-CN"/>
              </w:rPr>
              <w:t>，</w:t>
            </w:r>
            <w:r>
              <w:rPr>
                <w:rFonts w:hint="eastAsia" w:ascii="Times New Roman" w:hAnsi="Times New Roman" w:cs="Times New Roman"/>
                <w:bCs/>
                <w:color w:val="auto"/>
                <w:szCs w:val="21"/>
                <w:highlight w:val="none"/>
                <w:lang w:val="en-US" w:eastAsia="zh-CN"/>
              </w:rPr>
              <w:t>冷却工序产品量为</w:t>
            </w:r>
            <w:r>
              <w:rPr>
                <w:rFonts w:hint="eastAsia" w:cs="Times New Roman"/>
                <w:bCs/>
                <w:color w:val="auto"/>
                <w:szCs w:val="21"/>
                <w:highlight w:val="none"/>
                <w:lang w:val="en-US" w:eastAsia="zh-CN"/>
              </w:rPr>
              <w:t>15</w:t>
            </w:r>
            <w:r>
              <w:rPr>
                <w:rFonts w:hint="eastAsia" w:ascii="Times New Roman" w:hAnsi="Times New Roman" w:cs="Times New Roman"/>
                <w:bCs/>
                <w:color w:val="auto"/>
                <w:szCs w:val="21"/>
                <w:highlight w:val="none"/>
                <w:lang w:val="en-US" w:eastAsia="zh-CN"/>
              </w:rPr>
              <w:t>万t/a，则冷却工序产生的粉尘量为</w:t>
            </w:r>
            <w:r>
              <w:rPr>
                <w:rFonts w:hint="eastAsia" w:cs="Times New Roman"/>
                <w:bCs/>
                <w:color w:val="auto"/>
                <w:szCs w:val="21"/>
                <w:highlight w:val="none"/>
                <w:lang w:val="en-US" w:eastAsia="zh-CN"/>
              </w:rPr>
              <w:t>8.25</w:t>
            </w:r>
            <w:r>
              <w:rPr>
                <w:rFonts w:hint="eastAsia" w:ascii="Times New Roman" w:hAnsi="Times New Roman" w:cs="Times New Roman"/>
                <w:bCs/>
                <w:color w:val="auto"/>
                <w:szCs w:val="21"/>
                <w:highlight w:val="none"/>
                <w:lang w:val="en-US" w:eastAsia="zh-CN"/>
              </w:rPr>
              <w:t>t/a。</w:t>
            </w:r>
          </w:p>
          <w:p w14:paraId="1F8E40A6">
            <w:pPr>
              <w:adjustRightInd w:val="0"/>
              <w:snapToGrid w:val="0"/>
              <w:spacing w:line="360" w:lineRule="auto"/>
              <w:ind w:firstLine="420" w:firstLineChars="200"/>
              <w:rPr>
                <w:rFonts w:hint="default" w:ascii="Times New Roman" w:hAnsi="Times New Roman" w:eastAsia="宋体" w:cs="Times New Roman"/>
                <w:bCs/>
                <w:color w:val="auto"/>
                <w:highlight w:val="none"/>
                <w:lang w:val="en-US" w:eastAsia="zh-CN"/>
              </w:rPr>
            </w:pPr>
            <w:r>
              <w:rPr>
                <w:rFonts w:hint="eastAsia" w:ascii="Times New Roman" w:hAnsi="Times New Roman" w:eastAsia="宋体" w:cs="Times New Roman"/>
                <w:bCs/>
                <w:color w:val="auto"/>
                <w:highlight w:val="none"/>
                <w:lang w:val="en-US" w:eastAsia="zh-CN"/>
              </w:rPr>
              <w:t>②</w:t>
            </w:r>
            <w:r>
              <w:rPr>
                <w:rFonts w:hint="default" w:ascii="Times New Roman" w:hAnsi="Times New Roman" w:eastAsia="宋体" w:cs="Times New Roman"/>
                <w:bCs/>
                <w:color w:val="auto"/>
                <w:highlight w:val="none"/>
                <w:lang w:val="en-US" w:eastAsia="zh-CN"/>
              </w:rPr>
              <w:t>精筛</w:t>
            </w:r>
            <w:r>
              <w:rPr>
                <w:rFonts w:hint="eastAsia" w:ascii="Times New Roman" w:hAnsi="Times New Roman" w:eastAsia="宋体" w:cs="Times New Roman"/>
                <w:bCs/>
                <w:color w:val="auto"/>
                <w:highlight w:val="none"/>
                <w:lang w:val="en-US" w:eastAsia="zh-CN"/>
              </w:rPr>
              <w:t>产尘</w:t>
            </w:r>
            <w:r>
              <w:rPr>
                <w:rFonts w:hint="eastAsia" w:cs="Times New Roman"/>
                <w:bCs/>
                <w:color w:val="auto"/>
                <w:highlight w:val="none"/>
                <w:lang w:val="en-US" w:eastAsia="zh-CN"/>
              </w:rPr>
              <w:t>（G12）</w:t>
            </w:r>
            <w:r>
              <w:rPr>
                <w:rFonts w:hint="eastAsia" w:ascii="Times New Roman" w:hAnsi="Times New Roman" w:eastAsia="宋体" w:cs="Times New Roman"/>
                <w:bCs/>
                <w:color w:val="auto"/>
                <w:highlight w:val="none"/>
                <w:lang w:val="en-US" w:eastAsia="zh-CN"/>
              </w:rPr>
              <w:t>：</w:t>
            </w:r>
            <w:r>
              <w:rPr>
                <w:rFonts w:hint="eastAsia" w:cs="Times New Roman"/>
                <w:bCs/>
                <w:color w:val="auto"/>
                <w:highlight w:val="none"/>
                <w:lang w:val="en-US" w:eastAsia="zh-CN"/>
              </w:rPr>
              <w:t>参照</w:t>
            </w:r>
            <w:r>
              <w:rPr>
                <w:rFonts w:hint="default" w:ascii="Times New Roman" w:hAnsi="Times New Roman" w:cs="Times New Roman"/>
                <w:bCs/>
                <w:color w:val="auto"/>
                <w:szCs w:val="21"/>
                <w:highlight w:val="none"/>
              </w:rPr>
              <w:t>《逸散性工业粉尘控制技术》中表</w:t>
            </w:r>
            <w:r>
              <w:rPr>
                <w:rFonts w:hint="eastAsia" w:ascii="Times New Roman" w:hAnsi="Times New Roman" w:cs="Times New Roman"/>
                <w:bCs/>
                <w:color w:val="auto"/>
                <w:szCs w:val="21"/>
                <w:highlight w:val="none"/>
                <w:lang w:val="en-US" w:eastAsia="zh-CN"/>
              </w:rPr>
              <w:t>18</w:t>
            </w:r>
            <w:r>
              <w:rPr>
                <w:rFonts w:hint="default" w:ascii="Times New Roman" w:hAnsi="Times New Roman" w:cs="Times New Roman"/>
                <w:bCs/>
                <w:color w:val="auto"/>
                <w:szCs w:val="21"/>
                <w:highlight w:val="none"/>
              </w:rPr>
              <w:t>-1第</w:t>
            </w:r>
            <w:r>
              <w:rPr>
                <w:rFonts w:hint="eastAsia" w:ascii="Times New Roman" w:hAnsi="Times New Roman" w:cs="Times New Roman"/>
                <w:bCs/>
                <w:color w:val="auto"/>
                <w:szCs w:val="21"/>
                <w:highlight w:val="none"/>
                <w:lang w:val="en-US" w:eastAsia="zh-CN"/>
              </w:rPr>
              <w:t>3</w:t>
            </w:r>
            <w:r>
              <w:rPr>
                <w:rFonts w:hint="default" w:ascii="Times New Roman" w:hAnsi="Times New Roman" w:cs="Times New Roman"/>
                <w:bCs/>
                <w:color w:val="auto"/>
                <w:szCs w:val="21"/>
                <w:highlight w:val="none"/>
              </w:rPr>
              <w:t>条</w:t>
            </w:r>
            <w:r>
              <w:rPr>
                <w:rFonts w:hint="eastAsia" w:ascii="Times New Roman" w:hAnsi="Times New Roman" w:cs="Times New Roman"/>
                <w:bCs/>
                <w:color w:val="auto"/>
                <w:szCs w:val="21"/>
                <w:highlight w:val="none"/>
                <w:lang w:val="en-US" w:eastAsia="zh-CN"/>
              </w:rPr>
              <w:t>二级筛选</w:t>
            </w:r>
            <w:r>
              <w:rPr>
                <w:rFonts w:hint="default" w:ascii="Times New Roman" w:hAnsi="Times New Roman" w:cs="Times New Roman"/>
                <w:bCs/>
                <w:color w:val="auto"/>
                <w:szCs w:val="21"/>
                <w:highlight w:val="none"/>
              </w:rPr>
              <w:t>，逸散性粉尘产生量约为0.</w:t>
            </w:r>
            <w:r>
              <w:rPr>
                <w:rFonts w:hint="eastAsia" w:ascii="Times New Roman" w:hAnsi="Times New Roman" w:cs="Times New Roman"/>
                <w:bCs/>
                <w:color w:val="auto"/>
                <w:szCs w:val="21"/>
                <w:highlight w:val="none"/>
                <w:lang w:val="en-US" w:eastAsia="zh-CN"/>
              </w:rPr>
              <w:t>05</w:t>
            </w:r>
            <w:r>
              <w:rPr>
                <w:rFonts w:hint="default" w:ascii="Times New Roman" w:hAnsi="Times New Roman" w:cs="Times New Roman"/>
                <w:bCs/>
                <w:color w:val="auto"/>
                <w:szCs w:val="21"/>
                <w:highlight w:val="none"/>
              </w:rPr>
              <w:t>kg/t（</w:t>
            </w:r>
            <w:r>
              <w:rPr>
                <w:rFonts w:hint="eastAsia" w:ascii="Times New Roman" w:hAnsi="Times New Roman" w:cs="Times New Roman"/>
                <w:bCs/>
                <w:color w:val="auto"/>
                <w:szCs w:val="21"/>
                <w:highlight w:val="none"/>
                <w:lang w:val="en-US" w:eastAsia="zh-CN"/>
              </w:rPr>
              <w:t>破碎</w:t>
            </w:r>
            <w:r>
              <w:rPr>
                <w:rFonts w:hint="default" w:ascii="Times New Roman" w:hAnsi="Times New Roman" w:cs="Times New Roman"/>
                <w:bCs/>
                <w:color w:val="auto"/>
                <w:szCs w:val="21"/>
                <w:highlight w:val="none"/>
              </w:rPr>
              <w:t>料）</w:t>
            </w:r>
            <w:r>
              <w:rPr>
                <w:rFonts w:hint="eastAsia" w:ascii="Times New Roman" w:hAnsi="Times New Roman" w:cs="Times New Roman"/>
                <w:bCs/>
                <w:color w:val="auto"/>
                <w:szCs w:val="21"/>
                <w:highlight w:val="none"/>
                <w:lang w:eastAsia="zh-CN"/>
              </w:rPr>
              <w:t>，</w:t>
            </w:r>
            <w:r>
              <w:rPr>
                <w:rFonts w:hint="default" w:ascii="Times New Roman" w:hAnsi="Times New Roman" w:eastAsia="宋体" w:cs="Times New Roman"/>
                <w:bCs/>
                <w:color w:val="auto"/>
                <w:highlight w:val="none"/>
                <w:lang w:val="en-US" w:eastAsia="zh-CN"/>
              </w:rPr>
              <w:t>精筛</w:t>
            </w:r>
            <w:r>
              <w:rPr>
                <w:rFonts w:hint="eastAsia" w:cs="Times New Roman"/>
                <w:bCs/>
                <w:color w:val="auto"/>
                <w:highlight w:val="none"/>
                <w:lang w:val="en-US" w:eastAsia="zh-CN"/>
              </w:rPr>
              <w:t>量为</w:t>
            </w:r>
            <w:r>
              <w:rPr>
                <w:rFonts w:hint="eastAsia" w:cs="Times New Roman"/>
                <w:bCs/>
                <w:color w:val="auto"/>
                <w:szCs w:val="21"/>
                <w:highlight w:val="none"/>
                <w:lang w:val="en-US" w:eastAsia="zh-CN"/>
              </w:rPr>
              <w:t>15</w:t>
            </w:r>
            <w:r>
              <w:rPr>
                <w:rFonts w:hint="eastAsia" w:ascii="Times New Roman" w:hAnsi="Times New Roman" w:cs="Times New Roman"/>
                <w:bCs/>
                <w:color w:val="auto"/>
                <w:szCs w:val="21"/>
                <w:highlight w:val="none"/>
                <w:lang w:val="en-US" w:eastAsia="zh-CN"/>
              </w:rPr>
              <w:t>万t/a，</w:t>
            </w:r>
            <w:r>
              <w:rPr>
                <w:rFonts w:hint="eastAsia" w:cs="Times New Roman"/>
                <w:bCs/>
                <w:color w:val="auto"/>
                <w:szCs w:val="21"/>
                <w:highlight w:val="none"/>
                <w:lang w:val="en-US" w:eastAsia="zh-CN"/>
              </w:rPr>
              <w:t>则</w:t>
            </w:r>
            <w:r>
              <w:rPr>
                <w:rFonts w:hint="default" w:ascii="Times New Roman" w:hAnsi="Times New Roman" w:eastAsia="宋体" w:cs="Times New Roman"/>
                <w:bCs/>
                <w:color w:val="auto"/>
                <w:highlight w:val="none"/>
                <w:lang w:val="en-US" w:eastAsia="zh-CN"/>
              </w:rPr>
              <w:t>精筛</w:t>
            </w:r>
            <w:r>
              <w:rPr>
                <w:rFonts w:hint="default" w:ascii="Times New Roman" w:hAnsi="Times New Roman" w:cs="Times New Roman"/>
                <w:bCs/>
                <w:color w:val="auto"/>
                <w:szCs w:val="21"/>
                <w:highlight w:val="none"/>
              </w:rPr>
              <w:t>工序产生的粉尘为</w:t>
            </w:r>
            <w:r>
              <w:rPr>
                <w:rFonts w:hint="eastAsia" w:cs="Times New Roman"/>
                <w:bCs/>
                <w:color w:val="auto"/>
                <w:szCs w:val="21"/>
                <w:highlight w:val="none"/>
                <w:lang w:val="en-US" w:eastAsia="zh-CN"/>
              </w:rPr>
              <w:t>7.5</w:t>
            </w:r>
            <w:r>
              <w:rPr>
                <w:rFonts w:hint="eastAsia" w:ascii="Times New Roman" w:hAnsi="Times New Roman" w:cs="Times New Roman"/>
                <w:bCs/>
                <w:color w:val="auto"/>
                <w:szCs w:val="21"/>
                <w:highlight w:val="none"/>
                <w:lang w:val="en-US" w:eastAsia="zh-CN"/>
              </w:rPr>
              <w:t>t/a。</w:t>
            </w:r>
          </w:p>
          <w:p w14:paraId="3CAF1753">
            <w:pPr>
              <w:adjustRightInd w:val="0"/>
              <w:snapToGrid w:val="0"/>
              <w:spacing w:line="360" w:lineRule="auto"/>
              <w:ind w:firstLine="420" w:firstLineChars="200"/>
              <w:rPr>
                <w:rFonts w:hint="default" w:ascii="Times New Roman" w:hAnsi="Times New Roman" w:eastAsia="宋体" w:cs="Times New Roman"/>
                <w:bCs/>
                <w:color w:val="auto"/>
                <w:highlight w:val="none"/>
                <w:lang w:val="en-US" w:eastAsia="zh-CN"/>
              </w:rPr>
            </w:pPr>
            <w:r>
              <w:rPr>
                <w:rFonts w:hint="eastAsia" w:ascii="宋体" w:hAnsi="宋体" w:eastAsia="宋体" w:cs="宋体"/>
                <w:bCs/>
                <w:color w:val="auto"/>
                <w:highlight w:val="none"/>
                <w:lang w:val="en-US" w:eastAsia="zh-CN"/>
              </w:rPr>
              <w:t>③</w:t>
            </w:r>
            <w:r>
              <w:rPr>
                <w:rFonts w:hint="default" w:ascii="Times New Roman" w:hAnsi="Times New Roman" w:eastAsia="宋体" w:cs="Times New Roman"/>
                <w:bCs/>
                <w:color w:val="auto"/>
                <w:highlight w:val="none"/>
                <w:lang w:val="en-US" w:eastAsia="zh-CN"/>
              </w:rPr>
              <w:t>入仓</w:t>
            </w:r>
            <w:r>
              <w:rPr>
                <w:rFonts w:hint="eastAsia" w:ascii="Times New Roman" w:hAnsi="Times New Roman" w:eastAsia="宋体" w:cs="Times New Roman"/>
                <w:bCs/>
                <w:color w:val="auto"/>
                <w:highlight w:val="none"/>
                <w:lang w:val="en-US" w:eastAsia="zh-CN"/>
              </w:rPr>
              <w:t>产尘</w:t>
            </w:r>
            <w:r>
              <w:rPr>
                <w:rFonts w:hint="eastAsia" w:cs="Times New Roman"/>
                <w:bCs/>
                <w:color w:val="auto"/>
                <w:highlight w:val="none"/>
                <w:lang w:val="en-US" w:eastAsia="zh-CN"/>
              </w:rPr>
              <w:t>（G13）</w:t>
            </w:r>
            <w:r>
              <w:rPr>
                <w:rFonts w:hint="eastAsia" w:ascii="Times New Roman" w:hAnsi="Times New Roman" w:eastAsia="宋体" w:cs="Times New Roman"/>
                <w:bCs/>
                <w:color w:val="auto"/>
                <w:highlight w:val="none"/>
                <w:lang w:val="en-US" w:eastAsia="zh-CN"/>
              </w:rPr>
              <w:t>：</w:t>
            </w:r>
            <w:r>
              <w:rPr>
                <w:rFonts w:hint="default" w:ascii="Times New Roman" w:hAnsi="Times New Roman" w:cs="Times New Roman"/>
                <w:bCs/>
                <w:color w:val="auto"/>
                <w:szCs w:val="21"/>
                <w:highlight w:val="none"/>
              </w:rPr>
              <w:t>参照《逸散性工业粉尘控制技术》中表22-1第</w:t>
            </w:r>
            <w:r>
              <w:rPr>
                <w:rFonts w:hint="eastAsia" w:ascii="Times New Roman" w:hAnsi="Times New Roman" w:cs="Times New Roman"/>
                <w:bCs/>
                <w:color w:val="auto"/>
                <w:szCs w:val="21"/>
                <w:highlight w:val="none"/>
                <w:lang w:val="en-US" w:eastAsia="zh-CN"/>
              </w:rPr>
              <w:t>2</w:t>
            </w:r>
            <w:r>
              <w:rPr>
                <w:rFonts w:hint="default" w:ascii="Times New Roman" w:hAnsi="Times New Roman" w:cs="Times New Roman"/>
                <w:bCs/>
                <w:color w:val="auto"/>
                <w:szCs w:val="21"/>
                <w:highlight w:val="none"/>
              </w:rPr>
              <w:t>条，逸散性粉尘产生量约为0.02kg/t（</w:t>
            </w:r>
            <w:r>
              <w:rPr>
                <w:rFonts w:hint="eastAsia" w:ascii="Times New Roman" w:hAnsi="Times New Roman" w:cs="Times New Roman"/>
                <w:bCs/>
                <w:color w:val="auto"/>
                <w:szCs w:val="21"/>
                <w:highlight w:val="none"/>
                <w:lang w:val="en-US" w:eastAsia="zh-CN"/>
              </w:rPr>
              <w:t>搬运</w:t>
            </w:r>
            <w:r>
              <w:rPr>
                <w:rFonts w:hint="default" w:ascii="Times New Roman" w:hAnsi="Times New Roman" w:cs="Times New Roman"/>
                <w:bCs/>
                <w:color w:val="auto"/>
                <w:szCs w:val="21"/>
                <w:highlight w:val="none"/>
              </w:rPr>
              <w:t>料）</w:t>
            </w:r>
            <w:r>
              <w:rPr>
                <w:rFonts w:hint="eastAsia" w:ascii="Times New Roman" w:hAnsi="Times New Roman" w:cs="Times New Roman"/>
                <w:bCs/>
                <w:color w:val="auto"/>
                <w:szCs w:val="21"/>
                <w:highlight w:val="none"/>
                <w:lang w:eastAsia="zh-CN"/>
              </w:rPr>
              <w:t>，</w:t>
            </w:r>
            <w:r>
              <w:rPr>
                <w:rFonts w:hint="eastAsia" w:ascii="Times New Roman" w:hAnsi="Times New Roman" w:cs="Times New Roman"/>
                <w:bCs/>
                <w:color w:val="auto"/>
                <w:szCs w:val="21"/>
                <w:highlight w:val="none"/>
                <w:lang w:val="en-US" w:eastAsia="zh-CN"/>
              </w:rPr>
              <w:t>产品量为</w:t>
            </w:r>
            <w:r>
              <w:rPr>
                <w:rFonts w:hint="eastAsia" w:cs="Times New Roman"/>
                <w:bCs/>
                <w:color w:val="auto"/>
                <w:szCs w:val="21"/>
                <w:highlight w:val="none"/>
                <w:lang w:val="en-US" w:eastAsia="zh-CN"/>
              </w:rPr>
              <w:t>15</w:t>
            </w:r>
            <w:r>
              <w:rPr>
                <w:rFonts w:hint="eastAsia" w:ascii="Times New Roman" w:hAnsi="Times New Roman" w:cs="Times New Roman"/>
                <w:bCs/>
                <w:color w:val="auto"/>
                <w:szCs w:val="21"/>
                <w:highlight w:val="none"/>
                <w:lang w:val="en-US" w:eastAsia="zh-CN"/>
              </w:rPr>
              <w:t>万t/a，则入仓工序产生的粉尘量为</w:t>
            </w:r>
            <w:r>
              <w:rPr>
                <w:rFonts w:hint="eastAsia" w:cs="Times New Roman"/>
                <w:bCs/>
                <w:color w:val="auto"/>
                <w:szCs w:val="21"/>
                <w:highlight w:val="none"/>
                <w:lang w:val="en-US" w:eastAsia="zh-CN"/>
              </w:rPr>
              <w:t>3</w:t>
            </w:r>
            <w:r>
              <w:rPr>
                <w:rFonts w:hint="eastAsia" w:ascii="Times New Roman" w:hAnsi="Times New Roman" w:cs="Times New Roman"/>
                <w:bCs/>
                <w:color w:val="auto"/>
                <w:szCs w:val="21"/>
                <w:highlight w:val="none"/>
                <w:lang w:val="en-US" w:eastAsia="zh-CN"/>
              </w:rPr>
              <w:t>t/a。</w:t>
            </w:r>
          </w:p>
          <w:p w14:paraId="27A158E5">
            <w:pPr>
              <w:adjustRightInd w:val="0"/>
              <w:snapToGrid w:val="0"/>
              <w:spacing w:line="360" w:lineRule="auto"/>
              <w:ind w:firstLine="420" w:firstLineChars="200"/>
              <w:rPr>
                <w:rFonts w:hint="default" w:ascii="Times New Roman" w:hAnsi="Times New Roman" w:eastAsia="宋体" w:cs="Times New Roman"/>
                <w:bCs/>
                <w:color w:val="auto"/>
                <w:highlight w:val="none"/>
                <w:lang w:val="en-US" w:eastAsia="zh-CN"/>
              </w:rPr>
            </w:pPr>
            <w:r>
              <w:rPr>
                <w:rFonts w:hint="eastAsia" w:ascii="Times New Roman" w:hAnsi="Times New Roman" w:eastAsia="宋体" w:cs="Times New Roman"/>
                <w:bCs/>
                <w:color w:val="auto"/>
                <w:highlight w:val="none"/>
                <w:lang w:val="en-US" w:eastAsia="zh-CN"/>
              </w:rPr>
              <w:t>④</w:t>
            </w:r>
            <w:r>
              <w:rPr>
                <w:rFonts w:hint="eastAsia" w:cs="Times New Roman"/>
                <w:bCs/>
                <w:color w:val="auto"/>
                <w:highlight w:val="none"/>
                <w:lang w:val="en-US" w:eastAsia="zh-CN"/>
              </w:rPr>
              <w:t>包膜和</w:t>
            </w:r>
            <w:r>
              <w:rPr>
                <w:rFonts w:hint="default" w:ascii="Times New Roman" w:hAnsi="Times New Roman" w:eastAsia="宋体" w:cs="Times New Roman"/>
                <w:bCs/>
                <w:color w:val="auto"/>
                <w:highlight w:val="none"/>
                <w:lang w:val="en-US" w:eastAsia="zh-CN"/>
              </w:rPr>
              <w:t>包装</w:t>
            </w:r>
            <w:r>
              <w:rPr>
                <w:rFonts w:hint="eastAsia" w:ascii="Times New Roman" w:hAnsi="Times New Roman" w:eastAsia="宋体" w:cs="Times New Roman"/>
                <w:bCs/>
                <w:color w:val="auto"/>
                <w:highlight w:val="none"/>
                <w:lang w:val="en-US" w:eastAsia="zh-CN"/>
              </w:rPr>
              <w:t>产尘</w:t>
            </w:r>
            <w:r>
              <w:rPr>
                <w:rFonts w:hint="eastAsia" w:cs="Times New Roman"/>
                <w:bCs/>
                <w:color w:val="auto"/>
                <w:highlight w:val="none"/>
                <w:lang w:val="en-US" w:eastAsia="zh-CN"/>
              </w:rPr>
              <w:t>（G14）</w:t>
            </w:r>
            <w:r>
              <w:rPr>
                <w:rFonts w:hint="eastAsia" w:ascii="Times New Roman" w:hAnsi="Times New Roman" w:eastAsia="宋体" w:cs="Times New Roman"/>
                <w:bCs/>
                <w:color w:val="auto"/>
                <w:highlight w:val="none"/>
                <w:lang w:val="en-US" w:eastAsia="zh-CN"/>
              </w:rPr>
              <w:t>：</w:t>
            </w:r>
            <w:r>
              <w:rPr>
                <w:rFonts w:hint="default" w:ascii="Times New Roman" w:hAnsi="Times New Roman" w:cs="Times New Roman"/>
                <w:bCs/>
                <w:color w:val="auto"/>
                <w:szCs w:val="21"/>
                <w:highlight w:val="none"/>
              </w:rPr>
              <w:t>参照《逸散性工业粉尘控制技术》中表22-1第1条，逸散性粉尘产生量约为0.025kg/t（出料），</w:t>
            </w:r>
            <w:r>
              <w:rPr>
                <w:rFonts w:hint="default" w:ascii="Times New Roman" w:hAnsi="Times New Roman" w:cs="Times New Roman"/>
                <w:bCs/>
                <w:color w:val="auto"/>
                <w:highlight w:val="none"/>
                <w:lang w:val="en-US" w:eastAsia="zh-CN"/>
              </w:rPr>
              <w:t>包装</w:t>
            </w:r>
            <w:r>
              <w:rPr>
                <w:rFonts w:hint="default" w:ascii="Times New Roman" w:hAnsi="Times New Roman" w:cs="Times New Roman"/>
                <w:bCs/>
                <w:color w:val="auto"/>
                <w:szCs w:val="21"/>
                <w:highlight w:val="none"/>
              </w:rPr>
              <w:t>产品约为</w:t>
            </w:r>
            <w:r>
              <w:rPr>
                <w:rFonts w:hint="eastAsia" w:cs="Times New Roman"/>
                <w:bCs/>
                <w:color w:val="auto"/>
                <w:szCs w:val="21"/>
                <w:highlight w:val="none"/>
                <w:lang w:val="en-US" w:eastAsia="zh-CN"/>
              </w:rPr>
              <w:t>15</w:t>
            </w:r>
            <w:r>
              <w:rPr>
                <w:rFonts w:hint="eastAsia" w:ascii="Times New Roman" w:hAnsi="Times New Roman" w:cs="Times New Roman"/>
                <w:bCs/>
                <w:color w:val="auto"/>
                <w:szCs w:val="21"/>
                <w:highlight w:val="none"/>
                <w:lang w:val="en-US" w:eastAsia="zh-CN"/>
              </w:rPr>
              <w:t>万t/a</w:t>
            </w:r>
            <w:r>
              <w:rPr>
                <w:rFonts w:hint="default" w:ascii="Times New Roman" w:hAnsi="Times New Roman" w:cs="Times New Roman"/>
                <w:bCs/>
                <w:color w:val="auto"/>
                <w:szCs w:val="21"/>
                <w:highlight w:val="none"/>
              </w:rPr>
              <w:t>，则</w:t>
            </w:r>
            <w:r>
              <w:rPr>
                <w:rFonts w:hint="eastAsia" w:cs="Times New Roman"/>
                <w:bCs/>
                <w:color w:val="auto"/>
                <w:highlight w:val="none"/>
                <w:lang w:val="en-US" w:eastAsia="zh-CN"/>
              </w:rPr>
              <w:t>包膜和</w:t>
            </w:r>
            <w:r>
              <w:rPr>
                <w:rFonts w:hint="default" w:ascii="Times New Roman" w:hAnsi="Times New Roman" w:cs="Times New Roman"/>
                <w:bCs/>
                <w:color w:val="auto"/>
                <w:highlight w:val="none"/>
                <w:lang w:val="en-US" w:eastAsia="zh-CN"/>
              </w:rPr>
              <w:t>包装</w:t>
            </w:r>
            <w:r>
              <w:rPr>
                <w:rFonts w:hint="default" w:ascii="Times New Roman" w:hAnsi="Times New Roman" w:cs="Times New Roman"/>
                <w:bCs/>
                <w:color w:val="auto"/>
                <w:highlight w:val="none"/>
              </w:rPr>
              <w:t>工序</w:t>
            </w:r>
            <w:r>
              <w:rPr>
                <w:rFonts w:hint="default" w:ascii="Times New Roman" w:hAnsi="Times New Roman" w:cs="Times New Roman"/>
                <w:bCs/>
                <w:color w:val="auto"/>
                <w:szCs w:val="21"/>
                <w:highlight w:val="none"/>
              </w:rPr>
              <w:t>产生的粉尘为</w:t>
            </w:r>
            <w:r>
              <w:rPr>
                <w:rFonts w:hint="eastAsia" w:cs="Times New Roman"/>
                <w:bCs/>
                <w:color w:val="auto"/>
                <w:szCs w:val="21"/>
                <w:highlight w:val="none"/>
                <w:lang w:val="en-US" w:eastAsia="zh-CN"/>
              </w:rPr>
              <w:t>3.75</w:t>
            </w:r>
            <w:r>
              <w:rPr>
                <w:rFonts w:hint="default" w:ascii="Times New Roman" w:hAnsi="Times New Roman" w:cs="Times New Roman"/>
                <w:bCs/>
                <w:color w:val="auto"/>
                <w:szCs w:val="21"/>
                <w:highlight w:val="none"/>
              </w:rPr>
              <w:t>t/a</w:t>
            </w:r>
            <w:r>
              <w:rPr>
                <w:rFonts w:hint="default" w:ascii="Times New Roman" w:hAnsi="Times New Roman" w:cs="Times New Roman"/>
                <w:bCs/>
                <w:color w:val="auto"/>
                <w:szCs w:val="21"/>
                <w:highlight w:val="none"/>
                <w:lang w:eastAsia="zh-CN"/>
              </w:rPr>
              <w:t>。</w:t>
            </w:r>
          </w:p>
          <w:p w14:paraId="3F5E1E3F">
            <w:pPr>
              <w:adjustRightInd w:val="0"/>
              <w:snapToGrid w:val="0"/>
              <w:spacing w:line="360" w:lineRule="auto"/>
              <w:ind w:firstLine="420" w:firstLineChars="200"/>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val="en-US" w:eastAsia="zh-CN"/>
              </w:rPr>
              <w:t>综上所述，</w:t>
            </w:r>
            <w:r>
              <w:rPr>
                <w:rFonts w:hint="eastAsia" w:cs="Times New Roman"/>
                <w:bCs/>
                <w:color w:val="auto"/>
                <w:highlight w:val="none"/>
                <w:lang w:val="en-US" w:eastAsia="zh-CN"/>
              </w:rPr>
              <w:t>冷却、精筛、入仓、包膜、包装过程</w:t>
            </w:r>
            <w:r>
              <w:rPr>
                <w:rFonts w:hint="default" w:ascii="Times New Roman" w:hAnsi="Times New Roman" w:cs="Times New Roman"/>
                <w:bCs/>
                <w:color w:val="auto"/>
                <w:highlight w:val="none"/>
                <w:lang w:val="en-US" w:eastAsia="zh-CN"/>
              </w:rPr>
              <w:t>产生的颗粒物量为</w:t>
            </w:r>
            <w:r>
              <w:rPr>
                <w:rFonts w:hint="eastAsia" w:cs="Times New Roman"/>
                <w:bCs/>
                <w:color w:val="auto"/>
                <w:highlight w:val="none"/>
                <w:lang w:val="en-US" w:eastAsia="zh-CN"/>
              </w:rPr>
              <w:t>22.5</w:t>
            </w:r>
            <w:r>
              <w:rPr>
                <w:rFonts w:hint="default" w:ascii="Times New Roman" w:hAnsi="Times New Roman" w:cs="Times New Roman"/>
                <w:bCs/>
                <w:color w:val="auto"/>
                <w:szCs w:val="21"/>
                <w:highlight w:val="none"/>
                <w:lang w:val="en-US" w:eastAsia="zh-CN"/>
              </w:rPr>
              <w:t>t/a。</w:t>
            </w:r>
          </w:p>
          <w:p w14:paraId="249B1DEA">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r>
              <w:rPr>
                <w:rFonts w:hint="eastAsia" w:cs="Times New Roman"/>
                <w:bCs/>
                <w:color w:val="auto"/>
                <w:sz w:val="21"/>
                <w:szCs w:val="21"/>
                <w:highlight w:val="none"/>
                <w:lang w:val="en-US" w:eastAsia="zh-CN"/>
              </w:rPr>
              <w:t>4</w:t>
            </w:r>
            <w:r>
              <w:rPr>
                <w:rFonts w:hint="default" w:ascii="Times New Roman" w:hAnsi="Times New Roman" w:cs="Times New Roman"/>
                <w:bCs/>
                <w:color w:val="auto"/>
                <w:sz w:val="21"/>
                <w:szCs w:val="21"/>
                <w:highlight w:val="none"/>
                <w:lang w:val="en-US" w:eastAsia="zh-CN"/>
              </w:rPr>
              <w:t>）卸料、</w:t>
            </w:r>
            <w:r>
              <w:rPr>
                <w:rFonts w:hint="eastAsia" w:ascii="Times New Roman" w:hAnsi="Times New Roman" w:cs="Times New Roman"/>
                <w:bCs/>
                <w:color w:val="auto"/>
                <w:sz w:val="21"/>
                <w:szCs w:val="21"/>
                <w:highlight w:val="none"/>
                <w:lang w:val="en-US" w:eastAsia="zh-CN"/>
              </w:rPr>
              <w:t>堆存</w:t>
            </w:r>
            <w:r>
              <w:rPr>
                <w:rFonts w:hint="default" w:ascii="Times New Roman" w:hAnsi="Times New Roman" w:cs="Times New Roman"/>
                <w:bCs/>
                <w:color w:val="auto"/>
                <w:sz w:val="21"/>
                <w:szCs w:val="21"/>
                <w:highlight w:val="none"/>
                <w:lang w:val="en-US" w:eastAsia="zh-CN"/>
              </w:rPr>
              <w:t>过程</w:t>
            </w:r>
            <w:r>
              <w:rPr>
                <w:rFonts w:hint="default" w:ascii="Times New Roman" w:hAnsi="Times New Roman" w:cs="Times New Roman"/>
                <w:bCs/>
                <w:color w:val="auto"/>
                <w:sz w:val="21"/>
                <w:szCs w:val="21"/>
                <w:highlight w:val="none"/>
              </w:rPr>
              <w:t>产生的</w:t>
            </w:r>
            <w:r>
              <w:rPr>
                <w:rFonts w:hint="default" w:ascii="Times New Roman" w:hAnsi="Times New Roman" w:cs="Times New Roman"/>
                <w:bCs/>
                <w:color w:val="auto"/>
                <w:sz w:val="21"/>
                <w:szCs w:val="21"/>
                <w:highlight w:val="none"/>
                <w:lang w:val="en-US" w:eastAsia="zh-CN"/>
              </w:rPr>
              <w:t>粉尘</w:t>
            </w:r>
            <w:r>
              <w:rPr>
                <w:rFonts w:hint="eastAsia" w:ascii="Times New Roman" w:hAnsi="Times New Roman" w:cs="Times New Roman"/>
                <w:bCs/>
                <w:color w:val="auto"/>
                <w:sz w:val="21"/>
                <w:szCs w:val="21"/>
                <w:highlight w:val="none"/>
                <w:lang w:val="en-US" w:eastAsia="zh-CN"/>
              </w:rPr>
              <w:t>、氨气</w:t>
            </w:r>
            <w:r>
              <w:rPr>
                <w:rFonts w:hint="eastAsia" w:cs="Times New Roman"/>
                <w:bCs/>
                <w:color w:val="auto"/>
                <w:sz w:val="21"/>
                <w:szCs w:val="21"/>
                <w:highlight w:val="none"/>
                <w:lang w:val="en-US" w:eastAsia="zh-CN"/>
              </w:rPr>
              <w:t>、臭气浓度</w:t>
            </w:r>
            <w:r>
              <w:rPr>
                <w:rFonts w:hint="eastAsia" w:ascii="Times New Roman" w:hAnsi="Times New Roman" w:cs="Times New Roman"/>
                <w:bCs/>
                <w:color w:val="auto"/>
                <w:sz w:val="21"/>
                <w:szCs w:val="21"/>
                <w:highlight w:val="none"/>
                <w:lang w:val="en-US" w:eastAsia="zh-CN"/>
              </w:rPr>
              <w:t>（G1</w:t>
            </w:r>
            <w:r>
              <w:rPr>
                <w:rFonts w:hint="eastAsia" w:cs="Times New Roman"/>
                <w:bCs/>
                <w:color w:val="auto"/>
                <w:sz w:val="21"/>
                <w:szCs w:val="21"/>
                <w:highlight w:val="none"/>
                <w:lang w:val="en-US" w:eastAsia="zh-CN"/>
              </w:rPr>
              <w:t>5</w:t>
            </w:r>
            <w:r>
              <w:rPr>
                <w:rFonts w:hint="eastAsia" w:ascii="Times New Roman" w:hAnsi="Times New Roman" w:cs="Times New Roman"/>
                <w:bCs/>
                <w:color w:val="auto"/>
                <w:sz w:val="21"/>
                <w:szCs w:val="21"/>
                <w:highlight w:val="none"/>
                <w:lang w:val="en-US" w:eastAsia="zh-CN"/>
              </w:rPr>
              <w:t>）</w:t>
            </w:r>
          </w:p>
          <w:p w14:paraId="52DCB3CC">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eastAsia="TimesNewRomanPSMT" w:cs="Times New Roman"/>
                <w:bCs/>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10万吨的硫酸铵原料为散装堆存在原料仓库，</w:t>
            </w:r>
            <w:r>
              <w:rPr>
                <w:rFonts w:hint="default" w:ascii="Times New Roman" w:hAnsi="Times New Roman" w:cs="Times New Roman"/>
                <w:b w:val="0"/>
                <w:bCs w:val="0"/>
                <w:color w:val="auto"/>
                <w:sz w:val="21"/>
                <w:szCs w:val="21"/>
                <w:highlight w:val="none"/>
                <w:lang w:val="en-US" w:eastAsia="zh-CN"/>
              </w:rPr>
              <w:t>在</w:t>
            </w:r>
            <w:r>
              <w:rPr>
                <w:rFonts w:hint="default" w:ascii="Times New Roman" w:hAnsi="Times New Roman" w:eastAsia="宋体" w:cs="Times New Roman"/>
                <w:b w:val="0"/>
                <w:i w:val="0"/>
                <w:color w:val="auto"/>
                <w:kern w:val="0"/>
                <w:sz w:val="21"/>
                <w:szCs w:val="21"/>
                <w:highlight w:val="none"/>
                <w:lang w:eastAsia="en-US"/>
              </w:rPr>
              <w:t>卸料、</w:t>
            </w:r>
            <w:r>
              <w:rPr>
                <w:rFonts w:hint="eastAsia" w:ascii="Times New Roman" w:hAnsi="Times New Roman" w:cs="Times New Roman"/>
                <w:bCs/>
                <w:color w:val="auto"/>
                <w:sz w:val="21"/>
                <w:szCs w:val="21"/>
                <w:highlight w:val="none"/>
                <w:lang w:val="en-US" w:eastAsia="zh-CN"/>
              </w:rPr>
              <w:t>堆存</w:t>
            </w:r>
            <w:r>
              <w:rPr>
                <w:rFonts w:hint="default" w:ascii="Times New Roman" w:hAnsi="Times New Roman" w:eastAsia="宋体" w:cs="Times New Roman"/>
                <w:b w:val="0"/>
                <w:i w:val="0"/>
                <w:color w:val="auto"/>
                <w:kern w:val="0"/>
                <w:sz w:val="21"/>
                <w:szCs w:val="21"/>
                <w:highlight w:val="none"/>
                <w:lang w:eastAsia="en-US"/>
              </w:rPr>
              <w:t>会产生</w:t>
            </w:r>
            <w:r>
              <w:rPr>
                <w:rFonts w:hint="default" w:ascii="Times New Roman" w:hAnsi="Times New Roman" w:eastAsia="宋体" w:cs="Times New Roman"/>
                <w:b w:val="0"/>
                <w:i w:val="0"/>
                <w:color w:val="auto"/>
                <w:kern w:val="0"/>
                <w:sz w:val="21"/>
                <w:szCs w:val="21"/>
                <w:highlight w:val="none"/>
                <w:lang w:val="en-US" w:eastAsia="zh-CN"/>
              </w:rPr>
              <w:t>少量</w:t>
            </w:r>
            <w:r>
              <w:rPr>
                <w:rFonts w:hint="default" w:ascii="Times New Roman" w:hAnsi="Times New Roman" w:eastAsia="宋体" w:cs="Times New Roman"/>
                <w:b w:val="0"/>
                <w:i w:val="0"/>
                <w:color w:val="auto"/>
                <w:kern w:val="0"/>
                <w:sz w:val="21"/>
                <w:szCs w:val="21"/>
                <w:highlight w:val="none"/>
                <w:lang w:eastAsia="en-US"/>
              </w:rPr>
              <w:t>的粉尘。</w:t>
            </w:r>
            <w:r>
              <w:rPr>
                <w:rFonts w:hint="eastAsia" w:cs="Times New Roman"/>
                <w:b w:val="0"/>
                <w:i w:val="0"/>
                <w:color w:val="auto"/>
                <w:kern w:val="0"/>
                <w:sz w:val="21"/>
                <w:szCs w:val="21"/>
                <w:highlight w:val="none"/>
                <w:lang w:eastAsia="zh-CN"/>
              </w:rPr>
              <w:t>一期项目</w:t>
            </w:r>
            <w:r>
              <w:rPr>
                <w:rFonts w:hint="default" w:ascii="Times New Roman" w:hAnsi="Times New Roman" w:cs="Times New Roman"/>
                <w:bCs/>
                <w:color w:val="auto"/>
                <w:sz w:val="21"/>
                <w:szCs w:val="21"/>
                <w:highlight w:val="none"/>
                <w:lang w:val="en-US" w:eastAsia="zh-CN"/>
              </w:rPr>
              <w:t>卸料、</w:t>
            </w:r>
            <w:r>
              <w:rPr>
                <w:rFonts w:hint="eastAsia" w:ascii="Times New Roman" w:hAnsi="Times New Roman" w:cs="Times New Roman"/>
                <w:bCs/>
                <w:color w:val="auto"/>
                <w:sz w:val="21"/>
                <w:szCs w:val="21"/>
                <w:highlight w:val="none"/>
                <w:lang w:val="en-US" w:eastAsia="zh-CN"/>
              </w:rPr>
              <w:t>堆存</w:t>
            </w:r>
            <w:r>
              <w:rPr>
                <w:rFonts w:hint="default" w:ascii="Times New Roman" w:hAnsi="Times New Roman" w:cs="Times New Roman"/>
                <w:bCs/>
                <w:color w:val="auto"/>
                <w:sz w:val="21"/>
                <w:szCs w:val="21"/>
                <w:highlight w:val="none"/>
                <w:lang w:val="en-US" w:eastAsia="zh-CN"/>
              </w:rPr>
              <w:t>过程</w:t>
            </w:r>
            <w:r>
              <w:rPr>
                <w:rFonts w:hint="default" w:ascii="Times New Roman" w:hAnsi="Times New Roman" w:cs="Times New Roman"/>
                <w:b w:val="0"/>
                <w:bCs w:val="0"/>
                <w:color w:val="auto"/>
                <w:kern w:val="0"/>
                <w:sz w:val="21"/>
                <w:szCs w:val="21"/>
                <w:highlight w:val="none"/>
                <w:lang w:eastAsia="zh-CN"/>
              </w:rPr>
              <w:t>产尘量按</w:t>
            </w:r>
            <w:r>
              <w:rPr>
                <w:rFonts w:hint="default" w:ascii="Times New Roman" w:hAnsi="Times New Roman" w:cs="Times New Roman"/>
                <w:color w:val="auto"/>
                <w:sz w:val="21"/>
                <w:szCs w:val="21"/>
                <w:highlight w:val="none"/>
              </w:rPr>
              <w:t>参照《逸散性工业粉尘控制技术》中表</w:t>
            </w:r>
            <w:r>
              <w:rPr>
                <w:rFonts w:hint="default" w:ascii="Times New Roman" w:hAnsi="Times New Roman" w:cs="Times New Roman"/>
                <w:color w:val="auto"/>
                <w:sz w:val="21"/>
                <w:szCs w:val="21"/>
                <w:highlight w:val="none"/>
                <w:lang w:val="en-US" w:eastAsia="zh-CN"/>
              </w:rPr>
              <w:t>18-1</w:t>
            </w:r>
            <w:r>
              <w:rPr>
                <w:rFonts w:hint="default" w:ascii="Times New Roman" w:hAnsi="Times New Roman" w:cs="Times New Roman"/>
                <w:color w:val="auto"/>
                <w:sz w:val="21"/>
                <w:szCs w:val="21"/>
                <w:highlight w:val="none"/>
              </w:rPr>
              <w:t>第</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条，逸散性粉尘产生量约为</w:t>
            </w:r>
            <w:r>
              <w:rPr>
                <w:rFonts w:hint="default" w:ascii="Times New Roman" w:hAnsi="Times New Roman" w:cs="Times New Roman"/>
                <w:color w:val="auto"/>
                <w:sz w:val="21"/>
                <w:szCs w:val="21"/>
                <w:highlight w:val="none"/>
                <w:lang w:val="en-US" w:eastAsia="zh-CN"/>
              </w:rPr>
              <w:t>0.01</w:t>
            </w:r>
            <w:r>
              <w:rPr>
                <w:rFonts w:hint="default" w:ascii="Times New Roman" w:hAnsi="Times New Roman" w:cs="Times New Roman"/>
                <w:color w:val="auto"/>
                <w:sz w:val="21"/>
                <w:szCs w:val="21"/>
                <w:highlight w:val="none"/>
              </w:rPr>
              <w:t>kg/t（</w:t>
            </w:r>
            <w:r>
              <w:rPr>
                <w:rFonts w:hint="default" w:ascii="Times New Roman" w:hAnsi="Times New Roman" w:cs="Times New Roman"/>
                <w:color w:val="auto"/>
                <w:sz w:val="21"/>
                <w:szCs w:val="21"/>
                <w:highlight w:val="none"/>
                <w:lang w:eastAsia="zh-CN"/>
              </w:rPr>
              <w:t>卸料</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b w:val="0"/>
                <w:i w:val="0"/>
                <w:color w:val="auto"/>
                <w:kern w:val="0"/>
                <w:sz w:val="21"/>
                <w:szCs w:val="21"/>
                <w:highlight w:val="none"/>
                <w:lang w:eastAsia="en-US"/>
              </w:rPr>
              <w:t>，</w:t>
            </w:r>
            <w:r>
              <w:rPr>
                <w:rFonts w:hint="eastAsia" w:cs="Times New Roman"/>
                <w:b w:val="0"/>
                <w:i w:val="0"/>
                <w:color w:val="auto"/>
                <w:kern w:val="0"/>
                <w:sz w:val="21"/>
                <w:szCs w:val="21"/>
                <w:highlight w:val="none"/>
                <w:lang w:eastAsia="zh-CN"/>
              </w:rPr>
              <w:t>一期项目</w:t>
            </w:r>
            <w:r>
              <w:rPr>
                <w:rFonts w:hint="eastAsia" w:ascii="Times New Roman" w:hAnsi="Times New Roman" w:eastAsia="宋体" w:cs="Times New Roman"/>
                <w:b w:val="0"/>
                <w:i w:val="0"/>
                <w:color w:val="auto"/>
                <w:kern w:val="0"/>
                <w:sz w:val="21"/>
                <w:szCs w:val="21"/>
                <w:highlight w:val="none"/>
                <w:lang w:val="en-US" w:eastAsia="zh-CN"/>
              </w:rPr>
              <w:t>散装硫酸铵</w:t>
            </w:r>
            <w:r>
              <w:rPr>
                <w:rFonts w:hint="default" w:ascii="Times New Roman" w:hAnsi="Times New Roman" w:cs="Times New Roman"/>
                <w:bCs/>
                <w:color w:val="auto"/>
                <w:sz w:val="21"/>
                <w:szCs w:val="21"/>
                <w:highlight w:val="none"/>
                <w:lang w:val="en-US" w:eastAsia="zh-CN"/>
              </w:rPr>
              <w:t>用</w:t>
            </w:r>
            <w:r>
              <w:rPr>
                <w:rFonts w:hint="default" w:ascii="Times New Roman" w:hAnsi="Times New Roman" w:eastAsia="宋体" w:cs="Times New Roman"/>
                <w:b w:val="0"/>
                <w:i w:val="0"/>
                <w:color w:val="auto"/>
                <w:kern w:val="0"/>
                <w:sz w:val="21"/>
                <w:szCs w:val="21"/>
                <w:highlight w:val="none"/>
                <w:lang w:eastAsia="en-US"/>
              </w:rPr>
              <w:t>量约</w:t>
            </w:r>
            <w:r>
              <w:rPr>
                <w:rFonts w:hint="eastAsia" w:cs="Times New Roman"/>
                <w:b w:val="0"/>
                <w:i w:val="0"/>
                <w:color w:val="auto"/>
                <w:kern w:val="0"/>
                <w:sz w:val="21"/>
                <w:szCs w:val="21"/>
                <w:highlight w:val="none"/>
                <w:lang w:val="en-US" w:eastAsia="zh-CN"/>
              </w:rPr>
              <w:t>5</w:t>
            </w:r>
            <w:r>
              <w:rPr>
                <w:rFonts w:hint="default" w:ascii="Times New Roman" w:hAnsi="Times New Roman" w:eastAsia="宋体" w:cs="Times New Roman"/>
                <w:b w:val="0"/>
                <w:i w:val="0"/>
                <w:color w:val="auto"/>
                <w:kern w:val="0"/>
                <w:sz w:val="21"/>
                <w:szCs w:val="21"/>
                <w:highlight w:val="none"/>
                <w:lang w:val="en-US" w:eastAsia="zh-CN"/>
              </w:rPr>
              <w:t>0000</w:t>
            </w:r>
            <w:r>
              <w:rPr>
                <w:rFonts w:hint="default" w:ascii="Times New Roman" w:hAnsi="Times New Roman" w:eastAsia="TimesNewRomanPSMT" w:cs="Times New Roman"/>
                <w:b w:val="0"/>
                <w:i w:val="0"/>
                <w:color w:val="auto"/>
                <w:kern w:val="0"/>
                <w:sz w:val="21"/>
                <w:szCs w:val="21"/>
                <w:highlight w:val="none"/>
                <w:lang w:eastAsia="en-US"/>
              </w:rPr>
              <w:t>t/a</w:t>
            </w:r>
            <w:r>
              <w:rPr>
                <w:rFonts w:hint="default" w:ascii="Times New Roman" w:hAnsi="Times New Roman" w:eastAsia="宋体" w:cs="Times New Roman"/>
                <w:b w:val="0"/>
                <w:i w:val="0"/>
                <w:color w:val="auto"/>
                <w:kern w:val="0"/>
                <w:sz w:val="21"/>
                <w:szCs w:val="21"/>
                <w:highlight w:val="none"/>
                <w:lang w:eastAsia="en-US"/>
              </w:rPr>
              <w:t>，则</w:t>
            </w:r>
            <w:r>
              <w:rPr>
                <w:rFonts w:hint="default" w:ascii="Times New Roman" w:hAnsi="Times New Roman" w:eastAsia="宋体" w:cs="Times New Roman"/>
                <w:b w:val="0"/>
                <w:i w:val="0"/>
                <w:color w:val="auto"/>
                <w:kern w:val="0"/>
                <w:sz w:val="21"/>
                <w:szCs w:val="21"/>
                <w:highlight w:val="none"/>
                <w:lang w:val="en-US" w:eastAsia="zh-CN"/>
              </w:rPr>
              <w:t>粉尘</w:t>
            </w:r>
            <w:r>
              <w:rPr>
                <w:rFonts w:hint="default" w:ascii="Times New Roman" w:hAnsi="Times New Roman" w:eastAsia="宋体" w:cs="Times New Roman"/>
                <w:b w:val="0"/>
                <w:i w:val="0"/>
                <w:color w:val="auto"/>
                <w:kern w:val="0"/>
                <w:sz w:val="21"/>
                <w:szCs w:val="21"/>
                <w:highlight w:val="none"/>
                <w:lang w:eastAsia="en-US"/>
              </w:rPr>
              <w:t>量为</w:t>
            </w:r>
            <w:r>
              <w:rPr>
                <w:rFonts w:hint="eastAsia" w:cs="Times New Roman"/>
                <w:b w:val="0"/>
                <w:i w:val="0"/>
                <w:color w:val="auto"/>
                <w:kern w:val="0"/>
                <w:sz w:val="21"/>
                <w:szCs w:val="21"/>
                <w:highlight w:val="none"/>
                <w:lang w:val="en-US" w:eastAsia="zh-CN"/>
              </w:rPr>
              <w:t>0.5</w:t>
            </w:r>
            <w:r>
              <w:rPr>
                <w:rFonts w:hint="default" w:ascii="Times New Roman" w:hAnsi="Times New Roman" w:eastAsia="TimesNewRomanPSMT" w:cs="Times New Roman"/>
                <w:b w:val="0"/>
                <w:i w:val="0"/>
                <w:color w:val="auto"/>
                <w:kern w:val="0"/>
                <w:sz w:val="21"/>
                <w:szCs w:val="21"/>
                <w:highlight w:val="none"/>
                <w:lang w:eastAsia="en-US"/>
              </w:rPr>
              <w:t>t/a</w:t>
            </w:r>
            <w:r>
              <w:rPr>
                <w:rFonts w:hint="default" w:ascii="Times New Roman" w:hAnsi="Times New Roman" w:eastAsia="TimesNewRomanPSMT" w:cs="Times New Roman"/>
                <w:b w:val="0"/>
                <w:i w:val="0"/>
                <w:color w:val="auto"/>
                <w:kern w:val="0"/>
                <w:sz w:val="21"/>
                <w:szCs w:val="21"/>
                <w:highlight w:val="none"/>
                <w:lang w:val="en-US" w:eastAsia="zh-CN"/>
              </w:rPr>
              <w:t>。</w:t>
            </w:r>
          </w:p>
          <w:p w14:paraId="3339DD7B">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2"/>
              <w:textAlignment w:val="auto"/>
              <w:rPr>
                <w:rFonts w:hint="default" w:cs="Times New Roman"/>
                <w:b w:val="0"/>
                <w:bCs w:val="0"/>
                <w:color w:val="auto"/>
                <w:sz w:val="21"/>
                <w:szCs w:val="18"/>
                <w:highlight w:val="none"/>
                <w:lang w:val="en-US" w:eastAsia="zh-CN"/>
              </w:rPr>
            </w:pPr>
            <w:r>
              <w:rPr>
                <w:rFonts w:hint="eastAsia" w:cs="Times New Roman"/>
                <w:b w:val="0"/>
                <w:bCs w:val="0"/>
                <w:color w:val="auto"/>
                <w:sz w:val="21"/>
                <w:szCs w:val="18"/>
                <w:highlight w:val="none"/>
                <w:lang w:val="en-US" w:eastAsia="zh-CN"/>
              </w:rPr>
              <w:t>尿素、磷酸一铵和磷酸二铵为袋装，但在原料堆存过程会产生少量的异味，主要污染因子为氨，产生量极少，类比《安徽芃盛农业科技有限公司年产60万吨高效复混肥技术改造项目环境影响报告表》，氨产生量为0.3t/a。</w:t>
            </w:r>
          </w:p>
          <w:p w14:paraId="71A54CC7">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2"/>
              <w:textAlignment w:val="auto"/>
              <w:rPr>
                <w:rFonts w:hint="eastAsia" w:cs="Times New Roman"/>
                <w:b w:val="0"/>
                <w:bCs w:val="0"/>
                <w:color w:val="auto"/>
                <w:sz w:val="21"/>
                <w:szCs w:val="18"/>
                <w:highlight w:val="none"/>
                <w:lang w:val="en-US" w:eastAsia="zh-CN"/>
              </w:rPr>
            </w:pPr>
            <w:r>
              <w:rPr>
                <w:rFonts w:hint="default" w:ascii="Times New Roman" w:hAnsi="Times New Roman" w:cs="Times New Roman"/>
                <w:bCs/>
                <w:color w:val="auto"/>
                <w:sz w:val="21"/>
                <w:szCs w:val="21"/>
                <w:highlight w:val="none"/>
                <w:lang w:val="en-US" w:eastAsia="zh-CN"/>
              </w:rPr>
              <w:t>卸料、</w:t>
            </w:r>
            <w:r>
              <w:rPr>
                <w:rFonts w:hint="eastAsia" w:ascii="Times New Roman" w:hAnsi="Times New Roman" w:cs="Times New Roman"/>
                <w:bCs/>
                <w:color w:val="auto"/>
                <w:sz w:val="21"/>
                <w:szCs w:val="21"/>
                <w:highlight w:val="none"/>
                <w:lang w:val="en-US" w:eastAsia="zh-CN"/>
              </w:rPr>
              <w:t>堆存</w:t>
            </w:r>
            <w:r>
              <w:rPr>
                <w:rFonts w:hint="default" w:ascii="Times New Roman" w:hAnsi="Times New Roman" w:cs="Times New Roman"/>
                <w:bCs/>
                <w:color w:val="auto"/>
                <w:sz w:val="21"/>
                <w:szCs w:val="21"/>
                <w:highlight w:val="none"/>
                <w:lang w:val="en-US" w:eastAsia="zh-CN"/>
              </w:rPr>
              <w:t>过程</w:t>
            </w:r>
            <w:r>
              <w:rPr>
                <w:rFonts w:hint="default" w:ascii="Times New Roman" w:hAnsi="Times New Roman" w:cs="Times New Roman"/>
                <w:bCs/>
                <w:color w:val="auto"/>
                <w:sz w:val="21"/>
                <w:szCs w:val="21"/>
                <w:highlight w:val="none"/>
              </w:rPr>
              <w:t>产生</w:t>
            </w:r>
            <w:r>
              <w:rPr>
                <w:rFonts w:hint="eastAsia" w:ascii="Times New Roman" w:hAnsi="Times New Roman" w:cs="Times New Roman"/>
                <w:bCs/>
                <w:color w:val="auto"/>
                <w:sz w:val="21"/>
                <w:szCs w:val="21"/>
                <w:highlight w:val="none"/>
                <w:lang w:val="en-US" w:eastAsia="zh-CN"/>
              </w:rPr>
              <w:t>少量的臭气浓度，通过</w:t>
            </w:r>
            <w:r>
              <w:rPr>
                <w:rFonts w:hint="eastAsia" w:cs="Times New Roman"/>
                <w:b w:val="0"/>
                <w:bCs w:val="0"/>
                <w:color w:val="auto"/>
                <w:sz w:val="21"/>
                <w:szCs w:val="18"/>
                <w:highlight w:val="none"/>
                <w:lang w:val="en-US" w:eastAsia="zh-CN"/>
              </w:rPr>
              <w:t>加强厂区绿化，在厂区经空气稀释、自然扩散后，臭气浓度无组织排放浓度满足《挥发性有机物排放标准 第 7 部分：其他行业》（DB37/ 2801.7—2019）表2厂界监控点浓度限制（16无量纲）。</w:t>
            </w:r>
          </w:p>
          <w:p w14:paraId="56F6980B">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2"/>
              <w:textAlignment w:val="auto"/>
              <w:rPr>
                <w:rFonts w:hint="eastAsia" w:cs="Times New Roman"/>
                <w:b w:val="0"/>
                <w:bCs w:val="0"/>
                <w:color w:val="auto"/>
                <w:sz w:val="21"/>
                <w:szCs w:val="18"/>
                <w:highlight w:val="none"/>
                <w:lang w:val="en-US" w:eastAsia="zh-CN"/>
              </w:rPr>
            </w:pPr>
            <w:r>
              <w:rPr>
                <w:rFonts w:hint="eastAsia" w:cs="Times New Roman"/>
                <w:b w:val="0"/>
                <w:bCs w:val="0"/>
                <w:color w:val="auto"/>
                <w:sz w:val="21"/>
                <w:szCs w:val="18"/>
                <w:highlight w:val="none"/>
                <w:lang w:val="en-US" w:eastAsia="zh-CN"/>
              </w:rPr>
              <w:t>（5）车辆运输产生的粉尘（G16）</w:t>
            </w:r>
          </w:p>
          <w:p w14:paraId="2F35CA40">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2"/>
              <w:textAlignment w:val="auto"/>
              <w:rPr>
                <w:rFonts w:hint="eastAsia" w:cs="Times New Roman"/>
                <w:b w:val="0"/>
                <w:bCs w:val="0"/>
                <w:color w:val="auto"/>
                <w:sz w:val="21"/>
                <w:szCs w:val="18"/>
                <w:highlight w:val="none"/>
                <w:lang w:val="en-US" w:eastAsia="zh-CN"/>
              </w:rPr>
            </w:pPr>
            <w:r>
              <w:rPr>
                <w:rFonts w:hint="eastAsia" w:cs="Times New Roman"/>
                <w:b w:val="0"/>
                <w:bCs w:val="0"/>
                <w:color w:val="auto"/>
                <w:sz w:val="21"/>
                <w:szCs w:val="18"/>
                <w:highlight w:val="none"/>
                <w:lang w:val="en-US" w:eastAsia="zh-CN"/>
              </w:rPr>
              <w:t>一期项目原料及产品需要车辆运输，运输扬尘包括物料洒落扬尘和汽车引起的道路二次扬尘。车辆行驶产生的扬尘，在道路完全干燥的情况下，可按下列经验公式计算：</w:t>
            </w:r>
          </w:p>
          <w:p w14:paraId="458593BE">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2"/>
              <w:jc w:val="center"/>
              <w:textAlignment w:val="auto"/>
              <w:rPr>
                <w:rFonts w:hint="eastAsia" w:cs="Times New Roman"/>
                <w:b w:val="0"/>
                <w:bCs w:val="0"/>
                <w:color w:val="auto"/>
                <w:sz w:val="21"/>
                <w:szCs w:val="18"/>
                <w:highlight w:val="none"/>
                <w:lang w:val="en-US" w:eastAsia="zh-CN"/>
              </w:rPr>
            </w:pPr>
            <w:r>
              <w:rPr>
                <w:rFonts w:hint="eastAsia" w:cs="Times New Roman"/>
                <w:b w:val="0"/>
                <w:bCs w:val="0"/>
                <w:color w:val="auto"/>
                <w:sz w:val="21"/>
                <w:szCs w:val="18"/>
                <w:highlight w:val="none"/>
                <w:lang w:val="en-US" w:eastAsia="zh-CN"/>
              </w:rPr>
              <w:t>Q=0.123(V/5)(W/6.8)</w:t>
            </w:r>
            <w:r>
              <w:rPr>
                <w:rFonts w:hint="eastAsia" w:cs="Times New Roman"/>
                <w:b w:val="0"/>
                <w:bCs w:val="0"/>
                <w:color w:val="auto"/>
                <w:sz w:val="21"/>
                <w:szCs w:val="18"/>
                <w:highlight w:val="none"/>
                <w:vertAlign w:val="superscript"/>
                <w:lang w:val="en-US" w:eastAsia="zh-CN"/>
              </w:rPr>
              <w:t>0.85</w:t>
            </w:r>
            <w:r>
              <w:rPr>
                <w:rFonts w:hint="eastAsia" w:cs="Times New Roman"/>
                <w:b w:val="0"/>
                <w:bCs w:val="0"/>
                <w:color w:val="auto"/>
                <w:sz w:val="21"/>
                <w:szCs w:val="18"/>
                <w:highlight w:val="none"/>
                <w:lang w:val="en-US" w:eastAsia="zh-CN"/>
              </w:rPr>
              <w:t>(P/0.5)</w:t>
            </w:r>
            <w:r>
              <w:rPr>
                <w:rFonts w:hint="eastAsia" w:cs="Times New Roman"/>
                <w:b w:val="0"/>
                <w:bCs w:val="0"/>
                <w:color w:val="auto"/>
                <w:sz w:val="21"/>
                <w:szCs w:val="18"/>
                <w:highlight w:val="none"/>
                <w:vertAlign w:val="superscript"/>
                <w:lang w:val="en-US" w:eastAsia="zh-CN"/>
              </w:rPr>
              <w:t>0.75</w:t>
            </w:r>
          </w:p>
          <w:p w14:paraId="1C844CC6">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2"/>
              <w:textAlignment w:val="auto"/>
              <w:rPr>
                <w:rFonts w:hint="eastAsia" w:cs="Times New Roman"/>
                <w:b w:val="0"/>
                <w:bCs w:val="0"/>
                <w:color w:val="auto"/>
                <w:sz w:val="21"/>
                <w:szCs w:val="18"/>
                <w:highlight w:val="none"/>
                <w:lang w:val="en-US" w:eastAsia="zh-CN"/>
              </w:rPr>
            </w:pPr>
            <w:r>
              <w:rPr>
                <w:rFonts w:hint="eastAsia" w:cs="Times New Roman"/>
                <w:b w:val="0"/>
                <w:bCs w:val="0"/>
                <w:color w:val="auto"/>
                <w:sz w:val="21"/>
                <w:szCs w:val="18"/>
                <w:highlight w:val="none"/>
                <w:lang w:val="en-US" w:eastAsia="zh-CN"/>
              </w:rPr>
              <w:t>式中：Q—汽车行驶时的扬尘，kg/km·辆；</w:t>
            </w:r>
          </w:p>
          <w:p w14:paraId="044A8FE1">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2"/>
              <w:textAlignment w:val="auto"/>
              <w:rPr>
                <w:rFonts w:hint="eastAsia" w:cs="Times New Roman"/>
                <w:b w:val="0"/>
                <w:bCs w:val="0"/>
                <w:color w:val="auto"/>
                <w:sz w:val="21"/>
                <w:szCs w:val="18"/>
                <w:highlight w:val="none"/>
                <w:lang w:val="en-US" w:eastAsia="zh-CN"/>
              </w:rPr>
            </w:pPr>
            <w:r>
              <w:rPr>
                <w:rFonts w:hint="eastAsia" w:cs="Times New Roman"/>
                <w:b w:val="0"/>
                <w:bCs w:val="0"/>
                <w:color w:val="auto"/>
                <w:sz w:val="21"/>
                <w:szCs w:val="18"/>
                <w:highlight w:val="none"/>
                <w:lang w:val="en-US" w:eastAsia="zh-CN"/>
              </w:rPr>
              <w:t>V—汽车速度，km/h；</w:t>
            </w:r>
          </w:p>
          <w:p w14:paraId="253651FC">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2"/>
              <w:textAlignment w:val="auto"/>
              <w:rPr>
                <w:rFonts w:hint="eastAsia" w:cs="Times New Roman"/>
                <w:b w:val="0"/>
                <w:bCs w:val="0"/>
                <w:color w:val="auto"/>
                <w:sz w:val="21"/>
                <w:szCs w:val="18"/>
                <w:highlight w:val="none"/>
                <w:lang w:val="en-US" w:eastAsia="zh-CN"/>
              </w:rPr>
            </w:pPr>
            <w:r>
              <w:rPr>
                <w:rFonts w:hint="eastAsia" w:cs="Times New Roman"/>
                <w:b w:val="0"/>
                <w:bCs w:val="0"/>
                <w:color w:val="auto"/>
                <w:sz w:val="21"/>
                <w:szCs w:val="18"/>
                <w:highlight w:val="none"/>
                <w:lang w:val="en-US" w:eastAsia="zh-CN"/>
              </w:rPr>
              <w:t>W—汽车载重量，吨；</w:t>
            </w:r>
          </w:p>
          <w:p w14:paraId="420438D8">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2"/>
              <w:textAlignment w:val="auto"/>
              <w:rPr>
                <w:rFonts w:hint="eastAsia" w:cs="Times New Roman"/>
                <w:b w:val="0"/>
                <w:bCs w:val="0"/>
                <w:color w:val="auto"/>
                <w:sz w:val="21"/>
                <w:szCs w:val="18"/>
                <w:highlight w:val="none"/>
                <w:lang w:val="en-US" w:eastAsia="zh-CN"/>
              </w:rPr>
            </w:pPr>
            <w:r>
              <w:rPr>
                <w:rFonts w:hint="eastAsia" w:cs="Times New Roman"/>
                <w:b w:val="0"/>
                <w:bCs w:val="0"/>
                <w:color w:val="auto"/>
                <w:sz w:val="21"/>
                <w:szCs w:val="18"/>
                <w:highlight w:val="none"/>
                <w:lang w:val="en-US" w:eastAsia="zh-CN"/>
              </w:rPr>
              <w:t>P—道路表面粉尘量，kg/m</w:t>
            </w:r>
            <w:r>
              <w:rPr>
                <w:rFonts w:hint="eastAsia" w:cs="Times New Roman"/>
                <w:b w:val="0"/>
                <w:bCs w:val="0"/>
                <w:color w:val="auto"/>
                <w:sz w:val="21"/>
                <w:szCs w:val="18"/>
                <w:highlight w:val="none"/>
                <w:vertAlign w:val="superscript"/>
                <w:lang w:val="en-US" w:eastAsia="zh-CN"/>
              </w:rPr>
              <w:t>2</w:t>
            </w:r>
            <w:r>
              <w:rPr>
                <w:rFonts w:hint="eastAsia" w:cs="Times New Roman"/>
                <w:b w:val="0"/>
                <w:bCs w:val="0"/>
                <w:color w:val="auto"/>
                <w:sz w:val="21"/>
                <w:szCs w:val="18"/>
                <w:highlight w:val="none"/>
                <w:lang w:val="en-US" w:eastAsia="zh-CN"/>
              </w:rPr>
              <w:t>。</w:t>
            </w:r>
          </w:p>
          <w:p w14:paraId="031CC3DD">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2"/>
              <w:textAlignment w:val="auto"/>
              <w:rPr>
                <w:rFonts w:hint="eastAsia" w:cs="Times New Roman"/>
                <w:b w:val="0"/>
                <w:bCs w:val="0"/>
                <w:color w:val="auto"/>
                <w:sz w:val="21"/>
                <w:szCs w:val="18"/>
                <w:highlight w:val="none"/>
                <w:lang w:val="en-US" w:eastAsia="zh-CN"/>
              </w:rPr>
            </w:pPr>
            <w:r>
              <w:rPr>
                <w:rFonts w:hint="eastAsia" w:cs="Times New Roman"/>
                <w:b w:val="0"/>
                <w:bCs w:val="0"/>
                <w:color w:val="auto"/>
                <w:sz w:val="21"/>
                <w:szCs w:val="18"/>
                <w:highlight w:val="none"/>
                <w:lang w:val="en-US" w:eastAsia="zh-CN"/>
              </w:rPr>
              <w:t>一期项目原辅材料年耗量约为29.91万t，材料运输车辆单次运输30t，每天约需34辆次，空车重约10.0t，重车重约40.0t。</w:t>
            </w:r>
          </w:p>
          <w:p w14:paraId="277A8798">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2"/>
              <w:textAlignment w:val="auto"/>
              <w:rPr>
                <w:rFonts w:hint="eastAsia" w:cs="Times New Roman"/>
                <w:b w:val="0"/>
                <w:bCs w:val="0"/>
                <w:color w:val="auto"/>
                <w:sz w:val="21"/>
                <w:szCs w:val="18"/>
                <w:highlight w:val="none"/>
                <w:lang w:val="en-US" w:eastAsia="zh-CN"/>
              </w:rPr>
            </w:pPr>
            <w:r>
              <w:rPr>
                <w:rFonts w:hint="eastAsia" w:cs="Times New Roman"/>
                <w:b w:val="0"/>
                <w:bCs w:val="0"/>
                <w:color w:val="auto"/>
                <w:sz w:val="21"/>
                <w:szCs w:val="18"/>
                <w:highlight w:val="none"/>
                <w:lang w:val="en-US" w:eastAsia="zh-CN"/>
              </w:rPr>
              <w:t>项目车辆在厂区内行驶距离按150m计，项目复合肥年产量为30万t，单车一次运输量按30t计，每天约需运输34辆次，空车重约10t，故产品运输车重约40.0t。</w:t>
            </w:r>
          </w:p>
          <w:p w14:paraId="4A8131AC">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2"/>
              <w:textAlignment w:val="auto"/>
              <w:rPr>
                <w:rFonts w:hint="eastAsia" w:cs="Times New Roman"/>
                <w:b w:val="0"/>
                <w:bCs w:val="0"/>
                <w:color w:val="auto"/>
                <w:sz w:val="21"/>
                <w:szCs w:val="18"/>
                <w:highlight w:val="none"/>
                <w:lang w:val="en-US" w:eastAsia="zh-CN"/>
              </w:rPr>
            </w:pPr>
            <w:r>
              <w:rPr>
                <w:rFonts w:hint="eastAsia" w:cs="Times New Roman"/>
                <w:b w:val="0"/>
                <w:bCs w:val="0"/>
                <w:color w:val="auto"/>
                <w:sz w:val="21"/>
                <w:szCs w:val="18"/>
                <w:highlight w:val="none"/>
                <w:lang w:val="en-US" w:eastAsia="zh-CN"/>
              </w:rPr>
              <w:t>一期项目厂区地面进行硬化处理、定期清扫，道路路况以0.2kg/m</w:t>
            </w:r>
            <w:r>
              <w:rPr>
                <w:rFonts w:hint="eastAsia" w:cs="Times New Roman"/>
                <w:b w:val="0"/>
                <w:bCs w:val="0"/>
                <w:color w:val="auto"/>
                <w:sz w:val="21"/>
                <w:szCs w:val="18"/>
                <w:highlight w:val="none"/>
                <w:vertAlign w:val="superscript"/>
                <w:lang w:val="en-US" w:eastAsia="zh-CN"/>
              </w:rPr>
              <w:t>2</w:t>
            </w:r>
            <w:r>
              <w:rPr>
                <w:rFonts w:hint="eastAsia" w:cs="Times New Roman"/>
                <w:b w:val="0"/>
                <w:bCs w:val="0"/>
                <w:color w:val="auto"/>
                <w:sz w:val="21"/>
                <w:szCs w:val="18"/>
                <w:highlight w:val="none"/>
                <w:lang w:val="en-US" w:eastAsia="zh-CN"/>
              </w:rPr>
              <w:t>计；项目车辆在厂区内以速度5km/h行驶，则每辆车在厂区行驶的扬尘量见下表。</w:t>
            </w:r>
          </w:p>
          <w:p w14:paraId="2495D72D">
            <w:pPr>
              <w:pStyle w:val="1313"/>
              <w:adjustRightInd w:val="0"/>
              <w:snapToGrid/>
              <w:ind w:firstLine="422" w:firstLineChars="200"/>
              <w:rPr>
                <w:rFonts w:hint="default" w:ascii="Times New Roman" w:hAnsi="Times New Roman" w:eastAsia="宋体"/>
                <w:b/>
                <w:bCs/>
                <w:color w:val="auto"/>
                <w:sz w:val="21"/>
                <w:szCs w:val="21"/>
                <w:highlight w:val="none"/>
                <w:lang w:val="en-US" w:eastAsia="zh-CN"/>
              </w:rPr>
            </w:pPr>
            <w:r>
              <w:rPr>
                <w:rFonts w:ascii="Times New Roman" w:hAnsi="Times New Roman" w:eastAsia="宋体"/>
                <w:b/>
                <w:bCs/>
                <w:color w:val="auto"/>
                <w:sz w:val="21"/>
                <w:szCs w:val="21"/>
                <w:highlight w:val="none"/>
              </w:rPr>
              <w:t>表4-</w:t>
            </w:r>
            <w:r>
              <w:rPr>
                <w:rFonts w:hint="eastAsia" w:ascii="Times New Roman" w:hAnsi="Times New Roman" w:eastAsia="宋体"/>
                <w:b/>
                <w:bCs/>
                <w:color w:val="auto"/>
                <w:sz w:val="21"/>
                <w:szCs w:val="21"/>
                <w:highlight w:val="none"/>
                <w:lang w:val="en-US" w:eastAsia="zh-CN"/>
              </w:rPr>
              <w:t>8车辆行驶扬尘量（单位t/a）</w:t>
            </w:r>
          </w:p>
          <w:tbl>
            <w:tblPr>
              <w:tblStyle w:val="81"/>
              <w:tblW w:w="4993"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108" w:type="dxa"/>
                <w:bottom w:w="0" w:type="dxa"/>
                <w:right w:w="108" w:type="dxa"/>
              </w:tblCellMar>
            </w:tblPr>
            <w:tblGrid>
              <w:gridCol w:w="2346"/>
              <w:gridCol w:w="3226"/>
              <w:gridCol w:w="2796"/>
            </w:tblGrid>
            <w:tr w14:paraId="55EE06F6">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56" w:hRule="atLeast"/>
                <w:tblHeader/>
                <w:jc w:val="center"/>
              </w:trPr>
              <w:tc>
                <w:tcPr>
                  <w:tcW w:w="1402" w:type="pct"/>
                  <w:vMerge w:val="restart"/>
                  <w:noWrap w:val="0"/>
                  <w:vAlign w:val="center"/>
                </w:tcPr>
                <w:p w14:paraId="2921A9E9">
                  <w:pPr>
                    <w:pStyle w:val="80"/>
                    <w:jc w:val="right"/>
                    <w:rPr>
                      <w:rFonts w:hint="eastAsia" w:eastAsia="宋体"/>
                      <w:highlight w:val="none"/>
                      <w:lang w:val="en-US" w:eastAsia="zh-CN"/>
                    </w:rPr>
                  </w:pPr>
                  <w:r>
                    <w:rPr>
                      <w:sz w:val="18"/>
                      <w:highlight w:val="none"/>
                    </w:rPr>
                    <mc:AlternateContent>
                      <mc:Choice Requires="wps">
                        <w:drawing>
                          <wp:anchor distT="0" distB="0" distL="114300" distR="114300" simplePos="0" relativeHeight="251664384" behindDoc="0" locked="0" layoutInCell="1" allowOverlap="1">
                            <wp:simplePos x="0" y="0"/>
                            <wp:positionH relativeFrom="column">
                              <wp:posOffset>-32385</wp:posOffset>
                            </wp:positionH>
                            <wp:positionV relativeFrom="paragraph">
                              <wp:posOffset>34290</wp:posOffset>
                            </wp:positionV>
                            <wp:extent cx="1428750" cy="328930"/>
                            <wp:effectExtent l="1270" t="4445" r="17780" b="9525"/>
                            <wp:wrapNone/>
                            <wp:docPr id="4" name="直接连接符 4"/>
                            <wp:cNvGraphicFramePr/>
                            <a:graphic xmlns:a="http://schemas.openxmlformats.org/drawingml/2006/main">
                              <a:graphicData uri="http://schemas.microsoft.com/office/word/2010/wordprocessingShape">
                                <wps:wsp>
                                  <wps:cNvCnPr/>
                                  <wps:spPr>
                                    <a:xfrm>
                                      <a:off x="1295400" y="6892925"/>
                                      <a:ext cx="1428750" cy="328930"/>
                                    </a:xfrm>
                                    <a:prstGeom prst="line">
                                      <a:avLst/>
                                    </a:prstGeom>
                                    <a:ln w="317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55pt;margin-top:2.7pt;height:25.9pt;width:112.5pt;z-index:251664384;mso-width-relative:page;mso-height-relative:page;" filled="f" stroked="t" coordsize="21600,21600" o:gfxdata="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OWD&#10;1L/YAAAABwEAAA8AAAAAAAAAAQAgAAAAIgAAAGRycy9kb3ducmV2LnhtbFBLAQIUABQAAAAIAIdO&#10;4kAS3viM6gEAAKsDAAAOAAAAAAAAAAEAIAAAACcBAABkcnMvZTJvRG9jLnhtbFBLBQYAAAAABgAG&#10;AFkBAACDBQAAAAA=&#10;">
                            <v:fill on="f" focussize="0,0"/>
                            <v:stroke weight="0.25pt" color="#000000 [3213]" joinstyle="round"/>
                            <v:imagedata o:title=""/>
                            <o:lock v:ext="edit" aspectratio="f"/>
                          </v:line>
                        </w:pict>
                      </mc:Fallback>
                    </mc:AlternateContent>
                  </w:r>
                  <w:r>
                    <w:rPr>
                      <w:rFonts w:hint="eastAsia"/>
                      <w:color w:val="auto"/>
                      <w:sz w:val="18"/>
                      <w:szCs w:val="18"/>
                      <w:highlight w:val="none"/>
                      <w:lang w:val="en-US" w:eastAsia="zh-CN"/>
                    </w:rPr>
                    <w:t>车况</w:t>
                  </w:r>
                </w:p>
              </w:tc>
              <w:tc>
                <w:tcPr>
                  <w:tcW w:w="3597" w:type="pct"/>
                  <w:gridSpan w:val="2"/>
                  <w:noWrap w:val="0"/>
                  <w:vAlign w:val="center"/>
                </w:tcPr>
                <w:p w14:paraId="589A49BB">
                  <w:pPr>
                    <w:spacing w:line="240" w:lineRule="exact"/>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运输车</w:t>
                  </w:r>
                </w:p>
              </w:tc>
            </w:tr>
            <w:tr w14:paraId="48CFD773">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jc w:val="center"/>
              </w:trPr>
              <w:tc>
                <w:tcPr>
                  <w:tcW w:w="1402" w:type="pct"/>
                  <w:vMerge w:val="continue"/>
                  <w:noWrap w:val="0"/>
                  <w:vAlign w:val="center"/>
                </w:tcPr>
                <w:p w14:paraId="083F4AFD">
                  <w:pPr>
                    <w:spacing w:line="240" w:lineRule="exact"/>
                    <w:jc w:val="center"/>
                    <w:rPr>
                      <w:color w:val="auto"/>
                      <w:sz w:val="18"/>
                      <w:szCs w:val="18"/>
                      <w:highlight w:val="none"/>
                    </w:rPr>
                  </w:pPr>
                </w:p>
              </w:tc>
              <w:tc>
                <w:tcPr>
                  <w:tcW w:w="1927" w:type="pct"/>
                  <w:noWrap w:val="0"/>
                  <w:vAlign w:val="center"/>
                </w:tcPr>
                <w:p w14:paraId="23191587">
                  <w:pPr>
                    <w:spacing w:line="240" w:lineRule="exact"/>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空车</w:t>
                  </w:r>
                </w:p>
              </w:tc>
              <w:tc>
                <w:tcPr>
                  <w:tcW w:w="1670" w:type="pct"/>
                  <w:noWrap w:val="0"/>
                  <w:vAlign w:val="center"/>
                </w:tcPr>
                <w:p w14:paraId="59224547">
                  <w:pPr>
                    <w:spacing w:line="240" w:lineRule="exact"/>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重车</w:t>
                  </w:r>
                </w:p>
              </w:tc>
            </w:tr>
            <w:tr w14:paraId="13F679D3">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1402" w:type="pct"/>
                  <w:noWrap w:val="0"/>
                  <w:vAlign w:val="center"/>
                </w:tcPr>
                <w:p w14:paraId="7109B344">
                  <w:pPr>
                    <w:spacing w:line="240" w:lineRule="exact"/>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0.2</w:t>
                  </w:r>
                  <w:r>
                    <w:rPr>
                      <w:rFonts w:hint="eastAsia" w:cs="Times New Roman"/>
                      <w:b w:val="0"/>
                      <w:bCs w:val="0"/>
                      <w:color w:val="auto"/>
                      <w:sz w:val="18"/>
                      <w:szCs w:val="15"/>
                      <w:highlight w:val="none"/>
                      <w:lang w:val="en-US" w:eastAsia="zh-CN"/>
                    </w:rPr>
                    <w:t>kg/m</w:t>
                  </w:r>
                  <w:r>
                    <w:rPr>
                      <w:rFonts w:hint="eastAsia" w:cs="Times New Roman"/>
                      <w:b w:val="0"/>
                      <w:bCs w:val="0"/>
                      <w:color w:val="auto"/>
                      <w:sz w:val="18"/>
                      <w:szCs w:val="15"/>
                      <w:highlight w:val="none"/>
                      <w:vertAlign w:val="superscript"/>
                      <w:lang w:val="en-US" w:eastAsia="zh-CN"/>
                    </w:rPr>
                    <w:t>2</w:t>
                  </w:r>
                </w:p>
              </w:tc>
              <w:tc>
                <w:tcPr>
                  <w:tcW w:w="1927" w:type="pct"/>
                  <w:noWrap w:val="0"/>
                  <w:vAlign w:val="center"/>
                </w:tcPr>
                <w:p w14:paraId="50059CAA">
                  <w:pPr>
                    <w:spacing w:line="240" w:lineRule="exact"/>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0.086</w:t>
                  </w:r>
                </w:p>
              </w:tc>
              <w:tc>
                <w:tcPr>
                  <w:tcW w:w="1670" w:type="pct"/>
                  <w:noWrap w:val="0"/>
                  <w:vAlign w:val="center"/>
                </w:tcPr>
                <w:p w14:paraId="6D0BD389">
                  <w:pPr>
                    <w:spacing w:line="240" w:lineRule="exact"/>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0.279</w:t>
                  </w:r>
                </w:p>
              </w:tc>
            </w:tr>
            <w:tr w14:paraId="575BC439">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1402" w:type="pct"/>
                  <w:noWrap w:val="0"/>
                  <w:vAlign w:val="center"/>
                </w:tcPr>
                <w:p w14:paraId="4BF17C5D">
                  <w:pPr>
                    <w:spacing w:line="240" w:lineRule="exact"/>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合计</w:t>
                  </w:r>
                </w:p>
              </w:tc>
              <w:tc>
                <w:tcPr>
                  <w:tcW w:w="3597" w:type="pct"/>
                  <w:gridSpan w:val="2"/>
                  <w:noWrap w:val="0"/>
                  <w:vAlign w:val="center"/>
                </w:tcPr>
                <w:p w14:paraId="7D893D26">
                  <w:pPr>
                    <w:spacing w:line="240" w:lineRule="exact"/>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0.365</w:t>
                  </w:r>
                </w:p>
              </w:tc>
            </w:tr>
          </w:tbl>
          <w:p w14:paraId="6FD13520">
            <w:pPr>
              <w:pStyle w:val="80"/>
              <w:adjustRightInd w:val="0"/>
              <w:snapToGrid w:val="0"/>
              <w:spacing w:after="0" w:line="360" w:lineRule="auto"/>
              <w:ind w:left="0" w:leftChars="0" w:firstLine="422"/>
              <w:rPr>
                <w:rFonts w:hint="eastAsia" w:cs="Times New Roman"/>
                <w:b w:val="0"/>
                <w:bCs w:val="0"/>
                <w:color w:val="auto"/>
                <w:sz w:val="21"/>
                <w:szCs w:val="18"/>
                <w:highlight w:val="none"/>
                <w:lang w:val="en-US" w:eastAsia="zh-CN"/>
              </w:rPr>
            </w:pPr>
            <w:r>
              <w:rPr>
                <w:rFonts w:hint="eastAsia" w:cs="Times New Roman"/>
                <w:b w:val="0"/>
                <w:bCs w:val="0"/>
                <w:color w:val="auto"/>
                <w:sz w:val="21"/>
                <w:szCs w:val="18"/>
                <w:highlight w:val="none"/>
                <w:lang w:val="en-US" w:eastAsia="zh-CN"/>
              </w:rPr>
              <w:t>根据上表，在道路完全干燥的情况下，汽车动力起尘量为0.365t/a。</w:t>
            </w:r>
          </w:p>
          <w:p w14:paraId="407966E4">
            <w:pPr>
              <w:pStyle w:val="80"/>
              <w:adjustRightInd w:val="0"/>
              <w:snapToGrid w:val="0"/>
              <w:spacing w:after="0" w:line="360" w:lineRule="auto"/>
              <w:ind w:left="0" w:leftChars="0" w:firstLine="422"/>
              <w:rPr>
                <w:rFonts w:hint="default" w:ascii="Times New Roman" w:hAnsi="Times New Roman" w:cs="Times New Roman"/>
                <w:b w:val="0"/>
                <w:bCs w:val="0"/>
                <w:color w:val="auto"/>
                <w:sz w:val="21"/>
                <w:szCs w:val="18"/>
                <w:highlight w:val="none"/>
                <w:lang w:val="en-US" w:eastAsia="zh-CN"/>
              </w:rPr>
            </w:pPr>
            <w:r>
              <w:rPr>
                <w:rFonts w:hint="eastAsia" w:cs="Times New Roman"/>
                <w:b w:val="0"/>
                <w:bCs w:val="0"/>
                <w:color w:val="auto"/>
                <w:sz w:val="21"/>
                <w:szCs w:val="18"/>
                <w:highlight w:val="none"/>
                <w:lang w:val="en-US" w:eastAsia="zh-CN"/>
              </w:rPr>
              <w:t>（6）食堂油烟（G17）</w:t>
            </w:r>
          </w:p>
          <w:p w14:paraId="2C8CE694">
            <w:pPr>
              <w:pStyle w:val="80"/>
              <w:adjustRightInd w:val="0"/>
              <w:snapToGrid w:val="0"/>
              <w:spacing w:after="0" w:line="360" w:lineRule="auto"/>
              <w:ind w:left="0" w:leftChars="0" w:firstLine="422"/>
              <w:rPr>
                <w:rFonts w:hint="default" w:ascii="Times New Roman" w:hAnsi="Times New Roman" w:cs="Times New Roman"/>
                <w:b w:val="0"/>
                <w:bCs w:val="0"/>
                <w:color w:val="auto"/>
                <w:sz w:val="21"/>
                <w:szCs w:val="18"/>
                <w:highlight w:val="none"/>
                <w:lang w:val="en-US" w:eastAsia="zh-CN"/>
              </w:rPr>
            </w:pPr>
            <w:r>
              <w:rPr>
                <w:rFonts w:hint="eastAsia" w:cs="Times New Roman"/>
                <w:b w:val="0"/>
                <w:bCs w:val="0"/>
                <w:color w:val="auto"/>
                <w:sz w:val="21"/>
                <w:szCs w:val="18"/>
                <w:highlight w:val="none"/>
                <w:lang w:val="en-US" w:eastAsia="zh-CN"/>
              </w:rPr>
              <w:t>一期项目</w:t>
            </w:r>
            <w:r>
              <w:rPr>
                <w:rFonts w:hint="default" w:ascii="Times New Roman" w:hAnsi="Times New Roman" w:cs="Times New Roman"/>
                <w:b w:val="0"/>
                <w:bCs w:val="0"/>
                <w:color w:val="auto"/>
                <w:sz w:val="21"/>
                <w:szCs w:val="18"/>
                <w:highlight w:val="none"/>
                <w:lang w:val="en-US" w:eastAsia="zh-CN"/>
              </w:rPr>
              <w:t>食堂油烟经油烟净化装置处理后排放，配置油烟净化装置和专门的油烟排气筒，油烟排气筒的设置应高于自身建筑物1.5米以上，排气筒出口朝向应避开易受影响的建筑物，排气筒周围半径10米以内有建筑物的，排气筒的设置应高于附近最高建筑物 1.5 米以上。一般餐饮食用耗油系数为7kg/100人•天，</w:t>
            </w:r>
            <w:r>
              <w:rPr>
                <w:rFonts w:hint="eastAsia" w:cs="Times New Roman"/>
                <w:b w:val="0"/>
                <w:bCs w:val="0"/>
                <w:color w:val="auto"/>
                <w:sz w:val="21"/>
                <w:szCs w:val="18"/>
                <w:highlight w:val="none"/>
                <w:lang w:val="en-US" w:eastAsia="zh-CN"/>
              </w:rPr>
              <w:t>一期项目</w:t>
            </w:r>
            <w:r>
              <w:rPr>
                <w:rFonts w:hint="default" w:ascii="Times New Roman" w:hAnsi="Times New Roman" w:cs="Times New Roman"/>
                <w:b w:val="0"/>
                <w:bCs w:val="0"/>
                <w:color w:val="auto"/>
                <w:sz w:val="21"/>
                <w:szCs w:val="18"/>
                <w:highlight w:val="none"/>
                <w:lang w:val="en-US" w:eastAsia="zh-CN"/>
              </w:rPr>
              <w:t>就餐人数</w:t>
            </w:r>
            <w:r>
              <w:rPr>
                <w:rFonts w:hint="eastAsia" w:cs="Times New Roman"/>
                <w:b w:val="0"/>
                <w:bCs w:val="0"/>
                <w:color w:val="auto"/>
                <w:sz w:val="21"/>
                <w:szCs w:val="18"/>
                <w:highlight w:val="none"/>
                <w:lang w:val="en-US" w:eastAsia="zh-CN"/>
              </w:rPr>
              <w:t>最多</w:t>
            </w:r>
            <w:r>
              <w:rPr>
                <w:rFonts w:hint="default" w:ascii="Times New Roman" w:hAnsi="Times New Roman" w:cs="Times New Roman"/>
                <w:b w:val="0"/>
                <w:bCs w:val="0"/>
                <w:color w:val="auto"/>
                <w:sz w:val="21"/>
                <w:szCs w:val="18"/>
                <w:highlight w:val="none"/>
                <w:lang w:val="en-US" w:eastAsia="zh-CN"/>
              </w:rPr>
              <w:t>为</w:t>
            </w:r>
            <w:r>
              <w:rPr>
                <w:rFonts w:hint="eastAsia" w:cs="Times New Roman"/>
                <w:b w:val="0"/>
                <w:bCs w:val="0"/>
                <w:color w:val="auto"/>
                <w:sz w:val="21"/>
                <w:szCs w:val="18"/>
                <w:highlight w:val="none"/>
                <w:lang w:val="en-US" w:eastAsia="zh-CN"/>
              </w:rPr>
              <w:t>2</w:t>
            </w:r>
            <w:r>
              <w:rPr>
                <w:rFonts w:hint="default" w:ascii="Times New Roman" w:hAnsi="Times New Roman" w:cs="Times New Roman"/>
                <w:b w:val="0"/>
                <w:bCs w:val="0"/>
                <w:color w:val="auto"/>
                <w:sz w:val="21"/>
                <w:szCs w:val="18"/>
                <w:highlight w:val="none"/>
                <w:lang w:val="en-US" w:eastAsia="zh-CN"/>
              </w:rPr>
              <w:t>0人，年工作300天，则食用油耗量为</w:t>
            </w:r>
            <w:r>
              <w:rPr>
                <w:rFonts w:hint="eastAsia" w:cs="Times New Roman"/>
                <w:b w:val="0"/>
                <w:bCs w:val="0"/>
                <w:color w:val="auto"/>
                <w:sz w:val="21"/>
                <w:szCs w:val="18"/>
                <w:highlight w:val="none"/>
                <w:lang w:val="en-US" w:eastAsia="zh-CN"/>
              </w:rPr>
              <w:t>42</w:t>
            </w:r>
            <w:r>
              <w:rPr>
                <w:rFonts w:hint="default" w:ascii="Times New Roman" w:hAnsi="Times New Roman" w:cs="Times New Roman"/>
                <w:b w:val="0"/>
                <w:bCs w:val="0"/>
                <w:color w:val="auto"/>
                <w:sz w:val="21"/>
                <w:szCs w:val="18"/>
                <w:highlight w:val="none"/>
                <w:lang w:val="en-US" w:eastAsia="zh-CN"/>
              </w:rPr>
              <w:t>0kg/a。烹饪过程中油挥发损失率约3%，则项目食堂油烟产生量约0.0</w:t>
            </w:r>
            <w:r>
              <w:rPr>
                <w:rFonts w:hint="eastAsia" w:cs="Times New Roman"/>
                <w:b w:val="0"/>
                <w:bCs w:val="0"/>
                <w:color w:val="auto"/>
                <w:sz w:val="21"/>
                <w:szCs w:val="18"/>
                <w:highlight w:val="none"/>
                <w:lang w:val="en-US" w:eastAsia="zh-CN"/>
              </w:rPr>
              <w:t>126</w:t>
            </w:r>
            <w:r>
              <w:rPr>
                <w:rFonts w:hint="default" w:ascii="Times New Roman" w:hAnsi="Times New Roman" w:cs="Times New Roman"/>
                <w:b w:val="0"/>
                <w:bCs w:val="0"/>
                <w:color w:val="auto"/>
                <w:sz w:val="21"/>
                <w:szCs w:val="18"/>
                <w:highlight w:val="none"/>
                <w:lang w:val="en-US" w:eastAsia="zh-CN"/>
              </w:rPr>
              <w:t>t/a</w:t>
            </w:r>
            <w:r>
              <w:rPr>
                <w:rFonts w:hint="eastAsia" w:cs="Times New Roman"/>
                <w:b w:val="0"/>
                <w:bCs w:val="0"/>
                <w:color w:val="auto"/>
                <w:sz w:val="21"/>
                <w:szCs w:val="18"/>
                <w:highlight w:val="none"/>
                <w:lang w:val="en-US" w:eastAsia="zh-CN"/>
              </w:rPr>
              <w:t>。</w:t>
            </w:r>
          </w:p>
          <w:p w14:paraId="6251452A">
            <w:pPr>
              <w:pStyle w:val="80"/>
              <w:adjustRightInd w:val="0"/>
              <w:snapToGrid w:val="0"/>
              <w:spacing w:after="0" w:line="360" w:lineRule="auto"/>
              <w:ind w:left="0" w:leftChars="0" w:firstLine="422"/>
              <w:rPr>
                <w:rFonts w:hint="default" w:ascii="Times New Roman" w:hAnsi="Times New Roman" w:eastAsia="宋体" w:cs="Times New Roman"/>
                <w:b/>
                <w:bCs/>
                <w:color w:val="auto"/>
                <w:sz w:val="21"/>
                <w:szCs w:val="18"/>
                <w:highlight w:val="none"/>
                <w:lang w:val="en-US" w:eastAsia="zh-CN"/>
              </w:rPr>
            </w:pPr>
            <w:r>
              <w:rPr>
                <w:rFonts w:hint="default" w:ascii="Times New Roman" w:hAnsi="Times New Roman" w:cs="Times New Roman"/>
                <w:b/>
                <w:bCs/>
                <w:color w:val="auto"/>
                <w:sz w:val="21"/>
                <w:szCs w:val="18"/>
                <w:highlight w:val="none"/>
                <w:lang w:val="en-US" w:eastAsia="zh-CN"/>
              </w:rPr>
              <w:t>2、污染物排放情况核算</w:t>
            </w:r>
          </w:p>
          <w:p w14:paraId="4321D76F">
            <w:pPr>
              <w:adjustRightInd w:val="0"/>
              <w:snapToGrid w:val="0"/>
              <w:spacing w:line="360" w:lineRule="auto"/>
              <w:ind w:firstLine="420" w:firstLineChars="200"/>
              <w:rPr>
                <w:rFonts w:hint="default" w:ascii="Times New Roman" w:hAnsi="Times New Roman" w:cs="Times New Roman"/>
                <w:bCs/>
                <w:color w:val="auto"/>
                <w:highlight w:val="none"/>
                <w:lang w:val="en-US" w:eastAsia="zh-CN"/>
              </w:rPr>
            </w:pP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1</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有组织废气</w:t>
            </w:r>
          </w:p>
          <w:p w14:paraId="304EBDF2">
            <w:pPr>
              <w:adjustRightInd w:val="0"/>
              <w:snapToGrid w:val="0"/>
              <w:spacing w:line="360" w:lineRule="auto"/>
              <w:ind w:firstLine="420" w:firstLineChars="200"/>
              <w:rPr>
                <w:rFonts w:hint="default" w:cs="Times New Roman"/>
                <w:bCs/>
                <w:color w:val="auto"/>
                <w:highlight w:val="none"/>
                <w:lang w:val="en-US" w:eastAsia="zh-CN"/>
              </w:rPr>
            </w:pPr>
            <w:r>
              <w:rPr>
                <w:rFonts w:hint="eastAsia" w:ascii="宋体" w:hAnsi="宋体" w:eastAsia="宋体" w:cs="宋体"/>
                <w:bCs/>
                <w:color w:val="auto"/>
                <w:highlight w:val="none"/>
                <w:lang w:val="en-US" w:eastAsia="zh-CN"/>
              </w:rPr>
              <w:t>①</w:t>
            </w:r>
            <w:r>
              <w:rPr>
                <w:rFonts w:hint="eastAsia" w:cs="Times New Roman"/>
                <w:bCs/>
                <w:color w:val="auto"/>
                <w:highlight w:val="none"/>
                <w:lang w:val="en-US" w:eastAsia="zh-CN"/>
              </w:rPr>
              <w:t>DA001排气筒有组织废气</w:t>
            </w:r>
          </w:p>
          <w:p w14:paraId="6900804C">
            <w:pPr>
              <w:adjustRightInd w:val="0"/>
              <w:snapToGrid w:val="0"/>
              <w:spacing w:line="360" w:lineRule="auto"/>
              <w:ind w:firstLine="420" w:firstLineChars="200"/>
              <w:rPr>
                <w:rFonts w:hint="default" w:ascii="Times New Roman" w:hAnsi="Times New Roman" w:cs="Times New Roman"/>
                <w:bCs/>
                <w:color w:val="auto"/>
                <w:highlight w:val="none"/>
                <w:lang w:val="en-US" w:eastAsia="zh-CN"/>
              </w:rPr>
            </w:pPr>
            <w:r>
              <w:rPr>
                <w:rFonts w:hint="eastAsia" w:cs="Times New Roman"/>
                <w:bCs/>
                <w:color w:val="auto"/>
                <w:highlight w:val="none"/>
                <w:lang w:val="en-US" w:eastAsia="zh-CN"/>
              </w:rPr>
              <w:t>天然气燃烧废气（烟尘、SO</w:t>
            </w:r>
            <w:r>
              <w:rPr>
                <w:rFonts w:hint="eastAsia" w:cs="Times New Roman"/>
                <w:bCs/>
                <w:color w:val="auto"/>
                <w:highlight w:val="none"/>
                <w:vertAlign w:val="subscript"/>
                <w:lang w:val="en-US" w:eastAsia="zh-CN"/>
              </w:rPr>
              <w:t>2</w:t>
            </w:r>
            <w:r>
              <w:rPr>
                <w:rFonts w:hint="eastAsia" w:cs="Times New Roman"/>
                <w:bCs/>
                <w:color w:val="auto"/>
                <w:highlight w:val="none"/>
                <w:lang w:val="en-US" w:eastAsia="zh-CN"/>
              </w:rPr>
              <w:t>、NOx）、造粒工序、和烘干工序产生的粉尘、氨气、臭气浓度</w:t>
            </w:r>
            <w:r>
              <w:rPr>
                <w:rFonts w:hint="default" w:ascii="Times New Roman" w:hAnsi="Times New Roman" w:cs="Times New Roman"/>
                <w:bCs/>
                <w:color w:val="auto"/>
                <w:highlight w:val="none"/>
                <w:lang w:eastAsia="zh-CN"/>
              </w:rPr>
              <w:t>经</w:t>
            </w:r>
            <w:r>
              <w:rPr>
                <w:rFonts w:hint="eastAsia" w:cs="Times New Roman"/>
                <w:bCs/>
                <w:color w:val="auto"/>
                <w:highlight w:val="none"/>
                <w:lang w:val="en-US" w:eastAsia="zh-CN"/>
              </w:rPr>
              <w:t>布袋除尘器+水喷淋</w:t>
            </w:r>
            <w:r>
              <w:rPr>
                <w:rFonts w:hint="default" w:ascii="Times New Roman" w:hAnsi="Times New Roman" w:cs="Times New Roman"/>
                <w:bCs/>
                <w:color w:val="auto"/>
                <w:highlight w:val="none"/>
                <w:lang w:val="en-US" w:eastAsia="zh-CN"/>
              </w:rPr>
              <w:t>处理</w:t>
            </w:r>
            <w:r>
              <w:rPr>
                <w:rFonts w:hint="default" w:ascii="Times New Roman" w:hAnsi="Times New Roman" w:cs="Times New Roman"/>
                <w:bCs/>
                <w:color w:val="auto"/>
                <w:highlight w:val="none"/>
              </w:rPr>
              <w:t>后由</w:t>
            </w:r>
            <w:r>
              <w:rPr>
                <w:rFonts w:hint="eastAsia" w:cs="Times New Roman"/>
                <w:bCs/>
                <w:color w:val="auto"/>
                <w:highlight w:val="none"/>
                <w:lang w:eastAsia="zh-CN"/>
              </w:rPr>
              <w:t>同一根15m高DA00</w:t>
            </w:r>
            <w:r>
              <w:rPr>
                <w:rFonts w:hint="eastAsia" w:cs="Times New Roman"/>
                <w:bCs/>
                <w:color w:val="auto"/>
                <w:highlight w:val="none"/>
                <w:lang w:val="en-US" w:eastAsia="zh-CN"/>
              </w:rPr>
              <w:t>1</w:t>
            </w:r>
            <w:r>
              <w:rPr>
                <w:rFonts w:hint="eastAsia" w:cs="Times New Roman"/>
                <w:bCs/>
                <w:color w:val="auto"/>
                <w:highlight w:val="none"/>
                <w:lang w:eastAsia="zh-CN"/>
              </w:rPr>
              <w:t>排气筒有组织排放</w:t>
            </w:r>
            <w:r>
              <w:rPr>
                <w:rFonts w:hint="default" w:ascii="Times New Roman" w:hAnsi="Times New Roman" w:cs="Times New Roman"/>
                <w:bCs/>
                <w:color w:val="auto"/>
                <w:sz w:val="21"/>
                <w:szCs w:val="21"/>
                <w:highlight w:val="none"/>
              </w:rPr>
              <w:t>。</w:t>
            </w:r>
            <w:r>
              <w:rPr>
                <w:rFonts w:hint="eastAsia" w:cs="Times New Roman"/>
                <w:bCs/>
                <w:color w:val="auto"/>
                <w:sz w:val="21"/>
                <w:szCs w:val="21"/>
                <w:highlight w:val="none"/>
                <w:lang w:val="en-US" w:eastAsia="zh-CN"/>
              </w:rPr>
              <w:t>对天然气燃烧废气和烘干废气收集效率为100%，造粒废气集气罩收集效率为95%，</w:t>
            </w:r>
            <w:r>
              <w:rPr>
                <w:rFonts w:hint="eastAsia" w:cs="Times New Roman"/>
                <w:bCs/>
                <w:color w:val="auto"/>
                <w:highlight w:val="none"/>
                <w:lang w:val="en-US" w:eastAsia="zh-CN"/>
              </w:rPr>
              <w:t>布袋除尘器+水喷淋</w:t>
            </w:r>
            <w:r>
              <w:rPr>
                <w:rFonts w:hint="eastAsia" w:ascii="Times New Roman" w:hAnsi="Times New Roman" w:cs="Times New Roman"/>
                <w:bCs/>
                <w:color w:val="auto"/>
                <w:highlight w:val="none"/>
                <w:lang w:val="en-US" w:eastAsia="zh-CN"/>
              </w:rPr>
              <w:t>对颗粒物的</w:t>
            </w:r>
            <w:r>
              <w:rPr>
                <w:rFonts w:hint="eastAsia" w:cs="Times New Roman"/>
                <w:bCs/>
                <w:color w:val="auto"/>
                <w:sz w:val="21"/>
                <w:szCs w:val="21"/>
                <w:highlight w:val="none"/>
                <w:lang w:val="en-US" w:eastAsia="zh-CN"/>
              </w:rPr>
              <w:t>处理效率为99.5%，水喷淋对氨的处理效率为90%，</w:t>
            </w:r>
            <w:r>
              <w:rPr>
                <w:rFonts w:hint="default" w:ascii="Times New Roman" w:hAnsi="Times New Roman" w:cs="Times New Roman"/>
                <w:color w:val="auto"/>
                <w:highlight w:val="none"/>
                <w:lang w:val="en-US" w:eastAsia="zh-CN"/>
              </w:rPr>
              <w:t>年工作时间为</w:t>
            </w:r>
            <w:r>
              <w:rPr>
                <w:rFonts w:hint="eastAsia" w:cs="Times New Roman"/>
                <w:color w:val="auto"/>
                <w:highlight w:val="none"/>
                <w:lang w:val="en-US" w:eastAsia="zh-CN"/>
              </w:rPr>
              <w:t>72</w:t>
            </w:r>
            <w:r>
              <w:rPr>
                <w:rFonts w:hint="default" w:ascii="Times New Roman" w:hAnsi="Times New Roman" w:cs="Times New Roman"/>
                <w:color w:val="auto"/>
                <w:highlight w:val="none"/>
                <w:lang w:val="en-US" w:eastAsia="zh-CN"/>
              </w:rPr>
              <w:t>00h，风机风量为</w:t>
            </w:r>
            <w:r>
              <w:rPr>
                <w:rFonts w:hint="eastAsia" w:cs="Times New Roman"/>
                <w:color w:val="auto"/>
                <w:highlight w:val="none"/>
                <w:lang w:val="en-US" w:eastAsia="zh-CN"/>
              </w:rPr>
              <w:t>65</w:t>
            </w:r>
            <w:r>
              <w:rPr>
                <w:rFonts w:hint="default" w:ascii="Times New Roman" w:hAnsi="Times New Roman" w:cs="Times New Roman"/>
                <w:color w:val="auto"/>
                <w:highlight w:val="none"/>
                <w:lang w:val="en-US" w:eastAsia="zh-CN"/>
              </w:rPr>
              <w:t>00m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/h，具体污染物产排情况见下表。</w:t>
            </w:r>
          </w:p>
          <w:p w14:paraId="7B0A877B">
            <w:pPr>
              <w:pStyle w:val="80"/>
              <w:ind w:left="0" w:leftChars="0" w:firstLine="0" w:firstLineChars="0"/>
              <w:jc w:val="center"/>
              <w:rPr>
                <w:rFonts w:hint="default" w:ascii="Times New Roman" w:hAnsi="Times New Roman" w:cs="Times New Roman"/>
                <w:b/>
                <w:bCs w:val="0"/>
                <w:color w:val="auto"/>
                <w:highlight w:val="none"/>
                <w:lang w:val="en-US" w:eastAsia="zh-CN"/>
              </w:rPr>
            </w:pPr>
            <w:r>
              <w:rPr>
                <w:rFonts w:hint="default" w:ascii="Times New Roman" w:hAnsi="Times New Roman" w:cs="Times New Roman"/>
                <w:b/>
                <w:bCs w:val="0"/>
                <w:color w:val="auto"/>
                <w:sz w:val="21"/>
                <w:szCs w:val="21"/>
                <w:highlight w:val="none"/>
                <w:vertAlign w:val="baseline"/>
                <w:lang w:val="en-US" w:eastAsia="zh-CN"/>
              </w:rPr>
              <w:t>表4-</w:t>
            </w:r>
            <w:r>
              <w:rPr>
                <w:rFonts w:hint="eastAsia" w:cs="Times New Roman"/>
                <w:b/>
                <w:bCs w:val="0"/>
                <w:color w:val="auto"/>
                <w:sz w:val="21"/>
                <w:szCs w:val="21"/>
                <w:highlight w:val="none"/>
                <w:vertAlign w:val="baseline"/>
                <w:lang w:val="en-US" w:eastAsia="zh-CN"/>
              </w:rPr>
              <w:t>9</w:t>
            </w:r>
            <w:r>
              <w:rPr>
                <w:rFonts w:hint="default" w:ascii="Times New Roman" w:hAnsi="Times New Roman" w:cs="Times New Roman"/>
                <w:b/>
                <w:bCs w:val="0"/>
                <w:color w:val="auto"/>
                <w:sz w:val="21"/>
                <w:szCs w:val="21"/>
                <w:highlight w:val="none"/>
                <w:vertAlign w:val="baseline"/>
                <w:lang w:val="en-US" w:eastAsia="zh-CN"/>
              </w:rPr>
              <w:t xml:space="preserve"> </w:t>
            </w:r>
            <w:r>
              <w:rPr>
                <w:rFonts w:hint="eastAsia" w:cs="Times New Roman"/>
                <w:b/>
                <w:bCs w:val="0"/>
                <w:color w:val="auto"/>
                <w:sz w:val="21"/>
                <w:szCs w:val="21"/>
                <w:highlight w:val="none"/>
                <w:vertAlign w:val="baseline"/>
                <w:lang w:val="en-US" w:eastAsia="zh-CN"/>
              </w:rPr>
              <w:t>一期项目DA001</w:t>
            </w:r>
            <w:r>
              <w:rPr>
                <w:rFonts w:hint="default" w:ascii="Times New Roman" w:hAnsi="Times New Roman" w:cs="Times New Roman"/>
                <w:b/>
                <w:bCs w:val="0"/>
                <w:color w:val="auto"/>
                <w:sz w:val="21"/>
                <w:szCs w:val="21"/>
                <w:highlight w:val="none"/>
                <w:vertAlign w:val="baseline"/>
                <w:lang w:val="en-US" w:eastAsia="zh-CN"/>
              </w:rPr>
              <w:t>污染物产生及排放情况一览表</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26"/>
              <w:gridCol w:w="471"/>
              <w:gridCol w:w="618"/>
              <w:gridCol w:w="715"/>
              <w:gridCol w:w="791"/>
              <w:gridCol w:w="648"/>
              <w:gridCol w:w="454"/>
              <w:gridCol w:w="513"/>
              <w:gridCol w:w="377"/>
              <w:gridCol w:w="526"/>
              <w:gridCol w:w="561"/>
              <w:gridCol w:w="600"/>
              <w:gridCol w:w="613"/>
              <w:gridCol w:w="444"/>
              <w:gridCol w:w="615"/>
            </w:tblGrid>
            <w:tr w14:paraId="0B9F4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254" w:type="pct"/>
                  <w:vMerge w:val="restart"/>
                  <w:tcBorders>
                    <w:top w:val="single" w:color="auto" w:sz="4" w:space="0"/>
                    <w:left w:val="single" w:color="auto" w:sz="4" w:space="0"/>
                    <w:bottom w:val="single" w:color="auto" w:sz="4" w:space="0"/>
                    <w:right w:val="single" w:color="auto" w:sz="4" w:space="0"/>
                  </w:tcBorders>
                  <w:noWrap w:val="0"/>
                  <w:vAlign w:val="center"/>
                </w:tcPr>
                <w:p w14:paraId="20E60973">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产污环节</w:t>
                  </w:r>
                </w:p>
              </w:tc>
              <w:tc>
                <w:tcPr>
                  <w:tcW w:w="281" w:type="pct"/>
                  <w:vMerge w:val="restart"/>
                  <w:tcBorders>
                    <w:top w:val="single" w:color="auto" w:sz="4" w:space="0"/>
                    <w:left w:val="single" w:color="auto" w:sz="4" w:space="0"/>
                    <w:bottom w:val="single" w:color="auto" w:sz="4" w:space="0"/>
                    <w:right w:val="single" w:color="auto" w:sz="4" w:space="0"/>
                  </w:tcBorders>
                  <w:noWrap w:val="0"/>
                  <w:vAlign w:val="center"/>
                </w:tcPr>
                <w:p w14:paraId="44019F31">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p w14:paraId="5B00D556">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种类</w:t>
                  </w:r>
                </w:p>
              </w:tc>
              <w:tc>
                <w:tcPr>
                  <w:tcW w:w="1268" w:type="pct"/>
                  <w:gridSpan w:val="3"/>
                  <w:tcBorders>
                    <w:top w:val="single" w:color="auto" w:sz="4" w:space="0"/>
                    <w:left w:val="single" w:color="auto" w:sz="4" w:space="0"/>
                    <w:bottom w:val="single" w:color="auto" w:sz="4" w:space="0"/>
                    <w:right w:val="single" w:color="auto" w:sz="4" w:space="0"/>
                  </w:tcBorders>
                  <w:noWrap w:val="0"/>
                  <w:vAlign w:val="center"/>
                </w:tcPr>
                <w:p w14:paraId="11EC4BF7">
                  <w:pPr>
                    <w:spacing w:line="240" w:lineRule="auto"/>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有组织</w:t>
                  </w:r>
                  <w:r>
                    <w:rPr>
                      <w:rFonts w:hint="default" w:ascii="Times New Roman" w:hAnsi="Times New Roman" w:eastAsia="宋体" w:cs="Times New Roman"/>
                      <w:color w:val="auto"/>
                      <w:sz w:val="18"/>
                      <w:szCs w:val="18"/>
                      <w:highlight w:val="none"/>
                    </w:rPr>
                    <w:t>污染物产生</w:t>
                  </w:r>
                </w:p>
              </w:tc>
              <w:tc>
                <w:tcPr>
                  <w:tcW w:w="1503" w:type="pct"/>
                  <w:gridSpan w:val="5"/>
                  <w:tcBorders>
                    <w:top w:val="single" w:color="auto" w:sz="4" w:space="0"/>
                    <w:left w:val="single" w:color="auto" w:sz="4" w:space="0"/>
                    <w:bottom w:val="single" w:color="auto" w:sz="4" w:space="0"/>
                    <w:right w:val="single" w:color="auto" w:sz="4" w:space="0"/>
                  </w:tcBorders>
                  <w:noWrap w:val="0"/>
                  <w:vAlign w:val="center"/>
                </w:tcPr>
                <w:p w14:paraId="4B07271B">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治理设施</w:t>
                  </w:r>
                </w:p>
              </w:tc>
              <w:tc>
                <w:tcPr>
                  <w:tcW w:w="1691" w:type="pct"/>
                  <w:gridSpan w:val="5"/>
                  <w:tcBorders>
                    <w:top w:val="single" w:color="auto" w:sz="4" w:space="0"/>
                    <w:left w:val="single" w:color="auto" w:sz="4" w:space="0"/>
                    <w:bottom w:val="single" w:color="auto" w:sz="4" w:space="0"/>
                    <w:right w:val="single" w:color="auto" w:sz="4" w:space="0"/>
                  </w:tcBorders>
                  <w:noWrap w:val="0"/>
                  <w:vAlign w:val="center"/>
                </w:tcPr>
                <w:p w14:paraId="70C2787F">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有组织</w:t>
                  </w:r>
                  <w:r>
                    <w:rPr>
                      <w:rFonts w:hint="default" w:ascii="Times New Roman" w:hAnsi="Times New Roman" w:eastAsia="宋体" w:cs="Times New Roman"/>
                      <w:color w:val="auto"/>
                      <w:sz w:val="18"/>
                      <w:szCs w:val="18"/>
                      <w:highlight w:val="none"/>
                    </w:rPr>
                    <w:t>污染物排放</w:t>
                  </w:r>
                </w:p>
              </w:tc>
            </w:tr>
            <w:tr w14:paraId="4F541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54" w:type="pct"/>
                  <w:vMerge w:val="continue"/>
                  <w:tcBorders>
                    <w:top w:val="single" w:color="auto" w:sz="4" w:space="0"/>
                    <w:left w:val="single" w:color="auto" w:sz="4" w:space="0"/>
                    <w:bottom w:val="single" w:color="auto" w:sz="4" w:space="0"/>
                    <w:right w:val="single" w:color="auto" w:sz="4" w:space="0"/>
                  </w:tcBorders>
                  <w:noWrap w:val="0"/>
                  <w:vAlign w:val="center"/>
                </w:tcPr>
                <w:p w14:paraId="14C9FE64">
                  <w:pPr>
                    <w:spacing w:line="240" w:lineRule="auto"/>
                    <w:jc w:val="center"/>
                    <w:rPr>
                      <w:rFonts w:hint="default" w:ascii="Times New Roman" w:hAnsi="Times New Roman" w:eastAsia="宋体" w:cs="Times New Roman"/>
                      <w:color w:val="auto"/>
                      <w:sz w:val="18"/>
                      <w:szCs w:val="18"/>
                      <w:highlight w:val="none"/>
                    </w:rPr>
                  </w:pPr>
                </w:p>
              </w:tc>
              <w:tc>
                <w:tcPr>
                  <w:tcW w:w="281" w:type="pct"/>
                  <w:vMerge w:val="continue"/>
                  <w:tcBorders>
                    <w:top w:val="single" w:color="auto" w:sz="4" w:space="0"/>
                    <w:left w:val="single" w:color="auto" w:sz="4" w:space="0"/>
                    <w:bottom w:val="single" w:color="auto" w:sz="4" w:space="0"/>
                    <w:right w:val="single" w:color="auto" w:sz="4" w:space="0"/>
                  </w:tcBorders>
                  <w:noWrap w:val="0"/>
                  <w:vAlign w:val="center"/>
                </w:tcPr>
                <w:p w14:paraId="5647EA4A">
                  <w:pPr>
                    <w:spacing w:line="240" w:lineRule="auto"/>
                    <w:jc w:val="center"/>
                    <w:rPr>
                      <w:rFonts w:hint="default" w:ascii="Times New Roman" w:hAnsi="Times New Roman" w:eastAsia="宋体" w:cs="Times New Roman"/>
                      <w:color w:val="auto"/>
                      <w:sz w:val="18"/>
                      <w:szCs w:val="18"/>
                      <w:highlight w:val="none"/>
                    </w:rPr>
                  </w:pPr>
                </w:p>
              </w:tc>
              <w:tc>
                <w:tcPr>
                  <w:tcW w:w="369" w:type="pct"/>
                  <w:tcBorders>
                    <w:top w:val="single" w:color="auto" w:sz="4" w:space="0"/>
                    <w:left w:val="single" w:color="auto" w:sz="4" w:space="0"/>
                    <w:bottom w:val="single" w:color="auto" w:sz="4" w:space="0"/>
                    <w:right w:val="single" w:color="auto" w:sz="4" w:space="0"/>
                  </w:tcBorders>
                  <w:noWrap w:val="0"/>
                  <w:vAlign w:val="center"/>
                </w:tcPr>
                <w:p w14:paraId="60F21E8E">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eastAsia="zh-CN"/>
                    </w:rPr>
                    <w:t>产生</w:t>
                  </w:r>
                  <w:r>
                    <w:rPr>
                      <w:rFonts w:hint="default" w:ascii="Times New Roman" w:hAnsi="Times New Roman" w:eastAsia="宋体" w:cs="Times New Roman"/>
                      <w:color w:val="auto"/>
                      <w:sz w:val="18"/>
                      <w:szCs w:val="18"/>
                      <w:highlight w:val="none"/>
                    </w:rPr>
                    <w:t>量t/a</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65F16960">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产生浓度mg/m</w:t>
                  </w:r>
                  <w:r>
                    <w:rPr>
                      <w:rFonts w:hint="default" w:ascii="Times New Roman" w:hAnsi="Times New Roman" w:eastAsia="宋体" w:cs="Times New Roman"/>
                      <w:color w:val="auto"/>
                      <w:sz w:val="18"/>
                      <w:szCs w:val="18"/>
                      <w:highlight w:val="none"/>
                      <w:vertAlign w:val="superscript"/>
                    </w:rPr>
                    <w:t>3</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460CB967">
                  <w:pPr>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产生速率</w:t>
                  </w:r>
                  <w:r>
                    <w:rPr>
                      <w:rFonts w:hint="default" w:ascii="Times New Roman" w:hAnsi="Times New Roman" w:eastAsia="宋体" w:cs="Times New Roman"/>
                      <w:color w:val="auto"/>
                      <w:sz w:val="18"/>
                      <w:szCs w:val="18"/>
                      <w:highlight w:val="none"/>
                      <w:lang w:val="en-US" w:eastAsia="zh-CN"/>
                    </w:rPr>
                    <w:t>kg/h</w:t>
                  </w:r>
                </w:p>
              </w:tc>
              <w:tc>
                <w:tcPr>
                  <w:tcW w:w="387" w:type="pct"/>
                  <w:tcBorders>
                    <w:top w:val="single" w:color="auto" w:sz="4" w:space="0"/>
                    <w:left w:val="single" w:color="auto" w:sz="4" w:space="0"/>
                    <w:bottom w:val="single" w:color="auto" w:sz="4" w:space="0"/>
                    <w:right w:val="single" w:color="auto" w:sz="4" w:space="0"/>
                  </w:tcBorders>
                  <w:noWrap w:val="0"/>
                  <w:vAlign w:val="center"/>
                </w:tcPr>
                <w:p w14:paraId="0370D3FF">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处理能力m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w:t>
                  </w:r>
                  <w:r>
                    <w:rPr>
                      <w:rFonts w:hint="default" w:ascii="Times New Roman" w:hAnsi="Times New Roman" w:eastAsia="宋体" w:cs="Times New Roman"/>
                      <w:color w:val="auto"/>
                      <w:sz w:val="18"/>
                      <w:szCs w:val="18"/>
                      <w:highlight w:val="none"/>
                      <w:lang w:val="en-US" w:eastAsia="zh-CN"/>
                    </w:rPr>
                    <w:t>h</w:t>
                  </w:r>
                </w:p>
              </w:tc>
              <w:tc>
                <w:tcPr>
                  <w:tcW w:w="271" w:type="pct"/>
                  <w:tcBorders>
                    <w:top w:val="single" w:color="auto" w:sz="4" w:space="0"/>
                    <w:left w:val="single" w:color="auto" w:sz="4" w:space="0"/>
                    <w:bottom w:val="single" w:color="auto" w:sz="4" w:space="0"/>
                    <w:right w:val="single" w:color="auto" w:sz="4" w:space="0"/>
                  </w:tcBorders>
                  <w:noWrap w:val="0"/>
                  <w:vAlign w:val="center"/>
                </w:tcPr>
                <w:p w14:paraId="1895F49D">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收集率%</w:t>
                  </w:r>
                </w:p>
              </w:tc>
              <w:tc>
                <w:tcPr>
                  <w:tcW w:w="306" w:type="pct"/>
                  <w:tcBorders>
                    <w:top w:val="single" w:color="auto" w:sz="4" w:space="0"/>
                    <w:left w:val="single" w:color="auto" w:sz="4" w:space="0"/>
                    <w:bottom w:val="single" w:color="auto" w:sz="4" w:space="0"/>
                    <w:right w:val="single" w:color="auto" w:sz="4" w:space="0"/>
                  </w:tcBorders>
                  <w:noWrap w:val="0"/>
                  <w:vAlign w:val="center"/>
                </w:tcPr>
                <w:p w14:paraId="1670EB52">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治理工艺</w:t>
                  </w:r>
                </w:p>
              </w:tc>
              <w:tc>
                <w:tcPr>
                  <w:tcW w:w="225" w:type="pct"/>
                  <w:tcBorders>
                    <w:top w:val="single" w:color="auto" w:sz="4" w:space="0"/>
                    <w:left w:val="single" w:color="auto" w:sz="4" w:space="0"/>
                    <w:bottom w:val="single" w:color="auto" w:sz="4" w:space="0"/>
                    <w:right w:val="single" w:color="auto" w:sz="4" w:space="0"/>
                  </w:tcBorders>
                  <w:noWrap w:val="0"/>
                  <w:vAlign w:val="center"/>
                </w:tcPr>
                <w:p w14:paraId="1290FDB2">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去除率%</w:t>
                  </w:r>
                </w:p>
              </w:tc>
              <w:tc>
                <w:tcPr>
                  <w:tcW w:w="314" w:type="pct"/>
                  <w:tcBorders>
                    <w:top w:val="single" w:color="auto" w:sz="4" w:space="0"/>
                    <w:left w:val="single" w:color="auto" w:sz="4" w:space="0"/>
                    <w:bottom w:val="single" w:color="auto" w:sz="4" w:space="0"/>
                    <w:right w:val="single" w:color="auto" w:sz="4" w:space="0"/>
                  </w:tcBorders>
                  <w:noWrap w:val="0"/>
                  <w:vAlign w:val="center"/>
                </w:tcPr>
                <w:p w14:paraId="18820D41">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是否为可行技术</w:t>
                  </w:r>
                </w:p>
              </w:tc>
              <w:tc>
                <w:tcPr>
                  <w:tcW w:w="335" w:type="pct"/>
                  <w:tcBorders>
                    <w:top w:val="single" w:color="auto" w:sz="4" w:space="0"/>
                    <w:left w:val="single" w:color="auto" w:sz="4" w:space="0"/>
                    <w:bottom w:val="single" w:color="auto" w:sz="4" w:space="0"/>
                    <w:right w:val="single" w:color="auto" w:sz="4" w:space="0"/>
                  </w:tcBorders>
                  <w:noWrap w:val="0"/>
                  <w:vAlign w:val="center"/>
                </w:tcPr>
                <w:p w14:paraId="67E5AD67">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排放量t/a</w:t>
                  </w:r>
                </w:p>
              </w:tc>
              <w:tc>
                <w:tcPr>
                  <w:tcW w:w="358" w:type="pct"/>
                  <w:tcBorders>
                    <w:top w:val="single" w:color="auto" w:sz="4" w:space="0"/>
                    <w:left w:val="single" w:color="auto" w:sz="4" w:space="0"/>
                    <w:bottom w:val="single" w:color="auto" w:sz="4" w:space="0"/>
                    <w:right w:val="single" w:color="auto" w:sz="4" w:space="0"/>
                  </w:tcBorders>
                  <w:noWrap w:val="0"/>
                  <w:vAlign w:val="center"/>
                </w:tcPr>
                <w:p w14:paraId="5E430899">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排放浓度mg/m</w:t>
                  </w:r>
                  <w:r>
                    <w:rPr>
                      <w:rFonts w:hint="default" w:ascii="Times New Roman" w:hAnsi="Times New Roman" w:eastAsia="宋体" w:cs="Times New Roman"/>
                      <w:color w:val="auto"/>
                      <w:sz w:val="18"/>
                      <w:szCs w:val="18"/>
                      <w:highlight w:val="none"/>
                      <w:vertAlign w:val="superscript"/>
                    </w:rPr>
                    <w:t>3</w:t>
                  </w:r>
                </w:p>
              </w:tc>
              <w:tc>
                <w:tcPr>
                  <w:tcW w:w="366" w:type="pct"/>
                  <w:tcBorders>
                    <w:top w:val="single" w:color="auto" w:sz="4" w:space="0"/>
                    <w:left w:val="single" w:color="auto" w:sz="4" w:space="0"/>
                    <w:bottom w:val="single" w:color="auto" w:sz="4" w:space="0"/>
                    <w:right w:val="single" w:color="auto" w:sz="4" w:space="0"/>
                  </w:tcBorders>
                  <w:noWrap w:val="0"/>
                  <w:vAlign w:val="center"/>
                </w:tcPr>
                <w:p w14:paraId="7E971915">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排放速率kg/h</w:t>
                  </w:r>
                </w:p>
              </w:tc>
              <w:tc>
                <w:tcPr>
                  <w:tcW w:w="265" w:type="pct"/>
                  <w:tcBorders>
                    <w:top w:val="single" w:color="auto" w:sz="4" w:space="0"/>
                    <w:left w:val="single" w:color="auto" w:sz="4" w:space="0"/>
                    <w:bottom w:val="single" w:color="auto" w:sz="4" w:space="0"/>
                    <w:right w:val="single" w:color="auto" w:sz="4" w:space="0"/>
                  </w:tcBorders>
                  <w:noWrap w:val="0"/>
                  <w:vAlign w:val="center"/>
                </w:tcPr>
                <w:p w14:paraId="368AF966">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持续时间</w:t>
                  </w:r>
                </w:p>
                <w:p w14:paraId="1273D43A">
                  <w:pPr>
                    <w:pStyle w:val="80"/>
                    <w:spacing w:line="240" w:lineRule="auto"/>
                    <w:ind w:left="0" w:leftChars="0" w:firstLine="0" w:firstLine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h/a</w:t>
                  </w:r>
                </w:p>
              </w:tc>
              <w:tc>
                <w:tcPr>
                  <w:tcW w:w="367" w:type="pct"/>
                  <w:tcBorders>
                    <w:top w:val="single" w:color="auto" w:sz="4" w:space="0"/>
                    <w:left w:val="single" w:color="auto" w:sz="4" w:space="0"/>
                    <w:bottom w:val="single" w:color="auto" w:sz="4" w:space="0"/>
                    <w:right w:val="single" w:color="auto" w:sz="4" w:space="0"/>
                  </w:tcBorders>
                  <w:noWrap w:val="0"/>
                  <w:vAlign w:val="center"/>
                </w:tcPr>
                <w:p w14:paraId="272D47CD">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排放形式</w:t>
                  </w:r>
                </w:p>
              </w:tc>
            </w:tr>
            <w:tr w14:paraId="6074F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254" w:type="pct"/>
                  <w:vMerge w:val="restart"/>
                  <w:tcBorders>
                    <w:top w:val="single" w:color="auto" w:sz="2" w:space="0"/>
                    <w:left w:val="single" w:color="auto" w:sz="4" w:space="0"/>
                    <w:right w:val="single" w:color="auto" w:sz="4" w:space="0"/>
                  </w:tcBorders>
                  <w:noWrap w:val="0"/>
                  <w:vAlign w:val="center"/>
                </w:tcPr>
                <w:p w14:paraId="08FE8338">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天然气燃烧</w:t>
                  </w:r>
                </w:p>
              </w:tc>
              <w:tc>
                <w:tcPr>
                  <w:tcW w:w="281" w:type="pct"/>
                  <w:tcBorders>
                    <w:top w:val="single" w:color="auto" w:sz="4" w:space="0"/>
                    <w:left w:val="single" w:color="auto" w:sz="4" w:space="0"/>
                    <w:bottom w:val="single" w:color="auto" w:sz="4" w:space="0"/>
                    <w:right w:val="single" w:color="auto" w:sz="4" w:space="0"/>
                  </w:tcBorders>
                  <w:noWrap w:val="0"/>
                  <w:vAlign w:val="center"/>
                </w:tcPr>
                <w:p w14:paraId="2CE1F7F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SO</w:t>
                  </w:r>
                  <w:r>
                    <w:rPr>
                      <w:rFonts w:hint="eastAsia" w:ascii="Times New Roman" w:hAnsi="Times New Roman" w:eastAsia="宋体" w:cs="Times New Roman"/>
                      <w:bCs/>
                      <w:color w:val="auto"/>
                      <w:kern w:val="2"/>
                      <w:sz w:val="18"/>
                      <w:szCs w:val="18"/>
                      <w:highlight w:val="none"/>
                      <w:vertAlign w:val="subscript"/>
                      <w:lang w:val="en-US" w:eastAsia="zh-CN" w:bidi="ar-SA"/>
                    </w:rPr>
                    <w:t>2</w:t>
                  </w:r>
                </w:p>
              </w:tc>
              <w:tc>
                <w:tcPr>
                  <w:tcW w:w="369" w:type="pct"/>
                  <w:tcBorders>
                    <w:top w:val="single" w:color="auto" w:sz="4" w:space="0"/>
                    <w:left w:val="single" w:color="auto" w:sz="4" w:space="0"/>
                    <w:bottom w:val="single" w:color="auto" w:sz="4" w:space="0"/>
                    <w:right w:val="single" w:color="auto" w:sz="4" w:space="0"/>
                  </w:tcBorders>
                  <w:noWrap w:val="0"/>
                  <w:vAlign w:val="center"/>
                </w:tcPr>
                <w:p w14:paraId="35324CFE">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0.12</w:t>
                  </w:r>
                </w:p>
              </w:tc>
              <w:tc>
                <w:tcPr>
                  <w:tcW w:w="71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2204289">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2.56</w:t>
                  </w:r>
                </w:p>
              </w:tc>
              <w:tc>
                <w:tcPr>
                  <w:tcW w:w="472" w:type="pct"/>
                  <w:tcBorders>
                    <w:top w:val="single" w:color="auto" w:sz="4" w:space="0"/>
                    <w:left w:val="single" w:color="auto" w:sz="4" w:space="0"/>
                    <w:right w:val="single" w:color="auto" w:sz="4" w:space="0"/>
                  </w:tcBorders>
                  <w:noWrap w:val="0"/>
                  <w:vAlign w:val="center"/>
                </w:tcPr>
                <w:p w14:paraId="243B9BBC">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0.017</w:t>
                  </w:r>
                </w:p>
              </w:tc>
              <w:tc>
                <w:tcPr>
                  <w:tcW w:w="387" w:type="pct"/>
                  <w:vMerge w:val="restart"/>
                  <w:tcBorders>
                    <w:top w:val="single" w:color="auto" w:sz="4" w:space="0"/>
                    <w:left w:val="single" w:color="auto" w:sz="4" w:space="0"/>
                    <w:right w:val="single" w:color="auto" w:sz="4" w:space="0"/>
                  </w:tcBorders>
                  <w:noWrap w:val="0"/>
                  <w:vAlign w:val="center"/>
                </w:tcPr>
                <w:p w14:paraId="3C9283A4">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6500</w:t>
                  </w:r>
                </w:p>
              </w:tc>
              <w:tc>
                <w:tcPr>
                  <w:tcW w:w="271" w:type="pct"/>
                  <w:tcBorders>
                    <w:top w:val="single" w:color="auto" w:sz="4" w:space="0"/>
                    <w:left w:val="single" w:color="auto" w:sz="4" w:space="0"/>
                    <w:right w:val="single" w:color="auto" w:sz="4" w:space="0"/>
                  </w:tcBorders>
                  <w:noWrap w:val="0"/>
                  <w:vAlign w:val="center"/>
                </w:tcPr>
                <w:p w14:paraId="15833671">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100</w:t>
                  </w:r>
                </w:p>
              </w:tc>
              <w:tc>
                <w:tcPr>
                  <w:tcW w:w="306" w:type="pct"/>
                  <w:tcBorders>
                    <w:top w:val="single" w:color="auto" w:sz="4" w:space="0"/>
                    <w:left w:val="single" w:color="auto" w:sz="4" w:space="0"/>
                    <w:right w:val="single" w:color="auto" w:sz="4" w:space="0"/>
                  </w:tcBorders>
                  <w:noWrap w:val="0"/>
                  <w:vAlign w:val="center"/>
                </w:tcPr>
                <w:p w14:paraId="0E8FD8A2">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w:t>
                  </w:r>
                </w:p>
              </w:tc>
              <w:tc>
                <w:tcPr>
                  <w:tcW w:w="225" w:type="pct"/>
                  <w:tcBorders>
                    <w:top w:val="single" w:color="auto" w:sz="4" w:space="0"/>
                    <w:left w:val="single" w:color="auto" w:sz="4" w:space="0"/>
                    <w:right w:val="single" w:color="auto" w:sz="4" w:space="0"/>
                  </w:tcBorders>
                  <w:noWrap w:val="0"/>
                  <w:vAlign w:val="center"/>
                </w:tcPr>
                <w:p w14:paraId="0567E720">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w:t>
                  </w:r>
                </w:p>
              </w:tc>
              <w:tc>
                <w:tcPr>
                  <w:tcW w:w="314" w:type="pct"/>
                  <w:tcBorders>
                    <w:top w:val="single" w:color="auto" w:sz="4" w:space="0"/>
                    <w:left w:val="single" w:color="auto" w:sz="4" w:space="0"/>
                    <w:right w:val="single" w:color="auto" w:sz="4" w:space="0"/>
                  </w:tcBorders>
                  <w:noWrap w:val="0"/>
                  <w:vAlign w:val="center"/>
                </w:tcPr>
                <w:p w14:paraId="261EFAC7">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w:t>
                  </w:r>
                </w:p>
              </w:tc>
              <w:tc>
                <w:tcPr>
                  <w:tcW w:w="335" w:type="pct"/>
                  <w:tcBorders>
                    <w:top w:val="single" w:color="auto" w:sz="4" w:space="0"/>
                    <w:left w:val="single" w:color="auto" w:sz="4" w:space="0"/>
                    <w:right w:val="single" w:color="auto" w:sz="4" w:space="0"/>
                  </w:tcBorders>
                  <w:shd w:val="clear" w:color="auto" w:fill="auto"/>
                  <w:noWrap w:val="0"/>
                  <w:vAlign w:val="center"/>
                </w:tcPr>
                <w:p w14:paraId="42E9CEC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0.12</w:t>
                  </w:r>
                </w:p>
              </w:tc>
              <w:tc>
                <w:tcPr>
                  <w:tcW w:w="358" w:type="pct"/>
                  <w:tcBorders>
                    <w:top w:val="single" w:color="auto" w:sz="4" w:space="0"/>
                    <w:left w:val="single" w:color="auto" w:sz="4" w:space="0"/>
                    <w:right w:val="single" w:color="auto" w:sz="4" w:space="0"/>
                  </w:tcBorders>
                  <w:noWrap w:val="0"/>
                  <w:vAlign w:val="center"/>
                </w:tcPr>
                <w:p w14:paraId="4D07720D">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2.56</w:t>
                  </w:r>
                </w:p>
              </w:tc>
              <w:tc>
                <w:tcPr>
                  <w:tcW w:w="366" w:type="pct"/>
                  <w:tcBorders>
                    <w:top w:val="single" w:color="auto" w:sz="4" w:space="0"/>
                    <w:left w:val="single" w:color="auto" w:sz="4" w:space="0"/>
                    <w:right w:val="single" w:color="auto" w:sz="4" w:space="0"/>
                  </w:tcBorders>
                  <w:noWrap w:val="0"/>
                  <w:vAlign w:val="center"/>
                </w:tcPr>
                <w:p w14:paraId="7CFD6F3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0.017</w:t>
                  </w:r>
                </w:p>
              </w:tc>
              <w:tc>
                <w:tcPr>
                  <w:tcW w:w="265" w:type="pct"/>
                  <w:vMerge w:val="restart"/>
                  <w:tcBorders>
                    <w:top w:val="single" w:color="auto" w:sz="4" w:space="0"/>
                    <w:left w:val="single" w:color="auto" w:sz="4" w:space="0"/>
                    <w:right w:val="single" w:color="auto" w:sz="4" w:space="0"/>
                  </w:tcBorders>
                  <w:noWrap w:val="0"/>
                  <w:vAlign w:val="center"/>
                </w:tcPr>
                <w:p w14:paraId="7CCFDD9F">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7200</w:t>
                  </w:r>
                </w:p>
              </w:tc>
              <w:tc>
                <w:tcPr>
                  <w:tcW w:w="367" w:type="pct"/>
                  <w:vMerge w:val="restart"/>
                  <w:tcBorders>
                    <w:top w:val="single" w:color="auto" w:sz="4" w:space="0"/>
                    <w:left w:val="single" w:color="auto" w:sz="4" w:space="0"/>
                    <w:right w:val="single" w:color="auto" w:sz="4" w:space="0"/>
                  </w:tcBorders>
                  <w:noWrap w:val="0"/>
                  <w:vAlign w:val="center"/>
                </w:tcPr>
                <w:p w14:paraId="0193B2DC">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DA001</w:t>
                  </w:r>
                </w:p>
              </w:tc>
            </w:tr>
            <w:tr w14:paraId="20B92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254" w:type="pct"/>
                  <w:vMerge w:val="continue"/>
                  <w:tcBorders>
                    <w:left w:val="single" w:color="auto" w:sz="4" w:space="0"/>
                    <w:right w:val="single" w:color="auto" w:sz="4" w:space="0"/>
                  </w:tcBorders>
                  <w:noWrap w:val="0"/>
                  <w:vAlign w:val="center"/>
                </w:tcPr>
                <w:p w14:paraId="68002299">
                  <w:pPr>
                    <w:spacing w:line="240" w:lineRule="auto"/>
                    <w:jc w:val="center"/>
                    <w:rPr>
                      <w:rFonts w:hint="eastAsia" w:cs="Times New Roman"/>
                      <w:color w:val="auto"/>
                      <w:sz w:val="18"/>
                      <w:szCs w:val="18"/>
                      <w:highlight w:val="none"/>
                      <w:lang w:val="en-US" w:eastAsia="zh-CN"/>
                    </w:rPr>
                  </w:pPr>
                </w:p>
              </w:tc>
              <w:tc>
                <w:tcPr>
                  <w:tcW w:w="281" w:type="pct"/>
                  <w:tcBorders>
                    <w:top w:val="single" w:color="auto" w:sz="4" w:space="0"/>
                    <w:left w:val="single" w:color="auto" w:sz="4" w:space="0"/>
                    <w:bottom w:val="single" w:color="auto" w:sz="4" w:space="0"/>
                    <w:right w:val="single" w:color="auto" w:sz="4" w:space="0"/>
                  </w:tcBorders>
                  <w:noWrap w:val="0"/>
                  <w:vAlign w:val="center"/>
                </w:tcPr>
                <w:p w14:paraId="3BA9C46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ascii="Times New Roman" w:hAnsi="Times New Roman" w:eastAsia="宋体" w:cs="Times New Roman"/>
                      <w:bCs/>
                      <w:color w:val="auto"/>
                      <w:kern w:val="2"/>
                      <w:sz w:val="18"/>
                      <w:szCs w:val="18"/>
                      <w:highlight w:val="none"/>
                      <w:vertAlign w:val="baseline"/>
                      <w:lang w:val="en-US" w:eastAsia="zh-CN" w:bidi="ar-SA"/>
                    </w:rPr>
                    <w:t>NOx</w:t>
                  </w:r>
                </w:p>
              </w:tc>
              <w:tc>
                <w:tcPr>
                  <w:tcW w:w="369" w:type="pct"/>
                  <w:tcBorders>
                    <w:top w:val="single" w:color="auto" w:sz="4" w:space="0"/>
                    <w:left w:val="single" w:color="auto" w:sz="4" w:space="0"/>
                    <w:bottom w:val="single" w:color="auto" w:sz="4" w:space="0"/>
                    <w:right w:val="single" w:color="auto" w:sz="4" w:space="0"/>
                  </w:tcBorders>
                  <w:noWrap w:val="0"/>
                  <w:vAlign w:val="center"/>
                </w:tcPr>
                <w:p w14:paraId="5F6E6C85">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0.4182</w:t>
                  </w:r>
                </w:p>
              </w:tc>
              <w:tc>
                <w:tcPr>
                  <w:tcW w:w="71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C949D3B">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8.94</w:t>
                  </w:r>
                </w:p>
              </w:tc>
              <w:tc>
                <w:tcPr>
                  <w:tcW w:w="472" w:type="pct"/>
                  <w:tcBorders>
                    <w:top w:val="single" w:color="auto" w:sz="4" w:space="0"/>
                    <w:left w:val="single" w:color="auto" w:sz="4" w:space="0"/>
                    <w:right w:val="single" w:color="auto" w:sz="4" w:space="0"/>
                  </w:tcBorders>
                  <w:noWrap w:val="0"/>
                  <w:vAlign w:val="center"/>
                </w:tcPr>
                <w:p w14:paraId="5D3B1BC6">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0.058</w:t>
                  </w:r>
                </w:p>
              </w:tc>
              <w:tc>
                <w:tcPr>
                  <w:tcW w:w="387" w:type="pct"/>
                  <w:vMerge w:val="continue"/>
                  <w:tcBorders>
                    <w:left w:val="single" w:color="auto" w:sz="4" w:space="0"/>
                    <w:right w:val="single" w:color="auto" w:sz="4" w:space="0"/>
                  </w:tcBorders>
                  <w:noWrap w:val="0"/>
                  <w:vAlign w:val="center"/>
                </w:tcPr>
                <w:p w14:paraId="28008A0B">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71" w:type="pct"/>
                  <w:tcBorders>
                    <w:top w:val="single" w:color="auto" w:sz="4" w:space="0"/>
                    <w:left w:val="single" w:color="auto" w:sz="4" w:space="0"/>
                    <w:right w:val="single" w:color="auto" w:sz="4" w:space="0"/>
                  </w:tcBorders>
                  <w:noWrap w:val="0"/>
                  <w:vAlign w:val="center"/>
                </w:tcPr>
                <w:p w14:paraId="2080EFE9">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100</w:t>
                  </w:r>
                </w:p>
              </w:tc>
              <w:tc>
                <w:tcPr>
                  <w:tcW w:w="306" w:type="pct"/>
                  <w:tcBorders>
                    <w:left w:val="single" w:color="auto" w:sz="4" w:space="0"/>
                    <w:right w:val="single" w:color="auto" w:sz="4" w:space="0"/>
                  </w:tcBorders>
                  <w:noWrap w:val="0"/>
                  <w:vAlign w:val="center"/>
                </w:tcPr>
                <w:p w14:paraId="5C9C9DE4">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低氮燃烧</w:t>
                  </w:r>
                </w:p>
              </w:tc>
              <w:tc>
                <w:tcPr>
                  <w:tcW w:w="225" w:type="pct"/>
                  <w:tcBorders>
                    <w:left w:val="single" w:color="auto" w:sz="4" w:space="0"/>
                    <w:right w:val="single" w:color="auto" w:sz="4" w:space="0"/>
                  </w:tcBorders>
                  <w:noWrap w:val="0"/>
                  <w:vAlign w:val="center"/>
                </w:tcPr>
                <w:p w14:paraId="5D699D48">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w:t>
                  </w:r>
                </w:p>
              </w:tc>
              <w:tc>
                <w:tcPr>
                  <w:tcW w:w="314" w:type="pct"/>
                  <w:tcBorders>
                    <w:left w:val="single" w:color="auto" w:sz="4" w:space="0"/>
                    <w:right w:val="single" w:color="auto" w:sz="4" w:space="0"/>
                  </w:tcBorders>
                  <w:noWrap w:val="0"/>
                  <w:vAlign w:val="center"/>
                </w:tcPr>
                <w:p w14:paraId="65A6A58B">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是</w:t>
                  </w:r>
                </w:p>
              </w:tc>
              <w:tc>
                <w:tcPr>
                  <w:tcW w:w="335" w:type="pct"/>
                  <w:tcBorders>
                    <w:left w:val="single" w:color="auto" w:sz="4" w:space="0"/>
                    <w:right w:val="single" w:color="auto" w:sz="4" w:space="0"/>
                  </w:tcBorders>
                  <w:shd w:val="clear" w:color="auto" w:fill="auto"/>
                  <w:noWrap w:val="0"/>
                  <w:vAlign w:val="center"/>
                </w:tcPr>
                <w:p w14:paraId="448E4269">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0.4182</w:t>
                  </w:r>
                </w:p>
              </w:tc>
              <w:tc>
                <w:tcPr>
                  <w:tcW w:w="358" w:type="pct"/>
                  <w:tcBorders>
                    <w:left w:val="single" w:color="auto" w:sz="4" w:space="0"/>
                    <w:right w:val="single" w:color="auto" w:sz="4" w:space="0"/>
                  </w:tcBorders>
                  <w:noWrap w:val="0"/>
                  <w:vAlign w:val="center"/>
                </w:tcPr>
                <w:p w14:paraId="63807797">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8.94</w:t>
                  </w:r>
                </w:p>
              </w:tc>
              <w:tc>
                <w:tcPr>
                  <w:tcW w:w="366" w:type="pct"/>
                  <w:tcBorders>
                    <w:left w:val="single" w:color="auto" w:sz="4" w:space="0"/>
                    <w:right w:val="single" w:color="auto" w:sz="4" w:space="0"/>
                  </w:tcBorders>
                  <w:noWrap w:val="0"/>
                  <w:vAlign w:val="center"/>
                </w:tcPr>
                <w:p w14:paraId="037B5A04">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0.058</w:t>
                  </w:r>
                </w:p>
              </w:tc>
              <w:tc>
                <w:tcPr>
                  <w:tcW w:w="265" w:type="pct"/>
                  <w:vMerge w:val="continue"/>
                  <w:tcBorders>
                    <w:left w:val="single" w:color="auto" w:sz="4" w:space="0"/>
                    <w:right w:val="single" w:color="auto" w:sz="4" w:space="0"/>
                  </w:tcBorders>
                  <w:noWrap w:val="0"/>
                  <w:vAlign w:val="center"/>
                </w:tcPr>
                <w:p w14:paraId="3B4667B8">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67" w:type="pct"/>
                  <w:vMerge w:val="continue"/>
                  <w:tcBorders>
                    <w:left w:val="single" w:color="auto" w:sz="4" w:space="0"/>
                    <w:right w:val="single" w:color="auto" w:sz="4" w:space="0"/>
                  </w:tcBorders>
                  <w:noWrap w:val="0"/>
                  <w:vAlign w:val="center"/>
                </w:tcPr>
                <w:p w14:paraId="03F15BB2">
                  <w:pPr>
                    <w:spacing w:line="240" w:lineRule="auto"/>
                    <w:jc w:val="center"/>
                    <w:rPr>
                      <w:rFonts w:hint="default" w:ascii="Times New Roman" w:hAnsi="Times New Roman" w:eastAsia="宋体" w:cs="Times New Roman"/>
                      <w:color w:val="auto"/>
                      <w:sz w:val="18"/>
                      <w:szCs w:val="18"/>
                      <w:highlight w:val="none"/>
                      <w:lang w:val="en-US" w:eastAsia="zh-CN"/>
                    </w:rPr>
                  </w:pPr>
                </w:p>
              </w:tc>
            </w:tr>
            <w:tr w14:paraId="63D99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1" w:hRule="atLeast"/>
                <w:jc w:val="center"/>
              </w:trPr>
              <w:tc>
                <w:tcPr>
                  <w:tcW w:w="254" w:type="pct"/>
                  <w:vMerge w:val="continue"/>
                  <w:tcBorders>
                    <w:left w:val="single" w:color="auto" w:sz="4" w:space="0"/>
                    <w:right w:val="single" w:color="auto" w:sz="4" w:space="0"/>
                  </w:tcBorders>
                  <w:noWrap w:val="0"/>
                  <w:vAlign w:val="center"/>
                </w:tcPr>
                <w:p w14:paraId="6EA1AA87">
                  <w:pPr>
                    <w:spacing w:line="240" w:lineRule="auto"/>
                    <w:jc w:val="center"/>
                    <w:rPr>
                      <w:rFonts w:hint="default" w:cs="Times New Roman"/>
                      <w:color w:val="auto"/>
                      <w:sz w:val="18"/>
                      <w:szCs w:val="18"/>
                      <w:highlight w:val="none"/>
                      <w:lang w:val="en-US" w:eastAsia="zh-CN"/>
                    </w:rPr>
                  </w:pPr>
                </w:p>
              </w:tc>
              <w:tc>
                <w:tcPr>
                  <w:tcW w:w="281" w:type="pct"/>
                  <w:tcBorders>
                    <w:top w:val="single" w:color="auto" w:sz="4" w:space="0"/>
                    <w:left w:val="single" w:color="auto" w:sz="4" w:space="0"/>
                    <w:bottom w:val="single" w:color="auto" w:sz="4" w:space="0"/>
                    <w:right w:val="single" w:color="auto" w:sz="4" w:space="0"/>
                  </w:tcBorders>
                  <w:noWrap w:val="0"/>
                  <w:vAlign w:val="center"/>
                </w:tcPr>
                <w:p w14:paraId="25ABCA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369" w:type="pct"/>
                  <w:tcBorders>
                    <w:top w:val="single" w:color="auto" w:sz="4" w:space="0"/>
                    <w:left w:val="single" w:color="auto" w:sz="4" w:space="0"/>
                    <w:bottom w:val="single" w:color="auto" w:sz="4" w:space="0"/>
                    <w:right w:val="single" w:color="auto" w:sz="4" w:space="0"/>
                  </w:tcBorders>
                  <w:noWrap w:val="0"/>
                  <w:vAlign w:val="center"/>
                </w:tcPr>
                <w:p w14:paraId="2E77518D">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0.062</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746F81F2">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1.32</w:t>
                  </w:r>
                </w:p>
              </w:tc>
              <w:tc>
                <w:tcPr>
                  <w:tcW w:w="472" w:type="pct"/>
                  <w:tcBorders>
                    <w:top w:val="single" w:color="auto" w:sz="4" w:space="0"/>
                    <w:left w:val="single" w:color="auto" w:sz="4" w:space="0"/>
                    <w:right w:val="single" w:color="auto" w:sz="4" w:space="0"/>
                  </w:tcBorders>
                  <w:noWrap w:val="0"/>
                  <w:vAlign w:val="center"/>
                </w:tcPr>
                <w:p w14:paraId="6DFBFF6B">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0.009</w:t>
                  </w:r>
                </w:p>
              </w:tc>
              <w:tc>
                <w:tcPr>
                  <w:tcW w:w="387" w:type="pct"/>
                  <w:vMerge w:val="continue"/>
                  <w:tcBorders>
                    <w:left w:val="single" w:color="auto" w:sz="4" w:space="0"/>
                    <w:right w:val="single" w:color="auto" w:sz="4" w:space="0"/>
                  </w:tcBorders>
                  <w:noWrap w:val="0"/>
                  <w:vAlign w:val="center"/>
                </w:tcPr>
                <w:p w14:paraId="5CE11FDD">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71" w:type="pct"/>
                  <w:tcBorders>
                    <w:top w:val="single" w:color="auto" w:sz="4" w:space="0"/>
                    <w:left w:val="single" w:color="auto" w:sz="4" w:space="0"/>
                    <w:right w:val="single" w:color="auto" w:sz="4" w:space="0"/>
                  </w:tcBorders>
                  <w:noWrap w:val="0"/>
                  <w:vAlign w:val="center"/>
                </w:tcPr>
                <w:p w14:paraId="274A9D81">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100</w:t>
                  </w:r>
                </w:p>
              </w:tc>
              <w:tc>
                <w:tcPr>
                  <w:tcW w:w="306" w:type="pct"/>
                  <w:vMerge w:val="restart"/>
                  <w:tcBorders>
                    <w:left w:val="single" w:color="auto" w:sz="4" w:space="0"/>
                    <w:right w:val="single" w:color="auto" w:sz="4" w:space="0"/>
                  </w:tcBorders>
                  <w:noWrap w:val="0"/>
                  <w:vAlign w:val="center"/>
                </w:tcPr>
                <w:p w14:paraId="5E4CC772">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布袋除尘器+水喷淋</w:t>
                  </w:r>
                </w:p>
              </w:tc>
              <w:tc>
                <w:tcPr>
                  <w:tcW w:w="225" w:type="pct"/>
                  <w:vMerge w:val="restart"/>
                  <w:tcBorders>
                    <w:left w:val="single" w:color="auto" w:sz="4" w:space="0"/>
                    <w:right w:val="single" w:color="auto" w:sz="4" w:space="0"/>
                  </w:tcBorders>
                  <w:noWrap w:val="0"/>
                  <w:vAlign w:val="center"/>
                </w:tcPr>
                <w:p w14:paraId="4848DBA1">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w:t>
                  </w:r>
                  <w:r>
                    <w:rPr>
                      <w:rFonts w:hint="eastAsia" w:cs="Times New Roman"/>
                      <w:color w:val="auto"/>
                      <w:sz w:val="18"/>
                      <w:szCs w:val="18"/>
                      <w:highlight w:val="none"/>
                      <w:lang w:val="en-US" w:eastAsia="zh-CN"/>
                    </w:rPr>
                    <w:t>9.5</w:t>
                  </w:r>
                </w:p>
              </w:tc>
              <w:tc>
                <w:tcPr>
                  <w:tcW w:w="314" w:type="pct"/>
                  <w:vMerge w:val="restart"/>
                  <w:tcBorders>
                    <w:left w:val="single" w:color="auto" w:sz="4" w:space="0"/>
                    <w:right w:val="single" w:color="auto" w:sz="4" w:space="0"/>
                  </w:tcBorders>
                  <w:noWrap w:val="0"/>
                  <w:vAlign w:val="center"/>
                </w:tcPr>
                <w:p w14:paraId="12C3B61C">
                  <w:pPr>
                    <w:spacing w:line="240" w:lineRule="auto"/>
                    <w:jc w:val="center"/>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val="en-US" w:eastAsia="zh-CN"/>
                    </w:rPr>
                    <w:t>是</w:t>
                  </w:r>
                </w:p>
              </w:tc>
              <w:tc>
                <w:tcPr>
                  <w:tcW w:w="335" w:type="pct"/>
                  <w:vMerge w:val="restart"/>
                  <w:tcBorders>
                    <w:left w:val="single" w:color="auto" w:sz="4" w:space="0"/>
                    <w:right w:val="single" w:color="auto" w:sz="4" w:space="0"/>
                  </w:tcBorders>
                  <w:noWrap w:val="0"/>
                  <w:vAlign w:val="center"/>
                </w:tcPr>
                <w:p w14:paraId="2A1877B6">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0.0</w:t>
                  </w:r>
                  <w:r>
                    <w:rPr>
                      <w:rFonts w:hint="eastAsia" w:cs="Times New Roman"/>
                      <w:color w:val="auto"/>
                      <w:sz w:val="18"/>
                      <w:szCs w:val="18"/>
                      <w:highlight w:val="none"/>
                      <w:lang w:val="en-US" w:eastAsia="zh-CN"/>
                    </w:rPr>
                    <w:t>49</w:t>
                  </w:r>
                </w:p>
              </w:tc>
              <w:tc>
                <w:tcPr>
                  <w:tcW w:w="358" w:type="pct"/>
                  <w:vMerge w:val="restart"/>
                  <w:tcBorders>
                    <w:left w:val="single" w:color="auto" w:sz="4" w:space="0"/>
                    <w:right w:val="single" w:color="auto" w:sz="4" w:space="0"/>
                  </w:tcBorders>
                  <w:noWrap w:val="0"/>
                  <w:vAlign w:val="center"/>
                </w:tcPr>
                <w:p w14:paraId="09A82E12">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1.05</w:t>
                  </w:r>
                </w:p>
              </w:tc>
              <w:tc>
                <w:tcPr>
                  <w:tcW w:w="366" w:type="pct"/>
                  <w:vMerge w:val="restart"/>
                  <w:tcBorders>
                    <w:left w:val="single" w:color="auto" w:sz="4" w:space="0"/>
                    <w:right w:val="single" w:color="auto" w:sz="4" w:space="0"/>
                  </w:tcBorders>
                  <w:noWrap w:val="0"/>
                  <w:vAlign w:val="center"/>
                </w:tcPr>
                <w:p w14:paraId="158CD0F6">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0.007</w:t>
                  </w:r>
                </w:p>
              </w:tc>
              <w:tc>
                <w:tcPr>
                  <w:tcW w:w="265" w:type="pct"/>
                  <w:vMerge w:val="continue"/>
                  <w:tcBorders>
                    <w:left w:val="single" w:color="auto" w:sz="4" w:space="0"/>
                    <w:right w:val="single" w:color="auto" w:sz="4" w:space="0"/>
                  </w:tcBorders>
                  <w:noWrap w:val="0"/>
                  <w:vAlign w:val="center"/>
                </w:tcPr>
                <w:p w14:paraId="138DEDDD">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67" w:type="pct"/>
                  <w:vMerge w:val="continue"/>
                  <w:tcBorders>
                    <w:left w:val="single" w:color="auto" w:sz="4" w:space="0"/>
                    <w:right w:val="single" w:color="auto" w:sz="4" w:space="0"/>
                  </w:tcBorders>
                  <w:noWrap w:val="0"/>
                  <w:vAlign w:val="center"/>
                </w:tcPr>
                <w:p w14:paraId="2B9F69B0">
                  <w:pPr>
                    <w:spacing w:line="240" w:lineRule="auto"/>
                    <w:jc w:val="center"/>
                    <w:rPr>
                      <w:rFonts w:hint="default" w:ascii="Times New Roman" w:hAnsi="Times New Roman" w:eastAsia="宋体" w:cs="Times New Roman"/>
                      <w:color w:val="auto"/>
                      <w:sz w:val="18"/>
                      <w:szCs w:val="18"/>
                      <w:highlight w:val="none"/>
                      <w:lang w:val="en-US" w:eastAsia="zh-CN"/>
                    </w:rPr>
                  </w:pPr>
                </w:p>
              </w:tc>
            </w:tr>
            <w:tr w14:paraId="29D16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54" w:type="pct"/>
                  <w:tcBorders>
                    <w:top w:val="single" w:color="auto" w:sz="2" w:space="0"/>
                    <w:left w:val="single" w:color="auto" w:sz="4" w:space="0"/>
                    <w:right w:val="single" w:color="auto" w:sz="4" w:space="0"/>
                  </w:tcBorders>
                  <w:noWrap w:val="0"/>
                  <w:vAlign w:val="center"/>
                </w:tcPr>
                <w:p w14:paraId="764591A4">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造粒</w:t>
                  </w:r>
                </w:p>
              </w:tc>
              <w:tc>
                <w:tcPr>
                  <w:tcW w:w="281" w:type="pct"/>
                  <w:tcBorders>
                    <w:top w:val="single" w:color="auto" w:sz="4" w:space="0"/>
                    <w:left w:val="single" w:color="auto" w:sz="4" w:space="0"/>
                    <w:bottom w:val="single" w:color="auto" w:sz="4" w:space="0"/>
                    <w:right w:val="single" w:color="auto" w:sz="4" w:space="0"/>
                  </w:tcBorders>
                  <w:noWrap w:val="0"/>
                  <w:vAlign w:val="center"/>
                </w:tcPr>
                <w:p w14:paraId="2F9867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369" w:type="pct"/>
                  <w:tcBorders>
                    <w:top w:val="single" w:color="auto" w:sz="4" w:space="0"/>
                    <w:left w:val="single" w:color="auto" w:sz="4" w:space="0"/>
                    <w:bottom w:val="single" w:color="auto" w:sz="4" w:space="0"/>
                    <w:right w:val="single" w:color="auto" w:sz="4" w:space="0"/>
                  </w:tcBorders>
                  <w:noWrap w:val="0"/>
                  <w:vAlign w:val="center"/>
                </w:tcPr>
                <w:p w14:paraId="43321248">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5.693</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5DE120C4">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121.6</w:t>
                  </w:r>
                </w:p>
              </w:tc>
              <w:tc>
                <w:tcPr>
                  <w:tcW w:w="472" w:type="pct"/>
                  <w:tcBorders>
                    <w:top w:val="single" w:color="auto" w:sz="4" w:space="0"/>
                    <w:left w:val="single" w:color="auto" w:sz="4" w:space="0"/>
                    <w:right w:val="single" w:color="auto" w:sz="4" w:space="0"/>
                  </w:tcBorders>
                  <w:noWrap w:val="0"/>
                  <w:vAlign w:val="center"/>
                </w:tcPr>
                <w:p w14:paraId="286F9991">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0.79</w:t>
                  </w:r>
                </w:p>
              </w:tc>
              <w:tc>
                <w:tcPr>
                  <w:tcW w:w="387" w:type="pct"/>
                  <w:vMerge w:val="continue"/>
                  <w:tcBorders>
                    <w:left w:val="single" w:color="auto" w:sz="4" w:space="0"/>
                    <w:right w:val="single" w:color="auto" w:sz="4" w:space="0"/>
                  </w:tcBorders>
                  <w:noWrap w:val="0"/>
                  <w:vAlign w:val="center"/>
                </w:tcPr>
                <w:p w14:paraId="5E33598B">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71" w:type="pct"/>
                  <w:tcBorders>
                    <w:top w:val="single" w:color="auto" w:sz="4" w:space="0"/>
                    <w:left w:val="single" w:color="auto" w:sz="4" w:space="0"/>
                    <w:right w:val="single" w:color="auto" w:sz="4" w:space="0"/>
                  </w:tcBorders>
                  <w:noWrap w:val="0"/>
                  <w:vAlign w:val="center"/>
                </w:tcPr>
                <w:p w14:paraId="2CA88E82">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95</w:t>
                  </w:r>
                </w:p>
              </w:tc>
              <w:tc>
                <w:tcPr>
                  <w:tcW w:w="306" w:type="pct"/>
                  <w:vMerge w:val="continue"/>
                  <w:tcBorders>
                    <w:left w:val="single" w:color="auto" w:sz="4" w:space="0"/>
                    <w:right w:val="single" w:color="auto" w:sz="4" w:space="0"/>
                  </w:tcBorders>
                  <w:noWrap w:val="0"/>
                  <w:vAlign w:val="center"/>
                </w:tcPr>
                <w:p w14:paraId="0D55CB7A">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25" w:type="pct"/>
                  <w:vMerge w:val="continue"/>
                  <w:tcBorders>
                    <w:left w:val="single" w:color="auto" w:sz="4" w:space="0"/>
                    <w:right w:val="single" w:color="auto" w:sz="4" w:space="0"/>
                  </w:tcBorders>
                  <w:noWrap w:val="0"/>
                  <w:vAlign w:val="center"/>
                </w:tcPr>
                <w:p w14:paraId="2138A876">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14" w:type="pct"/>
                  <w:vMerge w:val="continue"/>
                  <w:tcBorders>
                    <w:left w:val="single" w:color="auto" w:sz="4" w:space="0"/>
                    <w:right w:val="single" w:color="auto" w:sz="4" w:space="0"/>
                  </w:tcBorders>
                  <w:noWrap w:val="0"/>
                  <w:vAlign w:val="center"/>
                </w:tcPr>
                <w:p w14:paraId="27FE2D8A">
                  <w:pPr>
                    <w:spacing w:line="240" w:lineRule="auto"/>
                    <w:jc w:val="center"/>
                    <w:rPr>
                      <w:rFonts w:hint="default" w:ascii="Times New Roman" w:hAnsi="Times New Roman" w:eastAsia="宋体" w:cs="Times New Roman"/>
                      <w:color w:val="auto"/>
                      <w:sz w:val="18"/>
                      <w:szCs w:val="18"/>
                      <w:highlight w:val="none"/>
                      <w:lang w:eastAsia="zh-CN"/>
                    </w:rPr>
                  </w:pPr>
                </w:p>
              </w:tc>
              <w:tc>
                <w:tcPr>
                  <w:tcW w:w="335" w:type="pct"/>
                  <w:vMerge w:val="continue"/>
                  <w:tcBorders>
                    <w:left w:val="single" w:color="auto" w:sz="4" w:space="0"/>
                    <w:right w:val="single" w:color="auto" w:sz="4" w:space="0"/>
                  </w:tcBorders>
                  <w:noWrap w:val="0"/>
                  <w:vAlign w:val="center"/>
                </w:tcPr>
                <w:p w14:paraId="4A3A8575">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358" w:type="pct"/>
                  <w:vMerge w:val="continue"/>
                  <w:tcBorders>
                    <w:left w:val="single" w:color="auto" w:sz="4" w:space="0"/>
                    <w:right w:val="single" w:color="auto" w:sz="4" w:space="0"/>
                  </w:tcBorders>
                  <w:noWrap w:val="0"/>
                  <w:vAlign w:val="center"/>
                </w:tcPr>
                <w:p w14:paraId="0BFCEB95">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366" w:type="pct"/>
                  <w:vMerge w:val="continue"/>
                  <w:tcBorders>
                    <w:left w:val="single" w:color="auto" w:sz="4" w:space="0"/>
                    <w:right w:val="single" w:color="auto" w:sz="4" w:space="0"/>
                  </w:tcBorders>
                  <w:noWrap w:val="0"/>
                  <w:vAlign w:val="center"/>
                </w:tcPr>
                <w:p w14:paraId="30446846">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265" w:type="pct"/>
                  <w:vMerge w:val="continue"/>
                  <w:tcBorders>
                    <w:left w:val="single" w:color="auto" w:sz="4" w:space="0"/>
                    <w:right w:val="single" w:color="auto" w:sz="4" w:space="0"/>
                  </w:tcBorders>
                  <w:noWrap w:val="0"/>
                  <w:vAlign w:val="center"/>
                </w:tcPr>
                <w:p w14:paraId="3088E9E5">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67" w:type="pct"/>
                  <w:vMerge w:val="continue"/>
                  <w:tcBorders>
                    <w:left w:val="single" w:color="auto" w:sz="4" w:space="0"/>
                    <w:right w:val="single" w:color="auto" w:sz="4" w:space="0"/>
                  </w:tcBorders>
                  <w:noWrap w:val="0"/>
                  <w:vAlign w:val="center"/>
                </w:tcPr>
                <w:p w14:paraId="2D51EE93">
                  <w:pPr>
                    <w:spacing w:line="240" w:lineRule="auto"/>
                    <w:jc w:val="center"/>
                    <w:rPr>
                      <w:rFonts w:hint="default" w:ascii="Times New Roman" w:hAnsi="Times New Roman" w:eastAsia="宋体" w:cs="Times New Roman"/>
                      <w:color w:val="auto"/>
                      <w:sz w:val="18"/>
                      <w:szCs w:val="18"/>
                      <w:highlight w:val="none"/>
                      <w:lang w:val="en-US" w:eastAsia="zh-CN"/>
                    </w:rPr>
                  </w:pPr>
                </w:p>
              </w:tc>
            </w:tr>
            <w:tr w14:paraId="29AD1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254" w:type="pct"/>
                  <w:tcBorders>
                    <w:left w:val="single" w:color="auto" w:sz="4" w:space="0"/>
                    <w:right w:val="single" w:color="auto" w:sz="4" w:space="0"/>
                  </w:tcBorders>
                  <w:noWrap w:val="0"/>
                  <w:vAlign w:val="center"/>
                </w:tcPr>
                <w:p w14:paraId="1B98BFD1">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烘干</w:t>
                  </w:r>
                </w:p>
              </w:tc>
              <w:tc>
                <w:tcPr>
                  <w:tcW w:w="281" w:type="pct"/>
                  <w:tcBorders>
                    <w:top w:val="single" w:color="auto" w:sz="4" w:space="0"/>
                    <w:left w:val="single" w:color="auto" w:sz="4" w:space="0"/>
                    <w:bottom w:val="single" w:color="auto" w:sz="4" w:space="0"/>
                    <w:right w:val="single" w:color="auto" w:sz="4" w:space="0"/>
                  </w:tcBorders>
                  <w:noWrap w:val="0"/>
                  <w:vAlign w:val="center"/>
                </w:tcPr>
                <w:p w14:paraId="3EB1E6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369" w:type="pct"/>
                  <w:tcBorders>
                    <w:top w:val="single" w:color="auto" w:sz="4" w:space="0"/>
                    <w:left w:val="single" w:color="auto" w:sz="4" w:space="0"/>
                    <w:bottom w:val="single" w:color="auto" w:sz="4" w:space="0"/>
                    <w:right w:val="single" w:color="auto" w:sz="4" w:space="0"/>
                  </w:tcBorders>
                  <w:noWrap w:val="0"/>
                  <w:vAlign w:val="center"/>
                </w:tcPr>
                <w:p w14:paraId="07A3FA4B">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3.96</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1F5DCAAB">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84.6</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14DCF9A1">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0.55</w:t>
                  </w:r>
                </w:p>
              </w:tc>
              <w:tc>
                <w:tcPr>
                  <w:tcW w:w="387" w:type="pct"/>
                  <w:vMerge w:val="continue"/>
                  <w:tcBorders>
                    <w:left w:val="single" w:color="auto" w:sz="4" w:space="0"/>
                    <w:right w:val="single" w:color="auto" w:sz="4" w:space="0"/>
                  </w:tcBorders>
                  <w:noWrap w:val="0"/>
                  <w:vAlign w:val="center"/>
                </w:tcPr>
                <w:p w14:paraId="32C6895E">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71" w:type="pct"/>
                  <w:tcBorders>
                    <w:top w:val="single" w:color="auto" w:sz="4" w:space="0"/>
                    <w:left w:val="single" w:color="auto" w:sz="4" w:space="0"/>
                    <w:bottom w:val="single" w:color="auto" w:sz="4" w:space="0"/>
                    <w:right w:val="single" w:color="auto" w:sz="4" w:space="0"/>
                  </w:tcBorders>
                  <w:noWrap w:val="0"/>
                  <w:vAlign w:val="center"/>
                </w:tcPr>
                <w:p w14:paraId="765E4F10">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100</w:t>
                  </w:r>
                </w:p>
              </w:tc>
              <w:tc>
                <w:tcPr>
                  <w:tcW w:w="306" w:type="pct"/>
                  <w:vMerge w:val="continue"/>
                  <w:tcBorders>
                    <w:left w:val="single" w:color="auto" w:sz="4" w:space="0"/>
                    <w:right w:val="single" w:color="auto" w:sz="4" w:space="0"/>
                  </w:tcBorders>
                  <w:noWrap w:val="0"/>
                  <w:vAlign w:val="center"/>
                </w:tcPr>
                <w:p w14:paraId="29503C81">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25" w:type="pct"/>
                  <w:vMerge w:val="continue"/>
                  <w:tcBorders>
                    <w:left w:val="single" w:color="auto" w:sz="4" w:space="0"/>
                    <w:right w:val="single" w:color="auto" w:sz="4" w:space="0"/>
                  </w:tcBorders>
                  <w:noWrap w:val="0"/>
                  <w:vAlign w:val="center"/>
                </w:tcPr>
                <w:p w14:paraId="001293BC">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14" w:type="pct"/>
                  <w:vMerge w:val="continue"/>
                  <w:tcBorders>
                    <w:left w:val="single" w:color="auto" w:sz="4" w:space="0"/>
                    <w:right w:val="single" w:color="auto" w:sz="4" w:space="0"/>
                  </w:tcBorders>
                  <w:noWrap w:val="0"/>
                  <w:vAlign w:val="center"/>
                </w:tcPr>
                <w:p w14:paraId="4FF33661">
                  <w:pPr>
                    <w:spacing w:line="240" w:lineRule="auto"/>
                    <w:jc w:val="center"/>
                    <w:rPr>
                      <w:rFonts w:hint="default" w:ascii="Times New Roman" w:hAnsi="Times New Roman" w:eastAsia="宋体" w:cs="Times New Roman"/>
                      <w:color w:val="auto"/>
                      <w:sz w:val="18"/>
                      <w:szCs w:val="18"/>
                      <w:highlight w:val="none"/>
                      <w:lang w:eastAsia="zh-CN"/>
                    </w:rPr>
                  </w:pPr>
                </w:p>
              </w:tc>
              <w:tc>
                <w:tcPr>
                  <w:tcW w:w="335" w:type="pct"/>
                  <w:vMerge w:val="continue"/>
                  <w:tcBorders>
                    <w:left w:val="single" w:color="auto" w:sz="4" w:space="0"/>
                    <w:right w:val="single" w:color="auto" w:sz="4" w:space="0"/>
                  </w:tcBorders>
                  <w:noWrap w:val="0"/>
                  <w:vAlign w:val="center"/>
                </w:tcPr>
                <w:p w14:paraId="3A2D1B6E">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358" w:type="pct"/>
                  <w:vMerge w:val="continue"/>
                  <w:tcBorders>
                    <w:left w:val="single" w:color="auto" w:sz="4" w:space="0"/>
                    <w:right w:val="single" w:color="auto" w:sz="4" w:space="0"/>
                  </w:tcBorders>
                  <w:noWrap w:val="0"/>
                  <w:vAlign w:val="center"/>
                </w:tcPr>
                <w:p w14:paraId="77D71226">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366" w:type="pct"/>
                  <w:vMerge w:val="continue"/>
                  <w:tcBorders>
                    <w:left w:val="single" w:color="auto" w:sz="4" w:space="0"/>
                    <w:right w:val="single" w:color="auto" w:sz="4" w:space="0"/>
                  </w:tcBorders>
                  <w:noWrap w:val="0"/>
                  <w:vAlign w:val="center"/>
                </w:tcPr>
                <w:p w14:paraId="22C87E18">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265" w:type="pct"/>
                  <w:vMerge w:val="continue"/>
                  <w:tcBorders>
                    <w:left w:val="single" w:color="auto" w:sz="4" w:space="0"/>
                    <w:right w:val="single" w:color="auto" w:sz="4" w:space="0"/>
                  </w:tcBorders>
                  <w:noWrap w:val="0"/>
                  <w:vAlign w:val="center"/>
                </w:tcPr>
                <w:p w14:paraId="4F72AB7C">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67" w:type="pct"/>
                  <w:vMerge w:val="continue"/>
                  <w:tcBorders>
                    <w:left w:val="single" w:color="auto" w:sz="4" w:space="0"/>
                    <w:right w:val="single" w:color="auto" w:sz="4" w:space="0"/>
                  </w:tcBorders>
                  <w:noWrap w:val="0"/>
                  <w:vAlign w:val="center"/>
                </w:tcPr>
                <w:p w14:paraId="75422F1D">
                  <w:pPr>
                    <w:spacing w:line="240" w:lineRule="auto"/>
                    <w:jc w:val="center"/>
                    <w:rPr>
                      <w:rFonts w:hint="default" w:ascii="Times New Roman" w:hAnsi="Times New Roman" w:eastAsia="宋体" w:cs="Times New Roman"/>
                      <w:color w:val="auto"/>
                      <w:sz w:val="18"/>
                      <w:szCs w:val="18"/>
                      <w:highlight w:val="none"/>
                      <w:lang w:val="en-US" w:eastAsia="zh-CN"/>
                    </w:rPr>
                  </w:pPr>
                </w:p>
              </w:tc>
            </w:tr>
            <w:tr w14:paraId="7B50B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254" w:type="pct"/>
                  <w:tcBorders>
                    <w:left w:val="single" w:color="auto" w:sz="4" w:space="0"/>
                    <w:right w:val="single" w:color="auto" w:sz="4" w:space="0"/>
                  </w:tcBorders>
                  <w:noWrap w:val="0"/>
                  <w:vAlign w:val="center"/>
                </w:tcPr>
                <w:p w14:paraId="34F571D2">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造粒</w:t>
                  </w:r>
                </w:p>
              </w:tc>
              <w:tc>
                <w:tcPr>
                  <w:tcW w:w="281" w:type="pct"/>
                  <w:tcBorders>
                    <w:top w:val="single" w:color="auto" w:sz="4" w:space="0"/>
                    <w:left w:val="single" w:color="auto" w:sz="4" w:space="0"/>
                    <w:bottom w:val="single" w:color="auto" w:sz="4" w:space="0"/>
                    <w:right w:val="single" w:color="auto" w:sz="4" w:space="0"/>
                  </w:tcBorders>
                  <w:noWrap w:val="0"/>
                  <w:vAlign w:val="center"/>
                </w:tcPr>
                <w:p w14:paraId="10DD7B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氨</w:t>
                  </w:r>
                </w:p>
              </w:tc>
              <w:tc>
                <w:tcPr>
                  <w:tcW w:w="369" w:type="pct"/>
                  <w:tcBorders>
                    <w:top w:val="single" w:color="auto" w:sz="4" w:space="0"/>
                    <w:left w:val="single" w:color="auto" w:sz="4" w:space="0"/>
                    <w:bottom w:val="single" w:color="auto" w:sz="4" w:space="0"/>
                    <w:right w:val="single" w:color="auto" w:sz="4" w:space="0"/>
                  </w:tcBorders>
                  <w:noWrap w:val="0"/>
                  <w:vAlign w:val="center"/>
                </w:tcPr>
                <w:p w14:paraId="75519934">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5.225</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7631568C">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111.6</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33FAE0A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0.73</w:t>
                  </w:r>
                </w:p>
              </w:tc>
              <w:tc>
                <w:tcPr>
                  <w:tcW w:w="387" w:type="pct"/>
                  <w:vMerge w:val="continue"/>
                  <w:tcBorders>
                    <w:left w:val="single" w:color="auto" w:sz="4" w:space="0"/>
                    <w:right w:val="single" w:color="auto" w:sz="4" w:space="0"/>
                  </w:tcBorders>
                  <w:noWrap w:val="0"/>
                  <w:vAlign w:val="center"/>
                </w:tcPr>
                <w:p w14:paraId="0ABABCEC">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p>
              </w:tc>
              <w:tc>
                <w:tcPr>
                  <w:tcW w:w="271" w:type="pct"/>
                  <w:tcBorders>
                    <w:top w:val="single" w:color="auto" w:sz="4" w:space="0"/>
                    <w:left w:val="single" w:color="auto" w:sz="4" w:space="0"/>
                    <w:bottom w:val="single" w:color="auto" w:sz="4" w:space="0"/>
                    <w:right w:val="single" w:color="auto" w:sz="4" w:space="0"/>
                  </w:tcBorders>
                  <w:noWrap w:val="0"/>
                  <w:vAlign w:val="center"/>
                </w:tcPr>
                <w:p w14:paraId="6F2B0653">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95</w:t>
                  </w:r>
                </w:p>
              </w:tc>
              <w:tc>
                <w:tcPr>
                  <w:tcW w:w="306" w:type="pct"/>
                  <w:vMerge w:val="continue"/>
                  <w:tcBorders>
                    <w:left w:val="single" w:color="auto" w:sz="4" w:space="0"/>
                    <w:right w:val="single" w:color="auto" w:sz="4" w:space="0"/>
                  </w:tcBorders>
                  <w:noWrap w:val="0"/>
                  <w:vAlign w:val="center"/>
                </w:tcPr>
                <w:p w14:paraId="6312B9AA">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p>
              </w:tc>
              <w:tc>
                <w:tcPr>
                  <w:tcW w:w="225" w:type="pct"/>
                  <w:vMerge w:val="restart"/>
                  <w:tcBorders>
                    <w:left w:val="single" w:color="auto" w:sz="4" w:space="0"/>
                    <w:right w:val="single" w:color="auto" w:sz="4" w:space="0"/>
                  </w:tcBorders>
                  <w:noWrap w:val="0"/>
                  <w:vAlign w:val="center"/>
                </w:tcPr>
                <w:p w14:paraId="579F9765">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9</w:t>
                  </w:r>
                  <w:r>
                    <w:rPr>
                      <w:rFonts w:hint="eastAsia" w:ascii="Times New Roman" w:hAnsi="Times New Roman" w:eastAsia="宋体" w:cs="Times New Roman"/>
                      <w:color w:val="auto"/>
                      <w:sz w:val="18"/>
                      <w:szCs w:val="18"/>
                      <w:highlight w:val="none"/>
                      <w:lang w:val="en-US" w:eastAsia="zh-CN"/>
                    </w:rPr>
                    <w:t>0</w:t>
                  </w:r>
                </w:p>
              </w:tc>
              <w:tc>
                <w:tcPr>
                  <w:tcW w:w="314" w:type="pct"/>
                  <w:vMerge w:val="restart"/>
                  <w:tcBorders>
                    <w:left w:val="single" w:color="auto" w:sz="4" w:space="0"/>
                    <w:right w:val="single" w:color="auto" w:sz="4" w:space="0"/>
                  </w:tcBorders>
                  <w:noWrap w:val="0"/>
                  <w:vAlign w:val="center"/>
                </w:tcPr>
                <w:p w14:paraId="74D0E422">
                  <w:pPr>
                    <w:spacing w:line="240" w:lineRule="auto"/>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是</w:t>
                  </w:r>
                </w:p>
              </w:tc>
              <w:tc>
                <w:tcPr>
                  <w:tcW w:w="335" w:type="pct"/>
                  <w:vMerge w:val="restart"/>
                  <w:tcBorders>
                    <w:left w:val="single" w:color="auto" w:sz="4" w:space="0"/>
                    <w:right w:val="single" w:color="auto" w:sz="4" w:space="0"/>
                  </w:tcBorders>
                  <w:noWrap w:val="0"/>
                  <w:vAlign w:val="center"/>
                </w:tcPr>
                <w:p w14:paraId="241DE184">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0.798</w:t>
                  </w:r>
                </w:p>
              </w:tc>
              <w:tc>
                <w:tcPr>
                  <w:tcW w:w="358" w:type="pct"/>
                  <w:vMerge w:val="restart"/>
                  <w:tcBorders>
                    <w:left w:val="single" w:color="auto" w:sz="4" w:space="0"/>
                    <w:right w:val="single" w:color="auto" w:sz="4" w:space="0"/>
                  </w:tcBorders>
                  <w:noWrap w:val="0"/>
                  <w:vAlign w:val="center"/>
                </w:tcPr>
                <w:p w14:paraId="7CA2C7AD">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17.05</w:t>
                  </w:r>
                </w:p>
              </w:tc>
              <w:tc>
                <w:tcPr>
                  <w:tcW w:w="366" w:type="pct"/>
                  <w:vMerge w:val="restart"/>
                  <w:tcBorders>
                    <w:left w:val="single" w:color="auto" w:sz="4" w:space="0"/>
                    <w:right w:val="single" w:color="auto" w:sz="4" w:space="0"/>
                  </w:tcBorders>
                  <w:noWrap w:val="0"/>
                  <w:vAlign w:val="center"/>
                </w:tcPr>
                <w:p w14:paraId="7306104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0.111</w:t>
                  </w:r>
                </w:p>
              </w:tc>
              <w:tc>
                <w:tcPr>
                  <w:tcW w:w="265" w:type="pct"/>
                  <w:vMerge w:val="continue"/>
                  <w:tcBorders>
                    <w:left w:val="single" w:color="auto" w:sz="4" w:space="0"/>
                    <w:right w:val="single" w:color="auto" w:sz="4" w:space="0"/>
                  </w:tcBorders>
                  <w:noWrap w:val="0"/>
                  <w:vAlign w:val="center"/>
                </w:tcPr>
                <w:p w14:paraId="71840844">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67" w:type="pct"/>
                  <w:vMerge w:val="continue"/>
                  <w:tcBorders>
                    <w:left w:val="single" w:color="auto" w:sz="4" w:space="0"/>
                    <w:right w:val="single" w:color="auto" w:sz="4" w:space="0"/>
                  </w:tcBorders>
                  <w:noWrap w:val="0"/>
                  <w:vAlign w:val="center"/>
                </w:tcPr>
                <w:p w14:paraId="446FDF2A">
                  <w:pPr>
                    <w:spacing w:line="240" w:lineRule="auto"/>
                    <w:jc w:val="center"/>
                    <w:rPr>
                      <w:rFonts w:hint="default" w:ascii="Times New Roman" w:hAnsi="Times New Roman" w:eastAsia="宋体" w:cs="Times New Roman"/>
                      <w:color w:val="auto"/>
                      <w:sz w:val="18"/>
                      <w:szCs w:val="18"/>
                      <w:highlight w:val="none"/>
                      <w:lang w:val="en-US" w:eastAsia="zh-CN"/>
                    </w:rPr>
                  </w:pPr>
                </w:p>
              </w:tc>
            </w:tr>
            <w:tr w14:paraId="4E3BC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254" w:type="pct"/>
                  <w:tcBorders>
                    <w:left w:val="single" w:color="auto" w:sz="4" w:space="0"/>
                    <w:right w:val="single" w:color="auto" w:sz="4" w:space="0"/>
                  </w:tcBorders>
                  <w:noWrap w:val="0"/>
                  <w:vAlign w:val="center"/>
                </w:tcPr>
                <w:p w14:paraId="7C16383E">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烘干</w:t>
                  </w:r>
                </w:p>
              </w:tc>
              <w:tc>
                <w:tcPr>
                  <w:tcW w:w="281" w:type="pct"/>
                  <w:tcBorders>
                    <w:top w:val="single" w:color="auto" w:sz="4" w:space="0"/>
                    <w:left w:val="single" w:color="auto" w:sz="4" w:space="0"/>
                    <w:bottom w:val="single" w:color="auto" w:sz="4" w:space="0"/>
                    <w:right w:val="single" w:color="auto" w:sz="4" w:space="0"/>
                  </w:tcBorders>
                  <w:noWrap w:val="0"/>
                  <w:vAlign w:val="center"/>
                </w:tcPr>
                <w:p w14:paraId="2BC9FD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氨</w:t>
                  </w:r>
                </w:p>
              </w:tc>
              <w:tc>
                <w:tcPr>
                  <w:tcW w:w="369" w:type="pct"/>
                  <w:tcBorders>
                    <w:top w:val="single" w:color="auto" w:sz="4" w:space="0"/>
                    <w:left w:val="single" w:color="auto" w:sz="4" w:space="0"/>
                    <w:bottom w:val="single" w:color="auto" w:sz="4" w:space="0"/>
                    <w:right w:val="single" w:color="auto" w:sz="4" w:space="0"/>
                  </w:tcBorders>
                  <w:noWrap w:val="0"/>
                  <w:vAlign w:val="center"/>
                </w:tcPr>
                <w:p w14:paraId="28C1192D">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2.75</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7682745B">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58.8</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38CC03F1">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0.38</w:t>
                  </w:r>
                </w:p>
              </w:tc>
              <w:tc>
                <w:tcPr>
                  <w:tcW w:w="387" w:type="pct"/>
                  <w:vMerge w:val="continue"/>
                  <w:tcBorders>
                    <w:left w:val="single" w:color="auto" w:sz="4" w:space="0"/>
                    <w:right w:val="single" w:color="auto" w:sz="4" w:space="0"/>
                  </w:tcBorders>
                  <w:noWrap w:val="0"/>
                  <w:vAlign w:val="center"/>
                </w:tcPr>
                <w:p w14:paraId="6E296ABF">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71" w:type="pct"/>
                  <w:tcBorders>
                    <w:top w:val="single" w:color="auto" w:sz="4" w:space="0"/>
                    <w:left w:val="single" w:color="auto" w:sz="4" w:space="0"/>
                    <w:bottom w:val="single" w:color="auto" w:sz="4" w:space="0"/>
                    <w:right w:val="single" w:color="auto" w:sz="4" w:space="0"/>
                  </w:tcBorders>
                  <w:noWrap w:val="0"/>
                  <w:vAlign w:val="center"/>
                </w:tcPr>
                <w:p w14:paraId="02F04244">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100</w:t>
                  </w:r>
                </w:p>
              </w:tc>
              <w:tc>
                <w:tcPr>
                  <w:tcW w:w="306" w:type="pct"/>
                  <w:vMerge w:val="continue"/>
                  <w:tcBorders>
                    <w:left w:val="single" w:color="auto" w:sz="4" w:space="0"/>
                    <w:right w:val="single" w:color="auto" w:sz="4" w:space="0"/>
                  </w:tcBorders>
                  <w:noWrap w:val="0"/>
                  <w:vAlign w:val="center"/>
                </w:tcPr>
                <w:p w14:paraId="71F14449">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25" w:type="pct"/>
                  <w:vMerge w:val="continue"/>
                  <w:tcBorders>
                    <w:left w:val="single" w:color="auto" w:sz="4" w:space="0"/>
                    <w:right w:val="single" w:color="auto" w:sz="4" w:space="0"/>
                  </w:tcBorders>
                  <w:noWrap w:val="0"/>
                  <w:vAlign w:val="center"/>
                </w:tcPr>
                <w:p w14:paraId="56EC931E">
                  <w:pPr>
                    <w:spacing w:line="240" w:lineRule="auto"/>
                    <w:jc w:val="center"/>
                    <w:rPr>
                      <w:rFonts w:hint="eastAsia" w:cs="Times New Roman"/>
                      <w:color w:val="auto"/>
                      <w:sz w:val="18"/>
                      <w:szCs w:val="18"/>
                      <w:highlight w:val="none"/>
                      <w:lang w:val="en-US" w:eastAsia="zh-CN"/>
                    </w:rPr>
                  </w:pPr>
                </w:p>
              </w:tc>
              <w:tc>
                <w:tcPr>
                  <w:tcW w:w="314" w:type="pct"/>
                  <w:vMerge w:val="continue"/>
                  <w:tcBorders>
                    <w:left w:val="single" w:color="auto" w:sz="4" w:space="0"/>
                    <w:right w:val="single" w:color="auto" w:sz="4" w:space="0"/>
                  </w:tcBorders>
                  <w:noWrap w:val="0"/>
                  <w:vAlign w:val="center"/>
                </w:tcPr>
                <w:p w14:paraId="06A52F5E">
                  <w:pPr>
                    <w:spacing w:line="240" w:lineRule="auto"/>
                    <w:jc w:val="center"/>
                    <w:rPr>
                      <w:rFonts w:hint="eastAsia" w:ascii="Times New Roman" w:hAnsi="Times New Roman" w:eastAsia="宋体" w:cs="Times New Roman"/>
                      <w:color w:val="auto"/>
                      <w:sz w:val="18"/>
                      <w:szCs w:val="18"/>
                      <w:highlight w:val="none"/>
                      <w:lang w:val="en-US" w:eastAsia="zh-CN"/>
                    </w:rPr>
                  </w:pPr>
                </w:p>
              </w:tc>
              <w:tc>
                <w:tcPr>
                  <w:tcW w:w="335" w:type="pct"/>
                  <w:vMerge w:val="continue"/>
                  <w:tcBorders>
                    <w:left w:val="single" w:color="auto" w:sz="4" w:space="0"/>
                    <w:right w:val="single" w:color="auto" w:sz="4" w:space="0"/>
                  </w:tcBorders>
                  <w:noWrap w:val="0"/>
                  <w:vAlign w:val="center"/>
                </w:tcPr>
                <w:p w14:paraId="2E1EDB4F">
                  <w:pPr>
                    <w:keepNext w:val="0"/>
                    <w:keepLines w:val="0"/>
                    <w:widowControl/>
                    <w:suppressLineNumbers w:val="0"/>
                    <w:jc w:val="center"/>
                    <w:textAlignment w:val="center"/>
                    <w:rPr>
                      <w:rFonts w:hint="eastAsia" w:cs="Times New Roman"/>
                      <w:color w:val="auto"/>
                      <w:sz w:val="18"/>
                      <w:szCs w:val="18"/>
                      <w:highlight w:val="none"/>
                      <w:lang w:val="en-US" w:eastAsia="zh-CN"/>
                    </w:rPr>
                  </w:pPr>
                </w:p>
              </w:tc>
              <w:tc>
                <w:tcPr>
                  <w:tcW w:w="358" w:type="pct"/>
                  <w:vMerge w:val="continue"/>
                  <w:tcBorders>
                    <w:left w:val="single" w:color="auto" w:sz="4" w:space="0"/>
                    <w:right w:val="single" w:color="auto" w:sz="4" w:space="0"/>
                  </w:tcBorders>
                  <w:noWrap w:val="0"/>
                  <w:vAlign w:val="center"/>
                </w:tcPr>
                <w:p w14:paraId="601108E9">
                  <w:pPr>
                    <w:keepNext w:val="0"/>
                    <w:keepLines w:val="0"/>
                    <w:widowControl/>
                    <w:suppressLineNumbers w:val="0"/>
                    <w:jc w:val="center"/>
                    <w:textAlignment w:val="center"/>
                    <w:rPr>
                      <w:rFonts w:hint="eastAsia" w:cs="Times New Roman"/>
                      <w:color w:val="auto"/>
                      <w:sz w:val="18"/>
                      <w:szCs w:val="18"/>
                      <w:highlight w:val="none"/>
                      <w:lang w:val="en-US" w:eastAsia="zh-CN"/>
                    </w:rPr>
                  </w:pPr>
                </w:p>
              </w:tc>
              <w:tc>
                <w:tcPr>
                  <w:tcW w:w="366" w:type="pct"/>
                  <w:vMerge w:val="continue"/>
                  <w:tcBorders>
                    <w:left w:val="single" w:color="auto" w:sz="4" w:space="0"/>
                    <w:right w:val="single" w:color="auto" w:sz="4" w:space="0"/>
                  </w:tcBorders>
                  <w:noWrap w:val="0"/>
                  <w:vAlign w:val="center"/>
                </w:tcPr>
                <w:p w14:paraId="626FD5BF">
                  <w:pPr>
                    <w:keepNext w:val="0"/>
                    <w:keepLines w:val="0"/>
                    <w:widowControl/>
                    <w:suppressLineNumbers w:val="0"/>
                    <w:jc w:val="center"/>
                    <w:textAlignment w:val="center"/>
                    <w:rPr>
                      <w:rFonts w:hint="eastAsia" w:ascii="Times New Roman" w:hAnsi="Times New Roman" w:eastAsia="宋体" w:cs="Times New Roman"/>
                      <w:color w:val="auto"/>
                      <w:sz w:val="18"/>
                      <w:szCs w:val="18"/>
                      <w:highlight w:val="none"/>
                      <w:lang w:val="en-US" w:eastAsia="zh-CN"/>
                    </w:rPr>
                  </w:pPr>
                </w:p>
              </w:tc>
              <w:tc>
                <w:tcPr>
                  <w:tcW w:w="265" w:type="pct"/>
                  <w:vMerge w:val="continue"/>
                  <w:tcBorders>
                    <w:left w:val="single" w:color="auto" w:sz="4" w:space="0"/>
                    <w:right w:val="single" w:color="auto" w:sz="4" w:space="0"/>
                  </w:tcBorders>
                  <w:noWrap w:val="0"/>
                  <w:vAlign w:val="center"/>
                </w:tcPr>
                <w:p w14:paraId="3BF07E30">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67" w:type="pct"/>
                  <w:vMerge w:val="continue"/>
                  <w:tcBorders>
                    <w:left w:val="single" w:color="auto" w:sz="4" w:space="0"/>
                    <w:right w:val="single" w:color="auto" w:sz="4" w:space="0"/>
                  </w:tcBorders>
                  <w:noWrap w:val="0"/>
                  <w:vAlign w:val="center"/>
                </w:tcPr>
                <w:p w14:paraId="0BC6DF38">
                  <w:pPr>
                    <w:spacing w:line="240" w:lineRule="auto"/>
                    <w:jc w:val="center"/>
                    <w:rPr>
                      <w:rFonts w:hint="default" w:ascii="Times New Roman" w:hAnsi="Times New Roman" w:eastAsia="宋体" w:cs="Times New Roman"/>
                      <w:color w:val="auto"/>
                      <w:sz w:val="18"/>
                      <w:szCs w:val="18"/>
                      <w:highlight w:val="none"/>
                      <w:lang w:val="en-US" w:eastAsia="zh-CN"/>
                    </w:rPr>
                  </w:pPr>
                </w:p>
              </w:tc>
            </w:tr>
            <w:tr w14:paraId="38801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254" w:type="pct"/>
                  <w:tcBorders>
                    <w:left w:val="single" w:color="auto" w:sz="4" w:space="0"/>
                    <w:right w:val="single" w:color="auto" w:sz="4" w:space="0"/>
                  </w:tcBorders>
                  <w:noWrap w:val="0"/>
                  <w:vAlign w:val="center"/>
                </w:tcPr>
                <w:p w14:paraId="7A325646">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造粒、烘干</w:t>
                  </w:r>
                </w:p>
              </w:tc>
              <w:tc>
                <w:tcPr>
                  <w:tcW w:w="281" w:type="pct"/>
                  <w:tcBorders>
                    <w:top w:val="single" w:color="auto" w:sz="4" w:space="0"/>
                    <w:left w:val="single" w:color="auto" w:sz="4" w:space="0"/>
                    <w:bottom w:val="single" w:color="auto" w:sz="4" w:space="0"/>
                    <w:right w:val="single" w:color="auto" w:sz="4" w:space="0"/>
                  </w:tcBorders>
                  <w:noWrap w:val="0"/>
                  <w:vAlign w:val="center"/>
                </w:tcPr>
                <w:p w14:paraId="347F57B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臭气浓度</w:t>
                  </w:r>
                </w:p>
              </w:tc>
              <w:tc>
                <w:tcPr>
                  <w:tcW w:w="369" w:type="pct"/>
                  <w:tcBorders>
                    <w:top w:val="single" w:color="auto" w:sz="4" w:space="0"/>
                    <w:left w:val="single" w:color="auto" w:sz="4" w:space="0"/>
                    <w:bottom w:val="single" w:color="auto" w:sz="4" w:space="0"/>
                    <w:right w:val="single" w:color="auto" w:sz="4" w:space="0"/>
                  </w:tcBorders>
                  <w:noWrap w:val="0"/>
                  <w:vAlign w:val="center"/>
                </w:tcPr>
                <w:p w14:paraId="4F9E4E69">
                  <w:pPr>
                    <w:keepNext w:val="0"/>
                    <w:keepLines w:val="0"/>
                    <w:widowControl/>
                    <w:suppressLineNumbers w:val="0"/>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2000（无量纲）</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0400CEE5">
                  <w:pPr>
                    <w:keepNext w:val="0"/>
                    <w:keepLines w:val="0"/>
                    <w:widowControl/>
                    <w:suppressLineNumbers w:val="0"/>
                    <w:jc w:val="center"/>
                    <w:textAlignment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w:t>
                  </w:r>
                </w:p>
              </w:tc>
              <w:tc>
                <w:tcPr>
                  <w:tcW w:w="472" w:type="pct"/>
                  <w:tcBorders>
                    <w:top w:val="single" w:color="auto" w:sz="4" w:space="0"/>
                    <w:left w:val="single" w:color="auto" w:sz="4" w:space="0"/>
                    <w:right w:val="single" w:color="auto" w:sz="4" w:space="0"/>
                  </w:tcBorders>
                  <w:noWrap w:val="0"/>
                  <w:vAlign w:val="center"/>
                </w:tcPr>
                <w:p w14:paraId="1EF598D4">
                  <w:pPr>
                    <w:keepNext w:val="0"/>
                    <w:keepLines w:val="0"/>
                    <w:widowControl/>
                    <w:suppressLineNumbers w:val="0"/>
                    <w:jc w:val="center"/>
                    <w:textAlignment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w:t>
                  </w:r>
                </w:p>
              </w:tc>
              <w:tc>
                <w:tcPr>
                  <w:tcW w:w="387" w:type="pct"/>
                  <w:vMerge w:val="continue"/>
                  <w:tcBorders>
                    <w:left w:val="single" w:color="auto" w:sz="4" w:space="0"/>
                    <w:right w:val="single" w:color="auto" w:sz="4" w:space="0"/>
                  </w:tcBorders>
                  <w:noWrap w:val="0"/>
                  <w:vAlign w:val="center"/>
                </w:tcPr>
                <w:p w14:paraId="508E266A">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71" w:type="pct"/>
                  <w:tcBorders>
                    <w:top w:val="single" w:color="auto" w:sz="4" w:space="0"/>
                    <w:left w:val="single" w:color="auto" w:sz="4" w:space="0"/>
                    <w:right w:val="single" w:color="auto" w:sz="4" w:space="0"/>
                  </w:tcBorders>
                  <w:noWrap w:val="0"/>
                  <w:vAlign w:val="center"/>
                </w:tcPr>
                <w:p w14:paraId="65E13138">
                  <w:pPr>
                    <w:spacing w:line="240" w:lineRule="auto"/>
                    <w:jc w:val="center"/>
                    <w:rPr>
                      <w:rFonts w:hint="eastAsia"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w:t>
                  </w:r>
                </w:p>
              </w:tc>
              <w:tc>
                <w:tcPr>
                  <w:tcW w:w="306" w:type="pct"/>
                  <w:vMerge w:val="continue"/>
                  <w:tcBorders>
                    <w:left w:val="single" w:color="auto" w:sz="4" w:space="0"/>
                    <w:right w:val="single" w:color="auto" w:sz="4" w:space="0"/>
                  </w:tcBorders>
                  <w:noWrap w:val="0"/>
                  <w:vAlign w:val="center"/>
                </w:tcPr>
                <w:p w14:paraId="60CA5A36">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25" w:type="pct"/>
                  <w:tcBorders>
                    <w:left w:val="single" w:color="auto" w:sz="4" w:space="0"/>
                    <w:right w:val="single" w:color="auto" w:sz="4" w:space="0"/>
                  </w:tcBorders>
                  <w:noWrap w:val="0"/>
                  <w:vAlign w:val="center"/>
                </w:tcPr>
                <w:p w14:paraId="20CF0293">
                  <w:pPr>
                    <w:spacing w:line="240" w:lineRule="auto"/>
                    <w:jc w:val="center"/>
                    <w:rPr>
                      <w:rFonts w:hint="eastAsia"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w:t>
                  </w:r>
                </w:p>
              </w:tc>
              <w:tc>
                <w:tcPr>
                  <w:tcW w:w="314" w:type="pct"/>
                  <w:tcBorders>
                    <w:left w:val="single" w:color="auto" w:sz="4" w:space="0"/>
                    <w:right w:val="single" w:color="auto" w:sz="4" w:space="0"/>
                  </w:tcBorders>
                  <w:noWrap w:val="0"/>
                  <w:vAlign w:val="center"/>
                </w:tcPr>
                <w:p w14:paraId="7EF654C3">
                  <w:pPr>
                    <w:spacing w:line="240" w:lineRule="auto"/>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w:t>
                  </w:r>
                </w:p>
              </w:tc>
              <w:tc>
                <w:tcPr>
                  <w:tcW w:w="335" w:type="pct"/>
                  <w:tcBorders>
                    <w:left w:val="single" w:color="auto" w:sz="4" w:space="0"/>
                    <w:right w:val="single" w:color="auto" w:sz="4" w:space="0"/>
                  </w:tcBorders>
                  <w:noWrap w:val="0"/>
                  <w:vAlign w:val="center"/>
                </w:tcPr>
                <w:p w14:paraId="679B1531">
                  <w:pPr>
                    <w:keepNext w:val="0"/>
                    <w:keepLines w:val="0"/>
                    <w:widowControl/>
                    <w:suppressLineNumbers w:val="0"/>
                    <w:jc w:val="center"/>
                    <w:textAlignment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2000（无量纲）</w:t>
                  </w:r>
                </w:p>
              </w:tc>
              <w:tc>
                <w:tcPr>
                  <w:tcW w:w="358" w:type="pct"/>
                  <w:tcBorders>
                    <w:left w:val="single" w:color="auto" w:sz="4" w:space="0"/>
                    <w:right w:val="single" w:color="auto" w:sz="4" w:space="0"/>
                  </w:tcBorders>
                  <w:noWrap w:val="0"/>
                  <w:vAlign w:val="center"/>
                </w:tcPr>
                <w:p w14:paraId="19A6B06D">
                  <w:pPr>
                    <w:keepNext w:val="0"/>
                    <w:keepLines w:val="0"/>
                    <w:widowControl/>
                    <w:suppressLineNumbers w:val="0"/>
                    <w:jc w:val="center"/>
                    <w:textAlignment w:val="center"/>
                    <w:rPr>
                      <w:rFonts w:hint="eastAsia"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w:t>
                  </w:r>
                </w:p>
              </w:tc>
              <w:tc>
                <w:tcPr>
                  <w:tcW w:w="366" w:type="pct"/>
                  <w:tcBorders>
                    <w:left w:val="single" w:color="auto" w:sz="4" w:space="0"/>
                    <w:right w:val="single" w:color="auto" w:sz="4" w:space="0"/>
                  </w:tcBorders>
                  <w:noWrap w:val="0"/>
                  <w:vAlign w:val="center"/>
                </w:tcPr>
                <w:p w14:paraId="1B2C1ED2">
                  <w:pPr>
                    <w:keepNext w:val="0"/>
                    <w:keepLines w:val="0"/>
                    <w:widowControl/>
                    <w:suppressLineNumbers w:val="0"/>
                    <w:jc w:val="center"/>
                    <w:textAlignment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w:t>
                  </w:r>
                </w:p>
              </w:tc>
              <w:tc>
                <w:tcPr>
                  <w:tcW w:w="265" w:type="pct"/>
                  <w:vMerge w:val="continue"/>
                  <w:tcBorders>
                    <w:left w:val="single" w:color="auto" w:sz="4" w:space="0"/>
                    <w:right w:val="single" w:color="auto" w:sz="4" w:space="0"/>
                  </w:tcBorders>
                  <w:noWrap w:val="0"/>
                  <w:vAlign w:val="center"/>
                </w:tcPr>
                <w:p w14:paraId="3BAA09F6">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67" w:type="pct"/>
                  <w:vMerge w:val="continue"/>
                  <w:tcBorders>
                    <w:left w:val="single" w:color="auto" w:sz="4" w:space="0"/>
                    <w:right w:val="single" w:color="auto" w:sz="4" w:space="0"/>
                  </w:tcBorders>
                  <w:noWrap w:val="0"/>
                  <w:vAlign w:val="center"/>
                </w:tcPr>
                <w:p w14:paraId="5B9FA599">
                  <w:pPr>
                    <w:spacing w:line="240" w:lineRule="auto"/>
                    <w:jc w:val="center"/>
                    <w:rPr>
                      <w:rFonts w:hint="default" w:ascii="Times New Roman" w:hAnsi="Times New Roman" w:eastAsia="宋体" w:cs="Times New Roman"/>
                      <w:color w:val="auto"/>
                      <w:sz w:val="18"/>
                      <w:szCs w:val="18"/>
                      <w:highlight w:val="none"/>
                      <w:lang w:val="en-US" w:eastAsia="zh-CN"/>
                    </w:rPr>
                  </w:pPr>
                </w:p>
              </w:tc>
            </w:tr>
          </w:tbl>
          <w:p w14:paraId="77545EE7">
            <w:pPr>
              <w:adjustRightInd w:val="0"/>
              <w:snapToGrid w:val="0"/>
              <w:spacing w:line="360" w:lineRule="auto"/>
              <w:ind w:firstLine="42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由上表可知，DA00</w:t>
            </w:r>
            <w:r>
              <w:rPr>
                <w:rFonts w:hint="eastAsia" w:ascii="Times New Roman" w:hAnsi="Times New Roman" w:cs="Times New Roman"/>
                <w:color w:val="auto"/>
                <w:highlight w:val="none"/>
                <w:lang w:val="en-US" w:eastAsia="zh-CN"/>
              </w:rPr>
              <w:t>1</w:t>
            </w:r>
            <w:r>
              <w:rPr>
                <w:rFonts w:hint="default" w:ascii="Times New Roman" w:hAnsi="Times New Roman" w:cs="Times New Roman"/>
                <w:color w:val="auto"/>
                <w:highlight w:val="none"/>
                <w:lang w:val="en-US" w:eastAsia="zh-CN"/>
              </w:rPr>
              <w:t>排气筒</w:t>
            </w:r>
            <w:r>
              <w:rPr>
                <w:rFonts w:hint="default" w:ascii="Times New Roman" w:hAnsi="Times New Roman" w:cs="Times New Roman" w:eastAsiaTheme="minorEastAsia"/>
                <w:color w:val="auto"/>
                <w:sz w:val="21"/>
                <w:szCs w:val="21"/>
                <w:highlight w:val="none"/>
                <w:lang w:eastAsia="zh-CN"/>
              </w:rPr>
              <w:t>颗粒物</w:t>
            </w:r>
            <w:r>
              <w:rPr>
                <w:rFonts w:hint="eastAsia" w:cs="Times New Roman" w:eastAsiaTheme="minorEastAsia"/>
                <w:color w:val="auto"/>
                <w:sz w:val="21"/>
                <w:szCs w:val="21"/>
                <w:highlight w:val="none"/>
                <w:lang w:eastAsia="zh-CN"/>
              </w:rPr>
              <w:t>、</w:t>
            </w:r>
            <w:r>
              <w:rPr>
                <w:rFonts w:hint="eastAsia" w:cs="Times New Roman" w:eastAsiaTheme="minorEastAsia"/>
                <w:color w:val="auto"/>
                <w:sz w:val="21"/>
                <w:szCs w:val="21"/>
                <w:highlight w:val="none"/>
                <w:lang w:val="en-US" w:eastAsia="zh-CN"/>
              </w:rPr>
              <w:t>SO</w:t>
            </w:r>
            <w:r>
              <w:rPr>
                <w:rFonts w:hint="eastAsia" w:cs="Times New Roman" w:eastAsiaTheme="minorEastAsia"/>
                <w:color w:val="auto"/>
                <w:sz w:val="21"/>
                <w:szCs w:val="21"/>
                <w:highlight w:val="none"/>
                <w:vertAlign w:val="subscript"/>
                <w:lang w:val="en-US" w:eastAsia="zh-CN"/>
              </w:rPr>
              <w:t>2</w:t>
            </w:r>
            <w:r>
              <w:rPr>
                <w:rFonts w:hint="eastAsia" w:cs="Times New Roman" w:eastAsiaTheme="minorEastAsia"/>
                <w:color w:val="auto"/>
                <w:sz w:val="21"/>
                <w:szCs w:val="21"/>
                <w:highlight w:val="none"/>
                <w:lang w:val="en-US" w:eastAsia="zh-CN"/>
              </w:rPr>
              <w:t>、NOx满足</w:t>
            </w:r>
            <w:r>
              <w:rPr>
                <w:rFonts w:hint="default" w:ascii="Times New Roman" w:hAnsi="Times New Roman" w:eastAsia="宋体" w:cs="Times New Roman"/>
                <w:caps w:val="0"/>
                <w:color w:val="auto"/>
                <w:spacing w:val="0"/>
                <w:sz w:val="21"/>
                <w:szCs w:val="21"/>
                <w:highlight w:val="none"/>
                <w:lang w:val="en-US" w:eastAsia="zh-CN"/>
              </w:rPr>
              <w:t>《区域性大气污染物综合排放标准》（DB37/2376-2019）表1大气污染物排放浓度限值中重点控制区限值要求</w:t>
            </w:r>
            <w:r>
              <w:rPr>
                <w:color w:val="auto"/>
                <w:highlight w:val="none"/>
              </w:rPr>
              <w:t>（颗粒物排放浓度≤10 mg/m</w:t>
            </w:r>
            <w:r>
              <w:rPr>
                <w:color w:val="auto"/>
                <w:highlight w:val="none"/>
                <w:vertAlign w:val="superscript"/>
              </w:rPr>
              <w:t>3</w:t>
            </w:r>
            <w:r>
              <w:rPr>
                <w:color w:val="auto"/>
                <w:highlight w:val="none"/>
              </w:rPr>
              <w:t>、SO</w:t>
            </w:r>
            <w:r>
              <w:rPr>
                <w:color w:val="auto"/>
                <w:highlight w:val="none"/>
                <w:vertAlign w:val="subscript"/>
              </w:rPr>
              <w:t>2</w:t>
            </w:r>
            <w:r>
              <w:rPr>
                <w:color w:val="auto"/>
                <w:highlight w:val="none"/>
              </w:rPr>
              <w:t>排放浓度≤50 mg/m</w:t>
            </w:r>
            <w:r>
              <w:rPr>
                <w:color w:val="auto"/>
                <w:highlight w:val="none"/>
                <w:vertAlign w:val="superscript"/>
              </w:rPr>
              <w:t>3</w:t>
            </w:r>
            <w:r>
              <w:rPr>
                <w:color w:val="auto"/>
                <w:highlight w:val="none"/>
              </w:rPr>
              <w:t>、NOx排放浓度≤100mg/m</w:t>
            </w:r>
            <w:r>
              <w:rPr>
                <w:color w:val="auto"/>
                <w:highlight w:val="none"/>
                <w:vertAlign w:val="superscript"/>
              </w:rPr>
              <w:t>3</w:t>
            </w:r>
            <w:r>
              <w:rPr>
                <w:color w:val="auto"/>
                <w:highlight w:val="none"/>
              </w:rPr>
              <w:t>）</w:t>
            </w:r>
            <w:r>
              <w:rPr>
                <w:rFonts w:hint="eastAsia"/>
                <w:color w:val="auto"/>
                <w:highlight w:val="none"/>
                <w:lang w:eastAsia="zh-CN"/>
              </w:rPr>
              <w:t>；</w:t>
            </w:r>
            <w:r>
              <w:rPr>
                <w:rFonts w:hint="eastAsia" w:cs="Times New Roman" w:eastAsiaTheme="minorEastAsia"/>
                <w:color w:val="auto"/>
                <w:highlight w:val="none"/>
                <w:lang w:val="en-US" w:eastAsia="zh-CN"/>
              </w:rPr>
              <w:t>氨气、臭气浓度有组织排放速率满足</w:t>
            </w:r>
            <w:r>
              <w:rPr>
                <w:color w:val="auto"/>
                <w:highlight w:val="none"/>
              </w:rPr>
              <w:t>《恶臭污染物排放标准》（GB14554-93）</w:t>
            </w:r>
            <w:r>
              <w:rPr>
                <w:rFonts w:hint="eastAsia"/>
                <w:color w:val="auto"/>
                <w:highlight w:val="none"/>
                <w:lang w:val="en-US" w:eastAsia="zh-CN"/>
              </w:rPr>
              <w:t>表2</w:t>
            </w:r>
            <w:r>
              <w:rPr>
                <w:color w:val="auto"/>
                <w:highlight w:val="none"/>
              </w:rPr>
              <w:t>中标准</w:t>
            </w:r>
            <w:r>
              <w:rPr>
                <w:rFonts w:hint="eastAsia"/>
                <w:color w:val="auto"/>
                <w:highlight w:val="none"/>
                <w:lang w:eastAsia="zh-CN"/>
              </w:rPr>
              <w:t>（</w:t>
            </w:r>
            <w:r>
              <w:rPr>
                <w:rFonts w:hint="eastAsia"/>
                <w:color w:val="auto"/>
                <w:highlight w:val="none"/>
                <w:lang w:val="en-US" w:eastAsia="zh-CN"/>
              </w:rPr>
              <w:t>15m，氨4.9kg/h、臭气浓度2000（无量纲）</w:t>
            </w:r>
            <w:r>
              <w:rPr>
                <w:rFonts w:hint="eastAsia"/>
                <w:color w:val="auto"/>
                <w:highlight w:val="none"/>
                <w:lang w:eastAsia="zh-CN"/>
              </w:rPr>
              <w:t>）</w:t>
            </w:r>
            <w:r>
              <w:rPr>
                <w:rFonts w:hint="default" w:ascii="Times New Roman" w:hAnsi="Times New Roman" w:cs="Times New Roman"/>
                <w:color w:val="auto"/>
                <w:sz w:val="21"/>
                <w:szCs w:val="21"/>
                <w:highlight w:val="none"/>
                <w:lang w:eastAsia="zh-CN"/>
              </w:rPr>
              <w:t>。</w:t>
            </w:r>
          </w:p>
          <w:p w14:paraId="2182D7DC">
            <w:pPr>
              <w:adjustRightInd w:val="0"/>
              <w:snapToGrid w:val="0"/>
              <w:spacing w:line="360" w:lineRule="auto"/>
              <w:ind w:firstLine="420" w:firstLineChars="200"/>
              <w:rPr>
                <w:rFonts w:hint="default" w:cs="Times New Roman"/>
                <w:bCs/>
                <w:color w:val="auto"/>
                <w:highlight w:val="none"/>
                <w:lang w:val="en-US" w:eastAsia="zh-CN"/>
              </w:rPr>
            </w:pPr>
            <w:r>
              <w:rPr>
                <w:rFonts w:hint="eastAsia" w:ascii="宋体" w:hAnsi="宋体" w:eastAsia="宋体" w:cs="宋体"/>
                <w:bCs/>
                <w:color w:val="auto"/>
                <w:highlight w:val="none"/>
                <w:lang w:val="en-US" w:eastAsia="zh-CN"/>
              </w:rPr>
              <w:t>②</w:t>
            </w:r>
            <w:r>
              <w:rPr>
                <w:rFonts w:hint="eastAsia" w:cs="Times New Roman"/>
                <w:bCs/>
                <w:color w:val="auto"/>
                <w:highlight w:val="none"/>
                <w:lang w:val="en-US" w:eastAsia="zh-CN"/>
              </w:rPr>
              <w:t>DA002排气筒有组织废气</w:t>
            </w:r>
          </w:p>
          <w:p w14:paraId="0C4DBF15">
            <w:pPr>
              <w:adjustRightInd w:val="0"/>
              <w:snapToGrid w:val="0"/>
              <w:spacing w:line="360" w:lineRule="auto"/>
              <w:ind w:firstLine="420" w:firstLineChars="200"/>
              <w:rPr>
                <w:rFonts w:hint="default" w:ascii="Times New Roman" w:hAnsi="Times New Roman" w:cs="Times New Roman"/>
                <w:bCs/>
                <w:color w:val="auto"/>
                <w:highlight w:val="none"/>
                <w:lang w:val="en-US" w:eastAsia="zh-CN"/>
              </w:rPr>
            </w:pPr>
            <w:r>
              <w:rPr>
                <w:rFonts w:hint="eastAsia" w:cs="Times New Roman"/>
                <w:bCs/>
                <w:color w:val="auto"/>
                <w:highlight w:val="none"/>
                <w:lang w:val="en-US" w:eastAsia="zh-CN"/>
              </w:rPr>
              <w:t>冷却、精筛、入仓、包膜、包装过程</w:t>
            </w:r>
            <w:r>
              <w:rPr>
                <w:rFonts w:hint="eastAsia" w:cs="Times New Roman"/>
                <w:bCs/>
                <w:color w:val="auto"/>
                <w:highlight w:val="none"/>
                <w:lang w:eastAsia="zh-CN"/>
              </w:rPr>
              <w:t>产生的颗粒物经集气罩收集后经1套布袋除尘器处理后通过同一根15m高DA00</w:t>
            </w:r>
            <w:r>
              <w:rPr>
                <w:rFonts w:hint="eastAsia" w:cs="Times New Roman"/>
                <w:bCs/>
                <w:color w:val="auto"/>
                <w:highlight w:val="none"/>
                <w:lang w:val="en-US" w:eastAsia="zh-CN"/>
              </w:rPr>
              <w:t>2</w:t>
            </w:r>
            <w:r>
              <w:rPr>
                <w:rFonts w:hint="eastAsia" w:cs="Times New Roman"/>
                <w:bCs/>
                <w:color w:val="auto"/>
                <w:highlight w:val="none"/>
                <w:lang w:eastAsia="zh-CN"/>
              </w:rPr>
              <w:t>排气筒有组织排放</w:t>
            </w:r>
            <w:r>
              <w:rPr>
                <w:rFonts w:hint="default" w:ascii="Times New Roman" w:hAnsi="Times New Roman" w:cs="Times New Roman"/>
                <w:bCs/>
                <w:color w:val="auto"/>
                <w:sz w:val="21"/>
                <w:szCs w:val="21"/>
                <w:highlight w:val="none"/>
              </w:rPr>
              <w:t>。</w:t>
            </w:r>
            <w:r>
              <w:rPr>
                <w:rFonts w:hint="eastAsia" w:cs="Times New Roman"/>
                <w:bCs/>
                <w:color w:val="auto"/>
                <w:sz w:val="21"/>
                <w:szCs w:val="21"/>
                <w:highlight w:val="none"/>
                <w:lang w:val="en-US" w:eastAsia="zh-CN"/>
              </w:rPr>
              <w:t>入仓粉尘收集效率为100%，其他工序</w:t>
            </w:r>
            <w:r>
              <w:rPr>
                <w:rFonts w:hint="default" w:ascii="Times New Roman" w:hAnsi="Times New Roman" w:cs="Times New Roman"/>
                <w:color w:val="auto"/>
                <w:highlight w:val="none"/>
                <w:lang w:val="en-US" w:eastAsia="zh-CN"/>
              </w:rPr>
              <w:t>集气罩收集效率为95%，</w:t>
            </w:r>
            <w:r>
              <w:rPr>
                <w:rFonts w:hint="eastAsia" w:cs="Times New Roman"/>
                <w:bCs/>
                <w:color w:val="auto"/>
                <w:highlight w:val="none"/>
                <w:lang w:eastAsia="zh-CN"/>
              </w:rPr>
              <w:t>布袋除尘器</w:t>
            </w:r>
            <w:r>
              <w:rPr>
                <w:rFonts w:hint="eastAsia" w:cs="Times New Roman"/>
                <w:bCs/>
                <w:color w:val="auto"/>
                <w:sz w:val="21"/>
                <w:szCs w:val="21"/>
                <w:highlight w:val="none"/>
                <w:lang w:val="en-US" w:eastAsia="zh-CN"/>
              </w:rPr>
              <w:t>处理效率为99%，</w:t>
            </w:r>
            <w:r>
              <w:rPr>
                <w:rFonts w:hint="default" w:ascii="Times New Roman" w:hAnsi="Times New Roman" w:cs="Times New Roman"/>
                <w:color w:val="auto"/>
                <w:highlight w:val="none"/>
                <w:lang w:val="en-US" w:eastAsia="zh-CN"/>
              </w:rPr>
              <w:t>年工作时间为</w:t>
            </w:r>
            <w:r>
              <w:rPr>
                <w:rFonts w:hint="eastAsia" w:cs="Times New Roman"/>
                <w:color w:val="auto"/>
                <w:highlight w:val="none"/>
                <w:lang w:val="en-US" w:eastAsia="zh-CN"/>
              </w:rPr>
              <w:t>72</w:t>
            </w:r>
            <w:r>
              <w:rPr>
                <w:rFonts w:hint="default" w:ascii="Times New Roman" w:hAnsi="Times New Roman" w:cs="Times New Roman"/>
                <w:color w:val="auto"/>
                <w:highlight w:val="none"/>
                <w:lang w:val="en-US" w:eastAsia="zh-CN"/>
              </w:rPr>
              <w:t>00h，风机风量为</w:t>
            </w:r>
            <w:r>
              <w:rPr>
                <w:rFonts w:hint="eastAsia" w:cs="Times New Roman"/>
                <w:color w:val="auto"/>
                <w:highlight w:val="none"/>
                <w:lang w:val="en-US" w:eastAsia="zh-CN"/>
              </w:rPr>
              <w:t>12</w:t>
            </w:r>
            <w:r>
              <w:rPr>
                <w:rFonts w:hint="default" w:ascii="Times New Roman" w:hAnsi="Times New Roman" w:cs="Times New Roman"/>
                <w:color w:val="auto"/>
                <w:highlight w:val="none"/>
                <w:lang w:val="en-US" w:eastAsia="zh-CN"/>
              </w:rPr>
              <w:t>000m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/h，具体污染物产排情况见下表。</w:t>
            </w:r>
          </w:p>
          <w:p w14:paraId="0753E72A">
            <w:pPr>
              <w:pStyle w:val="80"/>
              <w:ind w:left="0" w:leftChars="0" w:firstLine="0" w:firstLineChars="0"/>
              <w:jc w:val="center"/>
              <w:rPr>
                <w:rFonts w:hint="default" w:ascii="Times New Roman" w:hAnsi="Times New Roman" w:cs="Times New Roman"/>
                <w:b/>
                <w:bCs w:val="0"/>
                <w:color w:val="auto"/>
                <w:highlight w:val="none"/>
                <w:lang w:val="en-US" w:eastAsia="zh-CN"/>
              </w:rPr>
            </w:pPr>
            <w:r>
              <w:rPr>
                <w:rFonts w:hint="default" w:ascii="Times New Roman" w:hAnsi="Times New Roman" w:cs="Times New Roman"/>
                <w:b/>
                <w:bCs w:val="0"/>
                <w:color w:val="auto"/>
                <w:sz w:val="21"/>
                <w:szCs w:val="21"/>
                <w:highlight w:val="none"/>
                <w:vertAlign w:val="baseline"/>
                <w:lang w:val="en-US" w:eastAsia="zh-CN"/>
              </w:rPr>
              <w:t>表4-</w:t>
            </w:r>
            <w:r>
              <w:rPr>
                <w:rFonts w:hint="eastAsia" w:cs="Times New Roman"/>
                <w:b/>
                <w:bCs w:val="0"/>
                <w:color w:val="auto"/>
                <w:sz w:val="21"/>
                <w:szCs w:val="21"/>
                <w:highlight w:val="none"/>
                <w:vertAlign w:val="baseline"/>
                <w:lang w:val="en-US" w:eastAsia="zh-CN"/>
              </w:rPr>
              <w:t>10一期项目DA002</w:t>
            </w:r>
            <w:r>
              <w:rPr>
                <w:rFonts w:hint="default" w:ascii="Times New Roman" w:hAnsi="Times New Roman" w:cs="Times New Roman"/>
                <w:b/>
                <w:bCs w:val="0"/>
                <w:color w:val="auto"/>
                <w:sz w:val="21"/>
                <w:szCs w:val="21"/>
                <w:highlight w:val="none"/>
                <w:vertAlign w:val="baseline"/>
                <w:lang w:val="en-US" w:eastAsia="zh-CN"/>
              </w:rPr>
              <w:t>污染物产生及排放情况一览表</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31"/>
              <w:gridCol w:w="472"/>
              <w:gridCol w:w="618"/>
              <w:gridCol w:w="715"/>
              <w:gridCol w:w="791"/>
              <w:gridCol w:w="652"/>
              <w:gridCol w:w="454"/>
              <w:gridCol w:w="516"/>
              <w:gridCol w:w="377"/>
              <w:gridCol w:w="519"/>
              <w:gridCol w:w="561"/>
              <w:gridCol w:w="600"/>
              <w:gridCol w:w="613"/>
              <w:gridCol w:w="444"/>
              <w:gridCol w:w="609"/>
            </w:tblGrid>
            <w:tr w14:paraId="0A890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257" w:type="pct"/>
                  <w:vMerge w:val="restart"/>
                  <w:tcBorders>
                    <w:top w:val="single" w:color="auto" w:sz="4" w:space="0"/>
                    <w:left w:val="single" w:color="auto" w:sz="4" w:space="0"/>
                    <w:bottom w:val="single" w:color="auto" w:sz="4" w:space="0"/>
                    <w:right w:val="single" w:color="auto" w:sz="4" w:space="0"/>
                  </w:tcBorders>
                  <w:noWrap w:val="0"/>
                  <w:vAlign w:val="center"/>
                </w:tcPr>
                <w:p w14:paraId="2B971909">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产污环节</w:t>
                  </w:r>
                </w:p>
              </w:tc>
              <w:tc>
                <w:tcPr>
                  <w:tcW w:w="282" w:type="pct"/>
                  <w:vMerge w:val="restart"/>
                  <w:tcBorders>
                    <w:top w:val="single" w:color="auto" w:sz="4" w:space="0"/>
                    <w:left w:val="single" w:color="auto" w:sz="4" w:space="0"/>
                    <w:bottom w:val="single" w:color="auto" w:sz="4" w:space="0"/>
                    <w:right w:val="single" w:color="auto" w:sz="4" w:space="0"/>
                  </w:tcBorders>
                  <w:noWrap w:val="0"/>
                  <w:vAlign w:val="center"/>
                </w:tcPr>
                <w:p w14:paraId="00E09DE7">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p w14:paraId="4C121837">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种类</w:t>
                  </w:r>
                </w:p>
              </w:tc>
              <w:tc>
                <w:tcPr>
                  <w:tcW w:w="1268" w:type="pct"/>
                  <w:gridSpan w:val="3"/>
                  <w:tcBorders>
                    <w:top w:val="single" w:color="auto" w:sz="4" w:space="0"/>
                    <w:left w:val="single" w:color="auto" w:sz="4" w:space="0"/>
                    <w:bottom w:val="single" w:color="auto" w:sz="4" w:space="0"/>
                    <w:right w:val="single" w:color="auto" w:sz="4" w:space="0"/>
                  </w:tcBorders>
                  <w:noWrap w:val="0"/>
                  <w:vAlign w:val="center"/>
                </w:tcPr>
                <w:p w14:paraId="0A7A2DF4">
                  <w:pPr>
                    <w:spacing w:line="240" w:lineRule="auto"/>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有组织</w:t>
                  </w:r>
                  <w:r>
                    <w:rPr>
                      <w:rFonts w:hint="default" w:ascii="Times New Roman" w:hAnsi="Times New Roman" w:eastAsia="宋体" w:cs="Times New Roman"/>
                      <w:color w:val="auto"/>
                      <w:sz w:val="18"/>
                      <w:szCs w:val="18"/>
                      <w:highlight w:val="none"/>
                    </w:rPr>
                    <w:t>污染物产生</w:t>
                  </w:r>
                </w:p>
              </w:tc>
              <w:tc>
                <w:tcPr>
                  <w:tcW w:w="1503" w:type="pct"/>
                  <w:gridSpan w:val="5"/>
                  <w:tcBorders>
                    <w:top w:val="single" w:color="auto" w:sz="4" w:space="0"/>
                    <w:left w:val="single" w:color="auto" w:sz="4" w:space="0"/>
                    <w:bottom w:val="single" w:color="auto" w:sz="4" w:space="0"/>
                    <w:right w:val="single" w:color="auto" w:sz="4" w:space="0"/>
                  </w:tcBorders>
                  <w:noWrap w:val="0"/>
                  <w:vAlign w:val="center"/>
                </w:tcPr>
                <w:p w14:paraId="13BA436B">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治理设施</w:t>
                  </w:r>
                </w:p>
              </w:tc>
              <w:tc>
                <w:tcPr>
                  <w:tcW w:w="1687" w:type="pct"/>
                  <w:gridSpan w:val="5"/>
                  <w:tcBorders>
                    <w:top w:val="single" w:color="auto" w:sz="4" w:space="0"/>
                    <w:left w:val="single" w:color="auto" w:sz="4" w:space="0"/>
                    <w:bottom w:val="single" w:color="auto" w:sz="4" w:space="0"/>
                    <w:right w:val="single" w:color="auto" w:sz="4" w:space="0"/>
                  </w:tcBorders>
                  <w:noWrap w:val="0"/>
                  <w:vAlign w:val="center"/>
                </w:tcPr>
                <w:p w14:paraId="60B4D888">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有组织</w:t>
                  </w:r>
                  <w:r>
                    <w:rPr>
                      <w:rFonts w:hint="default" w:ascii="Times New Roman" w:hAnsi="Times New Roman" w:eastAsia="宋体" w:cs="Times New Roman"/>
                      <w:color w:val="auto"/>
                      <w:sz w:val="18"/>
                      <w:szCs w:val="18"/>
                      <w:highlight w:val="none"/>
                    </w:rPr>
                    <w:t>污染物排放</w:t>
                  </w:r>
                </w:p>
              </w:tc>
            </w:tr>
            <w:tr w14:paraId="22CB8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8" w:hRule="atLeast"/>
                <w:jc w:val="center"/>
              </w:trPr>
              <w:tc>
                <w:tcPr>
                  <w:tcW w:w="257" w:type="pct"/>
                  <w:vMerge w:val="continue"/>
                  <w:tcBorders>
                    <w:top w:val="single" w:color="auto" w:sz="4" w:space="0"/>
                    <w:left w:val="single" w:color="auto" w:sz="4" w:space="0"/>
                    <w:bottom w:val="single" w:color="auto" w:sz="4" w:space="0"/>
                    <w:right w:val="single" w:color="auto" w:sz="4" w:space="0"/>
                  </w:tcBorders>
                  <w:noWrap w:val="0"/>
                  <w:vAlign w:val="center"/>
                </w:tcPr>
                <w:p w14:paraId="42DF671E">
                  <w:pPr>
                    <w:spacing w:line="240" w:lineRule="auto"/>
                    <w:jc w:val="center"/>
                    <w:rPr>
                      <w:rFonts w:hint="default" w:ascii="Times New Roman" w:hAnsi="Times New Roman" w:eastAsia="宋体" w:cs="Times New Roman"/>
                      <w:color w:val="auto"/>
                      <w:sz w:val="18"/>
                      <w:szCs w:val="18"/>
                      <w:highlight w:val="none"/>
                    </w:rPr>
                  </w:pPr>
                </w:p>
              </w:tc>
              <w:tc>
                <w:tcPr>
                  <w:tcW w:w="282" w:type="pct"/>
                  <w:vMerge w:val="continue"/>
                  <w:tcBorders>
                    <w:top w:val="single" w:color="auto" w:sz="4" w:space="0"/>
                    <w:left w:val="single" w:color="auto" w:sz="4" w:space="0"/>
                    <w:bottom w:val="single" w:color="auto" w:sz="4" w:space="0"/>
                    <w:right w:val="single" w:color="auto" w:sz="4" w:space="0"/>
                  </w:tcBorders>
                  <w:noWrap w:val="0"/>
                  <w:vAlign w:val="center"/>
                </w:tcPr>
                <w:p w14:paraId="22DE758D">
                  <w:pPr>
                    <w:spacing w:line="240" w:lineRule="auto"/>
                    <w:jc w:val="center"/>
                    <w:rPr>
                      <w:rFonts w:hint="default" w:ascii="Times New Roman" w:hAnsi="Times New Roman" w:eastAsia="宋体" w:cs="Times New Roman"/>
                      <w:color w:val="auto"/>
                      <w:sz w:val="18"/>
                      <w:szCs w:val="18"/>
                      <w:highlight w:val="none"/>
                    </w:rPr>
                  </w:pPr>
                </w:p>
              </w:tc>
              <w:tc>
                <w:tcPr>
                  <w:tcW w:w="369" w:type="pct"/>
                  <w:tcBorders>
                    <w:top w:val="single" w:color="auto" w:sz="4" w:space="0"/>
                    <w:left w:val="single" w:color="auto" w:sz="4" w:space="0"/>
                    <w:bottom w:val="single" w:color="auto" w:sz="4" w:space="0"/>
                    <w:right w:val="single" w:color="auto" w:sz="4" w:space="0"/>
                  </w:tcBorders>
                  <w:noWrap w:val="0"/>
                  <w:vAlign w:val="center"/>
                </w:tcPr>
                <w:p w14:paraId="54A4A1F0">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eastAsia="zh-CN"/>
                    </w:rPr>
                    <w:t>产生</w:t>
                  </w:r>
                  <w:r>
                    <w:rPr>
                      <w:rFonts w:hint="default" w:ascii="Times New Roman" w:hAnsi="Times New Roman" w:eastAsia="宋体" w:cs="Times New Roman"/>
                      <w:color w:val="auto"/>
                      <w:sz w:val="18"/>
                      <w:szCs w:val="18"/>
                      <w:highlight w:val="none"/>
                    </w:rPr>
                    <w:t>量t/a</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7B62E6BC">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产生浓度mg/m</w:t>
                  </w:r>
                  <w:r>
                    <w:rPr>
                      <w:rFonts w:hint="default" w:ascii="Times New Roman" w:hAnsi="Times New Roman" w:eastAsia="宋体" w:cs="Times New Roman"/>
                      <w:color w:val="auto"/>
                      <w:sz w:val="18"/>
                      <w:szCs w:val="18"/>
                      <w:highlight w:val="none"/>
                      <w:vertAlign w:val="superscript"/>
                    </w:rPr>
                    <w:t>3</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3F995C4C">
                  <w:pPr>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产生速率</w:t>
                  </w:r>
                  <w:r>
                    <w:rPr>
                      <w:rFonts w:hint="default" w:ascii="Times New Roman" w:hAnsi="Times New Roman" w:eastAsia="宋体" w:cs="Times New Roman"/>
                      <w:color w:val="auto"/>
                      <w:sz w:val="18"/>
                      <w:szCs w:val="18"/>
                      <w:highlight w:val="none"/>
                      <w:lang w:val="en-US" w:eastAsia="zh-CN"/>
                    </w:rPr>
                    <w:t>kg/h</w:t>
                  </w:r>
                </w:p>
              </w:tc>
              <w:tc>
                <w:tcPr>
                  <w:tcW w:w="389" w:type="pct"/>
                  <w:tcBorders>
                    <w:top w:val="single" w:color="auto" w:sz="4" w:space="0"/>
                    <w:left w:val="single" w:color="auto" w:sz="4" w:space="0"/>
                    <w:bottom w:val="single" w:color="auto" w:sz="4" w:space="0"/>
                    <w:right w:val="single" w:color="auto" w:sz="4" w:space="0"/>
                  </w:tcBorders>
                  <w:noWrap w:val="0"/>
                  <w:vAlign w:val="center"/>
                </w:tcPr>
                <w:p w14:paraId="7C2A70A6">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处理能力m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w:t>
                  </w:r>
                  <w:r>
                    <w:rPr>
                      <w:rFonts w:hint="default" w:ascii="Times New Roman" w:hAnsi="Times New Roman" w:eastAsia="宋体" w:cs="Times New Roman"/>
                      <w:color w:val="auto"/>
                      <w:sz w:val="18"/>
                      <w:szCs w:val="18"/>
                      <w:highlight w:val="none"/>
                      <w:lang w:val="en-US" w:eastAsia="zh-CN"/>
                    </w:rPr>
                    <w:t>h</w:t>
                  </w:r>
                </w:p>
              </w:tc>
              <w:tc>
                <w:tcPr>
                  <w:tcW w:w="271" w:type="pct"/>
                  <w:tcBorders>
                    <w:top w:val="single" w:color="auto" w:sz="4" w:space="0"/>
                    <w:left w:val="single" w:color="auto" w:sz="4" w:space="0"/>
                    <w:bottom w:val="single" w:color="auto" w:sz="4" w:space="0"/>
                    <w:right w:val="single" w:color="auto" w:sz="4" w:space="0"/>
                  </w:tcBorders>
                  <w:noWrap w:val="0"/>
                  <w:vAlign w:val="center"/>
                </w:tcPr>
                <w:p w14:paraId="122E3C25">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收集率%</w:t>
                  </w:r>
                </w:p>
              </w:tc>
              <w:tc>
                <w:tcPr>
                  <w:tcW w:w="308" w:type="pct"/>
                  <w:tcBorders>
                    <w:top w:val="single" w:color="auto" w:sz="4" w:space="0"/>
                    <w:left w:val="single" w:color="auto" w:sz="4" w:space="0"/>
                    <w:bottom w:val="single" w:color="auto" w:sz="4" w:space="0"/>
                    <w:right w:val="single" w:color="auto" w:sz="4" w:space="0"/>
                  </w:tcBorders>
                  <w:noWrap w:val="0"/>
                  <w:vAlign w:val="center"/>
                </w:tcPr>
                <w:p w14:paraId="6D673927">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治理工艺</w:t>
                  </w:r>
                </w:p>
              </w:tc>
              <w:tc>
                <w:tcPr>
                  <w:tcW w:w="225" w:type="pct"/>
                  <w:tcBorders>
                    <w:top w:val="single" w:color="auto" w:sz="4" w:space="0"/>
                    <w:left w:val="single" w:color="auto" w:sz="4" w:space="0"/>
                    <w:bottom w:val="single" w:color="auto" w:sz="4" w:space="0"/>
                    <w:right w:val="single" w:color="auto" w:sz="4" w:space="0"/>
                  </w:tcBorders>
                  <w:noWrap w:val="0"/>
                  <w:vAlign w:val="center"/>
                </w:tcPr>
                <w:p w14:paraId="51A105D0">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去除率%</w:t>
                  </w:r>
                </w:p>
              </w:tc>
              <w:tc>
                <w:tcPr>
                  <w:tcW w:w="309" w:type="pct"/>
                  <w:tcBorders>
                    <w:top w:val="single" w:color="auto" w:sz="4" w:space="0"/>
                    <w:left w:val="single" w:color="auto" w:sz="4" w:space="0"/>
                    <w:bottom w:val="single" w:color="auto" w:sz="4" w:space="0"/>
                    <w:right w:val="single" w:color="auto" w:sz="4" w:space="0"/>
                  </w:tcBorders>
                  <w:noWrap w:val="0"/>
                  <w:vAlign w:val="center"/>
                </w:tcPr>
                <w:p w14:paraId="36423DDD">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是否为可行技术</w:t>
                  </w:r>
                </w:p>
              </w:tc>
              <w:tc>
                <w:tcPr>
                  <w:tcW w:w="335" w:type="pct"/>
                  <w:tcBorders>
                    <w:top w:val="single" w:color="auto" w:sz="4" w:space="0"/>
                    <w:left w:val="single" w:color="auto" w:sz="4" w:space="0"/>
                    <w:bottom w:val="single" w:color="auto" w:sz="4" w:space="0"/>
                    <w:right w:val="single" w:color="auto" w:sz="4" w:space="0"/>
                  </w:tcBorders>
                  <w:noWrap w:val="0"/>
                  <w:vAlign w:val="center"/>
                </w:tcPr>
                <w:p w14:paraId="25DC0ABE">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排放量t/a</w:t>
                  </w:r>
                </w:p>
              </w:tc>
              <w:tc>
                <w:tcPr>
                  <w:tcW w:w="358" w:type="pct"/>
                  <w:tcBorders>
                    <w:top w:val="single" w:color="auto" w:sz="4" w:space="0"/>
                    <w:left w:val="single" w:color="auto" w:sz="4" w:space="0"/>
                    <w:bottom w:val="single" w:color="auto" w:sz="4" w:space="0"/>
                    <w:right w:val="single" w:color="auto" w:sz="4" w:space="0"/>
                  </w:tcBorders>
                  <w:noWrap w:val="0"/>
                  <w:vAlign w:val="center"/>
                </w:tcPr>
                <w:p w14:paraId="3F3893F7">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排放浓度mg/m</w:t>
                  </w:r>
                  <w:r>
                    <w:rPr>
                      <w:rFonts w:hint="default" w:ascii="Times New Roman" w:hAnsi="Times New Roman" w:eastAsia="宋体" w:cs="Times New Roman"/>
                      <w:color w:val="auto"/>
                      <w:sz w:val="18"/>
                      <w:szCs w:val="18"/>
                      <w:highlight w:val="none"/>
                      <w:vertAlign w:val="superscript"/>
                    </w:rPr>
                    <w:t>3</w:t>
                  </w:r>
                </w:p>
              </w:tc>
              <w:tc>
                <w:tcPr>
                  <w:tcW w:w="366" w:type="pct"/>
                  <w:tcBorders>
                    <w:top w:val="single" w:color="auto" w:sz="4" w:space="0"/>
                    <w:left w:val="single" w:color="auto" w:sz="4" w:space="0"/>
                    <w:bottom w:val="single" w:color="auto" w:sz="4" w:space="0"/>
                    <w:right w:val="single" w:color="auto" w:sz="4" w:space="0"/>
                  </w:tcBorders>
                  <w:noWrap w:val="0"/>
                  <w:vAlign w:val="center"/>
                </w:tcPr>
                <w:p w14:paraId="6652AADE">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排放速率kg/h</w:t>
                  </w:r>
                </w:p>
              </w:tc>
              <w:tc>
                <w:tcPr>
                  <w:tcW w:w="265" w:type="pct"/>
                  <w:tcBorders>
                    <w:top w:val="single" w:color="auto" w:sz="4" w:space="0"/>
                    <w:left w:val="single" w:color="auto" w:sz="4" w:space="0"/>
                    <w:bottom w:val="single" w:color="auto" w:sz="4" w:space="0"/>
                    <w:right w:val="single" w:color="auto" w:sz="4" w:space="0"/>
                  </w:tcBorders>
                  <w:noWrap w:val="0"/>
                  <w:vAlign w:val="center"/>
                </w:tcPr>
                <w:p w14:paraId="592C4189">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持续时间</w:t>
                  </w:r>
                </w:p>
                <w:p w14:paraId="3FF2E66A">
                  <w:pPr>
                    <w:pStyle w:val="80"/>
                    <w:spacing w:line="240" w:lineRule="auto"/>
                    <w:ind w:left="0" w:leftChars="0" w:firstLine="0" w:firstLine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h/a</w:t>
                  </w:r>
                </w:p>
              </w:tc>
              <w:tc>
                <w:tcPr>
                  <w:tcW w:w="362" w:type="pct"/>
                  <w:tcBorders>
                    <w:top w:val="single" w:color="auto" w:sz="4" w:space="0"/>
                    <w:left w:val="single" w:color="auto" w:sz="4" w:space="0"/>
                    <w:bottom w:val="single" w:color="auto" w:sz="4" w:space="0"/>
                    <w:right w:val="single" w:color="auto" w:sz="4" w:space="0"/>
                  </w:tcBorders>
                  <w:noWrap w:val="0"/>
                  <w:vAlign w:val="center"/>
                </w:tcPr>
                <w:p w14:paraId="5D2BCF5E">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排放形式</w:t>
                  </w:r>
                </w:p>
              </w:tc>
            </w:tr>
            <w:tr w14:paraId="75634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257" w:type="pct"/>
                  <w:tcBorders>
                    <w:top w:val="single" w:color="auto" w:sz="2" w:space="0"/>
                    <w:left w:val="single" w:color="auto" w:sz="4" w:space="0"/>
                    <w:right w:val="single" w:color="auto" w:sz="4" w:space="0"/>
                  </w:tcBorders>
                  <w:shd w:val="clear" w:color="auto" w:fill="auto"/>
                  <w:noWrap w:val="0"/>
                  <w:vAlign w:val="center"/>
                </w:tcPr>
                <w:p w14:paraId="419FE0F7">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冷却</w:t>
                  </w:r>
                </w:p>
              </w:tc>
              <w:tc>
                <w:tcPr>
                  <w:tcW w:w="282"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E82E8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36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9AF67E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7.838</w:t>
                  </w:r>
                </w:p>
              </w:tc>
              <w:tc>
                <w:tcPr>
                  <w:tcW w:w="427"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F5BC977">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90.7</w:t>
                  </w:r>
                </w:p>
              </w:tc>
              <w:tc>
                <w:tcPr>
                  <w:tcW w:w="472" w:type="pct"/>
                  <w:tcBorders>
                    <w:top w:val="single" w:color="auto" w:sz="4" w:space="0"/>
                    <w:left w:val="single" w:color="auto" w:sz="4" w:space="0"/>
                    <w:right w:val="single" w:color="auto" w:sz="4" w:space="0"/>
                  </w:tcBorders>
                  <w:shd w:val="clear" w:color="auto" w:fill="auto"/>
                  <w:noWrap w:val="0"/>
                  <w:vAlign w:val="center"/>
                </w:tcPr>
                <w:p w14:paraId="4A575267">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1.09</w:t>
                  </w:r>
                </w:p>
              </w:tc>
              <w:tc>
                <w:tcPr>
                  <w:tcW w:w="389" w:type="pct"/>
                  <w:vMerge w:val="restart"/>
                  <w:tcBorders>
                    <w:top w:val="single" w:color="auto" w:sz="4" w:space="0"/>
                    <w:left w:val="single" w:color="auto" w:sz="4" w:space="0"/>
                    <w:right w:val="single" w:color="auto" w:sz="4" w:space="0"/>
                  </w:tcBorders>
                  <w:noWrap w:val="0"/>
                  <w:vAlign w:val="center"/>
                </w:tcPr>
                <w:p w14:paraId="75F93720">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12000</w:t>
                  </w:r>
                </w:p>
              </w:tc>
              <w:tc>
                <w:tcPr>
                  <w:tcW w:w="271" w:type="pct"/>
                  <w:tcBorders>
                    <w:top w:val="single" w:color="auto" w:sz="4" w:space="0"/>
                    <w:left w:val="single" w:color="auto" w:sz="4" w:space="0"/>
                    <w:right w:val="single" w:color="auto" w:sz="4" w:space="0"/>
                  </w:tcBorders>
                  <w:noWrap w:val="0"/>
                  <w:vAlign w:val="center"/>
                </w:tcPr>
                <w:p w14:paraId="24FC5FFC">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95</w:t>
                  </w:r>
                </w:p>
              </w:tc>
              <w:tc>
                <w:tcPr>
                  <w:tcW w:w="308" w:type="pct"/>
                  <w:vMerge w:val="restart"/>
                  <w:tcBorders>
                    <w:top w:val="single" w:color="auto" w:sz="4" w:space="0"/>
                    <w:left w:val="single" w:color="auto" w:sz="4" w:space="0"/>
                    <w:right w:val="single" w:color="auto" w:sz="4" w:space="0"/>
                  </w:tcBorders>
                  <w:noWrap w:val="0"/>
                  <w:vAlign w:val="center"/>
                </w:tcPr>
                <w:p w14:paraId="665AC841">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布袋除尘器</w:t>
                  </w:r>
                </w:p>
              </w:tc>
              <w:tc>
                <w:tcPr>
                  <w:tcW w:w="225" w:type="pct"/>
                  <w:vMerge w:val="restart"/>
                  <w:tcBorders>
                    <w:top w:val="single" w:color="auto" w:sz="4" w:space="0"/>
                    <w:left w:val="single" w:color="auto" w:sz="4" w:space="0"/>
                    <w:right w:val="single" w:color="auto" w:sz="4" w:space="0"/>
                  </w:tcBorders>
                  <w:noWrap w:val="0"/>
                  <w:vAlign w:val="center"/>
                </w:tcPr>
                <w:p w14:paraId="1002E234">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99</w:t>
                  </w:r>
                </w:p>
              </w:tc>
              <w:tc>
                <w:tcPr>
                  <w:tcW w:w="309" w:type="pct"/>
                  <w:vMerge w:val="restart"/>
                  <w:tcBorders>
                    <w:top w:val="single" w:color="auto" w:sz="4" w:space="0"/>
                    <w:left w:val="single" w:color="auto" w:sz="4" w:space="0"/>
                    <w:right w:val="single" w:color="auto" w:sz="4" w:space="0"/>
                  </w:tcBorders>
                  <w:noWrap w:val="0"/>
                  <w:vAlign w:val="center"/>
                </w:tcPr>
                <w:p w14:paraId="690A2DE7">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是</w:t>
                  </w:r>
                </w:p>
              </w:tc>
              <w:tc>
                <w:tcPr>
                  <w:tcW w:w="335" w:type="pct"/>
                  <w:vMerge w:val="restart"/>
                  <w:tcBorders>
                    <w:top w:val="single" w:color="auto" w:sz="4" w:space="0"/>
                    <w:left w:val="single" w:color="auto" w:sz="4" w:space="0"/>
                    <w:right w:val="single" w:color="auto" w:sz="4" w:space="0"/>
                  </w:tcBorders>
                  <w:noWrap w:val="0"/>
                  <w:vAlign w:val="center"/>
                </w:tcPr>
                <w:p w14:paraId="5B9196A0">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0.215</w:t>
                  </w:r>
                </w:p>
              </w:tc>
              <w:tc>
                <w:tcPr>
                  <w:tcW w:w="358" w:type="pct"/>
                  <w:vMerge w:val="restart"/>
                  <w:tcBorders>
                    <w:top w:val="single" w:color="auto" w:sz="4" w:space="0"/>
                    <w:left w:val="single" w:color="auto" w:sz="4" w:space="0"/>
                    <w:right w:val="single" w:color="auto" w:sz="4" w:space="0"/>
                  </w:tcBorders>
                  <w:noWrap w:val="0"/>
                  <w:vAlign w:val="center"/>
                </w:tcPr>
                <w:p w14:paraId="1B08AB14">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2.5</w:t>
                  </w:r>
                </w:p>
              </w:tc>
              <w:tc>
                <w:tcPr>
                  <w:tcW w:w="366" w:type="pct"/>
                  <w:vMerge w:val="restart"/>
                  <w:tcBorders>
                    <w:top w:val="single" w:color="auto" w:sz="4" w:space="0"/>
                    <w:left w:val="single" w:color="auto" w:sz="4" w:space="0"/>
                    <w:right w:val="single" w:color="auto" w:sz="4" w:space="0"/>
                  </w:tcBorders>
                  <w:noWrap w:val="0"/>
                  <w:vAlign w:val="center"/>
                </w:tcPr>
                <w:p w14:paraId="06FCB5DD">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0.03</w:t>
                  </w:r>
                </w:p>
              </w:tc>
              <w:tc>
                <w:tcPr>
                  <w:tcW w:w="265" w:type="pct"/>
                  <w:vMerge w:val="restart"/>
                  <w:tcBorders>
                    <w:top w:val="single" w:color="auto" w:sz="4" w:space="0"/>
                    <w:left w:val="single" w:color="auto" w:sz="4" w:space="0"/>
                    <w:right w:val="single" w:color="auto" w:sz="4" w:space="0"/>
                  </w:tcBorders>
                  <w:noWrap w:val="0"/>
                  <w:vAlign w:val="center"/>
                </w:tcPr>
                <w:p w14:paraId="6346C708">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7200</w:t>
                  </w:r>
                </w:p>
              </w:tc>
              <w:tc>
                <w:tcPr>
                  <w:tcW w:w="362" w:type="pct"/>
                  <w:vMerge w:val="restart"/>
                  <w:tcBorders>
                    <w:top w:val="single" w:color="auto" w:sz="4" w:space="0"/>
                    <w:left w:val="single" w:color="auto" w:sz="4" w:space="0"/>
                    <w:right w:val="single" w:color="auto" w:sz="4" w:space="0"/>
                  </w:tcBorders>
                  <w:noWrap w:val="0"/>
                  <w:vAlign w:val="center"/>
                </w:tcPr>
                <w:p w14:paraId="68A349E6">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DA002</w:t>
                  </w:r>
                </w:p>
              </w:tc>
            </w:tr>
            <w:tr w14:paraId="1DAE3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257" w:type="pct"/>
                  <w:tcBorders>
                    <w:top w:val="single" w:color="auto" w:sz="2" w:space="0"/>
                    <w:left w:val="single" w:color="auto" w:sz="4" w:space="0"/>
                    <w:right w:val="single" w:color="auto" w:sz="4" w:space="0"/>
                  </w:tcBorders>
                  <w:noWrap w:val="0"/>
                  <w:vAlign w:val="center"/>
                </w:tcPr>
                <w:p w14:paraId="2773DE9D">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精筛</w:t>
                  </w:r>
                </w:p>
              </w:tc>
              <w:tc>
                <w:tcPr>
                  <w:tcW w:w="282" w:type="pct"/>
                  <w:tcBorders>
                    <w:top w:val="single" w:color="auto" w:sz="4" w:space="0"/>
                    <w:left w:val="single" w:color="auto" w:sz="4" w:space="0"/>
                    <w:bottom w:val="single" w:color="auto" w:sz="4" w:space="0"/>
                    <w:right w:val="single" w:color="auto" w:sz="4" w:space="0"/>
                  </w:tcBorders>
                  <w:noWrap w:val="0"/>
                  <w:vAlign w:val="center"/>
                </w:tcPr>
                <w:p w14:paraId="3CB2A4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369" w:type="pct"/>
                  <w:tcBorders>
                    <w:top w:val="single" w:color="auto" w:sz="4" w:space="0"/>
                    <w:left w:val="single" w:color="auto" w:sz="4" w:space="0"/>
                    <w:bottom w:val="single" w:color="auto" w:sz="4" w:space="0"/>
                    <w:right w:val="single" w:color="auto" w:sz="4" w:space="0"/>
                  </w:tcBorders>
                  <w:noWrap w:val="0"/>
                  <w:vAlign w:val="center"/>
                </w:tcPr>
                <w:p w14:paraId="5DB31430">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7.125</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30A62C7F">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85.5</w:t>
                  </w:r>
                </w:p>
              </w:tc>
              <w:tc>
                <w:tcPr>
                  <w:tcW w:w="472" w:type="pct"/>
                  <w:tcBorders>
                    <w:top w:val="single" w:color="auto" w:sz="4" w:space="0"/>
                    <w:left w:val="single" w:color="auto" w:sz="4" w:space="0"/>
                    <w:right w:val="single" w:color="auto" w:sz="4" w:space="0"/>
                  </w:tcBorders>
                  <w:noWrap w:val="0"/>
                  <w:vAlign w:val="center"/>
                </w:tcPr>
                <w:p w14:paraId="6C57DFAB">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0.99</w:t>
                  </w:r>
                </w:p>
              </w:tc>
              <w:tc>
                <w:tcPr>
                  <w:tcW w:w="389" w:type="pct"/>
                  <w:vMerge w:val="continue"/>
                  <w:tcBorders>
                    <w:left w:val="single" w:color="auto" w:sz="4" w:space="0"/>
                    <w:right w:val="single" w:color="auto" w:sz="4" w:space="0"/>
                  </w:tcBorders>
                  <w:noWrap w:val="0"/>
                  <w:vAlign w:val="center"/>
                </w:tcPr>
                <w:p w14:paraId="2ABA9BC1">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71" w:type="pct"/>
                  <w:tcBorders>
                    <w:top w:val="single" w:color="auto" w:sz="4" w:space="0"/>
                    <w:left w:val="single" w:color="auto" w:sz="4" w:space="0"/>
                    <w:right w:val="single" w:color="auto" w:sz="4" w:space="0"/>
                  </w:tcBorders>
                  <w:noWrap w:val="0"/>
                  <w:vAlign w:val="center"/>
                </w:tcPr>
                <w:p w14:paraId="0015C217">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95</w:t>
                  </w:r>
                </w:p>
              </w:tc>
              <w:tc>
                <w:tcPr>
                  <w:tcW w:w="308" w:type="pct"/>
                  <w:vMerge w:val="continue"/>
                  <w:tcBorders>
                    <w:left w:val="single" w:color="auto" w:sz="4" w:space="0"/>
                    <w:right w:val="single" w:color="auto" w:sz="4" w:space="0"/>
                  </w:tcBorders>
                  <w:noWrap w:val="0"/>
                  <w:vAlign w:val="center"/>
                </w:tcPr>
                <w:p w14:paraId="35DFF08A">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25" w:type="pct"/>
                  <w:vMerge w:val="continue"/>
                  <w:tcBorders>
                    <w:left w:val="single" w:color="auto" w:sz="4" w:space="0"/>
                    <w:right w:val="single" w:color="auto" w:sz="4" w:space="0"/>
                  </w:tcBorders>
                  <w:noWrap w:val="0"/>
                  <w:vAlign w:val="center"/>
                </w:tcPr>
                <w:p w14:paraId="4B666E73">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09" w:type="pct"/>
                  <w:vMerge w:val="continue"/>
                  <w:tcBorders>
                    <w:left w:val="single" w:color="auto" w:sz="4" w:space="0"/>
                    <w:right w:val="single" w:color="auto" w:sz="4" w:space="0"/>
                  </w:tcBorders>
                  <w:noWrap w:val="0"/>
                  <w:vAlign w:val="center"/>
                </w:tcPr>
                <w:p w14:paraId="0F554BD4">
                  <w:pPr>
                    <w:spacing w:line="240" w:lineRule="auto"/>
                    <w:jc w:val="center"/>
                    <w:rPr>
                      <w:rFonts w:hint="default" w:ascii="Times New Roman" w:hAnsi="Times New Roman" w:eastAsia="宋体" w:cs="Times New Roman"/>
                      <w:color w:val="auto"/>
                      <w:sz w:val="18"/>
                      <w:szCs w:val="18"/>
                      <w:highlight w:val="none"/>
                      <w:lang w:eastAsia="zh-CN"/>
                    </w:rPr>
                  </w:pPr>
                </w:p>
              </w:tc>
              <w:tc>
                <w:tcPr>
                  <w:tcW w:w="335" w:type="pct"/>
                  <w:vMerge w:val="continue"/>
                  <w:tcBorders>
                    <w:left w:val="single" w:color="auto" w:sz="4" w:space="0"/>
                    <w:right w:val="single" w:color="auto" w:sz="4" w:space="0"/>
                  </w:tcBorders>
                  <w:noWrap w:val="0"/>
                  <w:vAlign w:val="center"/>
                </w:tcPr>
                <w:p w14:paraId="3CD7BA85">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358" w:type="pct"/>
                  <w:vMerge w:val="continue"/>
                  <w:tcBorders>
                    <w:left w:val="single" w:color="auto" w:sz="4" w:space="0"/>
                    <w:right w:val="single" w:color="auto" w:sz="4" w:space="0"/>
                  </w:tcBorders>
                  <w:noWrap w:val="0"/>
                  <w:vAlign w:val="center"/>
                </w:tcPr>
                <w:p w14:paraId="7019467B">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366" w:type="pct"/>
                  <w:vMerge w:val="continue"/>
                  <w:tcBorders>
                    <w:left w:val="single" w:color="auto" w:sz="4" w:space="0"/>
                    <w:right w:val="single" w:color="auto" w:sz="4" w:space="0"/>
                  </w:tcBorders>
                  <w:noWrap w:val="0"/>
                  <w:vAlign w:val="center"/>
                </w:tcPr>
                <w:p w14:paraId="268C507E">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265" w:type="pct"/>
                  <w:vMerge w:val="continue"/>
                  <w:tcBorders>
                    <w:left w:val="single" w:color="auto" w:sz="4" w:space="0"/>
                    <w:right w:val="single" w:color="auto" w:sz="4" w:space="0"/>
                  </w:tcBorders>
                  <w:noWrap w:val="0"/>
                  <w:vAlign w:val="center"/>
                </w:tcPr>
                <w:p w14:paraId="53F98D58">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62" w:type="pct"/>
                  <w:vMerge w:val="continue"/>
                  <w:tcBorders>
                    <w:left w:val="single" w:color="auto" w:sz="4" w:space="0"/>
                    <w:right w:val="single" w:color="auto" w:sz="4" w:space="0"/>
                  </w:tcBorders>
                  <w:noWrap w:val="0"/>
                  <w:vAlign w:val="center"/>
                </w:tcPr>
                <w:p w14:paraId="3D97E6F6">
                  <w:pPr>
                    <w:spacing w:line="240" w:lineRule="auto"/>
                    <w:jc w:val="center"/>
                    <w:rPr>
                      <w:rFonts w:hint="default" w:ascii="Times New Roman" w:hAnsi="Times New Roman" w:eastAsia="宋体" w:cs="Times New Roman"/>
                      <w:color w:val="auto"/>
                      <w:sz w:val="18"/>
                      <w:szCs w:val="18"/>
                      <w:highlight w:val="none"/>
                      <w:lang w:val="en-US" w:eastAsia="zh-CN"/>
                    </w:rPr>
                  </w:pPr>
                </w:p>
              </w:tc>
            </w:tr>
            <w:tr w14:paraId="03EB0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1" w:hRule="atLeast"/>
                <w:jc w:val="center"/>
              </w:trPr>
              <w:tc>
                <w:tcPr>
                  <w:tcW w:w="257" w:type="pct"/>
                  <w:tcBorders>
                    <w:top w:val="single" w:color="auto" w:sz="2" w:space="0"/>
                    <w:left w:val="single" w:color="auto" w:sz="4" w:space="0"/>
                    <w:right w:val="single" w:color="auto" w:sz="4" w:space="0"/>
                  </w:tcBorders>
                  <w:noWrap w:val="0"/>
                  <w:vAlign w:val="center"/>
                </w:tcPr>
                <w:p w14:paraId="2CE2930A">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入仓</w:t>
                  </w:r>
                </w:p>
              </w:tc>
              <w:tc>
                <w:tcPr>
                  <w:tcW w:w="282" w:type="pct"/>
                  <w:tcBorders>
                    <w:top w:val="single" w:color="auto" w:sz="4" w:space="0"/>
                    <w:left w:val="single" w:color="auto" w:sz="4" w:space="0"/>
                    <w:bottom w:val="single" w:color="auto" w:sz="4" w:space="0"/>
                    <w:right w:val="single" w:color="auto" w:sz="4" w:space="0"/>
                  </w:tcBorders>
                  <w:noWrap w:val="0"/>
                  <w:vAlign w:val="center"/>
                </w:tcPr>
                <w:p w14:paraId="5F5678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369" w:type="pct"/>
                  <w:tcBorders>
                    <w:top w:val="single" w:color="auto" w:sz="4" w:space="0"/>
                    <w:left w:val="single" w:color="auto" w:sz="4" w:space="0"/>
                    <w:bottom w:val="single" w:color="auto" w:sz="4" w:space="0"/>
                    <w:right w:val="single" w:color="auto" w:sz="4" w:space="0"/>
                  </w:tcBorders>
                  <w:noWrap w:val="0"/>
                  <w:vAlign w:val="center"/>
                </w:tcPr>
                <w:p w14:paraId="66C19022">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1915F1E8">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34.7</w:t>
                  </w:r>
                </w:p>
              </w:tc>
              <w:tc>
                <w:tcPr>
                  <w:tcW w:w="472" w:type="pct"/>
                  <w:tcBorders>
                    <w:top w:val="single" w:color="auto" w:sz="4" w:space="0"/>
                    <w:left w:val="single" w:color="auto" w:sz="4" w:space="0"/>
                    <w:right w:val="single" w:color="auto" w:sz="4" w:space="0"/>
                  </w:tcBorders>
                  <w:noWrap w:val="0"/>
                  <w:vAlign w:val="center"/>
                </w:tcPr>
                <w:p w14:paraId="72C48590">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0.42</w:t>
                  </w:r>
                </w:p>
              </w:tc>
              <w:tc>
                <w:tcPr>
                  <w:tcW w:w="389" w:type="pct"/>
                  <w:vMerge w:val="continue"/>
                  <w:tcBorders>
                    <w:left w:val="single" w:color="auto" w:sz="4" w:space="0"/>
                    <w:right w:val="single" w:color="auto" w:sz="4" w:space="0"/>
                  </w:tcBorders>
                  <w:noWrap w:val="0"/>
                  <w:vAlign w:val="center"/>
                </w:tcPr>
                <w:p w14:paraId="6E212158">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71" w:type="pct"/>
                  <w:tcBorders>
                    <w:top w:val="single" w:color="auto" w:sz="4" w:space="0"/>
                    <w:left w:val="single" w:color="auto" w:sz="4" w:space="0"/>
                    <w:right w:val="single" w:color="auto" w:sz="4" w:space="0"/>
                  </w:tcBorders>
                  <w:noWrap w:val="0"/>
                  <w:vAlign w:val="center"/>
                </w:tcPr>
                <w:p w14:paraId="4C094945">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100</w:t>
                  </w:r>
                </w:p>
              </w:tc>
              <w:tc>
                <w:tcPr>
                  <w:tcW w:w="308" w:type="pct"/>
                  <w:vMerge w:val="continue"/>
                  <w:tcBorders>
                    <w:left w:val="single" w:color="auto" w:sz="4" w:space="0"/>
                    <w:right w:val="single" w:color="auto" w:sz="4" w:space="0"/>
                  </w:tcBorders>
                  <w:noWrap w:val="0"/>
                  <w:vAlign w:val="center"/>
                </w:tcPr>
                <w:p w14:paraId="29B89958">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25" w:type="pct"/>
                  <w:vMerge w:val="continue"/>
                  <w:tcBorders>
                    <w:left w:val="single" w:color="auto" w:sz="4" w:space="0"/>
                    <w:right w:val="single" w:color="auto" w:sz="4" w:space="0"/>
                  </w:tcBorders>
                  <w:noWrap w:val="0"/>
                  <w:vAlign w:val="center"/>
                </w:tcPr>
                <w:p w14:paraId="2D62C766">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09" w:type="pct"/>
                  <w:vMerge w:val="continue"/>
                  <w:tcBorders>
                    <w:left w:val="single" w:color="auto" w:sz="4" w:space="0"/>
                    <w:right w:val="single" w:color="auto" w:sz="4" w:space="0"/>
                  </w:tcBorders>
                  <w:noWrap w:val="0"/>
                  <w:vAlign w:val="center"/>
                </w:tcPr>
                <w:p w14:paraId="175D518F">
                  <w:pPr>
                    <w:spacing w:line="240" w:lineRule="auto"/>
                    <w:jc w:val="center"/>
                    <w:rPr>
                      <w:rFonts w:hint="default" w:ascii="Times New Roman" w:hAnsi="Times New Roman" w:eastAsia="宋体" w:cs="Times New Roman"/>
                      <w:color w:val="auto"/>
                      <w:sz w:val="18"/>
                      <w:szCs w:val="18"/>
                      <w:highlight w:val="none"/>
                      <w:lang w:eastAsia="zh-CN"/>
                    </w:rPr>
                  </w:pPr>
                </w:p>
              </w:tc>
              <w:tc>
                <w:tcPr>
                  <w:tcW w:w="335" w:type="pct"/>
                  <w:vMerge w:val="continue"/>
                  <w:tcBorders>
                    <w:left w:val="single" w:color="auto" w:sz="4" w:space="0"/>
                    <w:right w:val="single" w:color="auto" w:sz="4" w:space="0"/>
                  </w:tcBorders>
                  <w:noWrap w:val="0"/>
                  <w:vAlign w:val="center"/>
                </w:tcPr>
                <w:p w14:paraId="27E117CC">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358" w:type="pct"/>
                  <w:vMerge w:val="continue"/>
                  <w:tcBorders>
                    <w:left w:val="single" w:color="auto" w:sz="4" w:space="0"/>
                    <w:right w:val="single" w:color="auto" w:sz="4" w:space="0"/>
                  </w:tcBorders>
                  <w:noWrap w:val="0"/>
                  <w:vAlign w:val="center"/>
                </w:tcPr>
                <w:p w14:paraId="0E0AFA2F">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366" w:type="pct"/>
                  <w:vMerge w:val="continue"/>
                  <w:tcBorders>
                    <w:left w:val="single" w:color="auto" w:sz="4" w:space="0"/>
                    <w:right w:val="single" w:color="auto" w:sz="4" w:space="0"/>
                  </w:tcBorders>
                  <w:noWrap w:val="0"/>
                  <w:vAlign w:val="center"/>
                </w:tcPr>
                <w:p w14:paraId="253411DF">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265" w:type="pct"/>
                  <w:vMerge w:val="continue"/>
                  <w:tcBorders>
                    <w:left w:val="single" w:color="auto" w:sz="4" w:space="0"/>
                    <w:right w:val="single" w:color="auto" w:sz="4" w:space="0"/>
                  </w:tcBorders>
                  <w:noWrap w:val="0"/>
                  <w:vAlign w:val="center"/>
                </w:tcPr>
                <w:p w14:paraId="7CD2BB9F">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62" w:type="pct"/>
                  <w:vMerge w:val="continue"/>
                  <w:tcBorders>
                    <w:left w:val="single" w:color="auto" w:sz="4" w:space="0"/>
                    <w:right w:val="single" w:color="auto" w:sz="4" w:space="0"/>
                  </w:tcBorders>
                  <w:noWrap w:val="0"/>
                  <w:vAlign w:val="center"/>
                </w:tcPr>
                <w:p w14:paraId="149D6073">
                  <w:pPr>
                    <w:spacing w:line="240" w:lineRule="auto"/>
                    <w:jc w:val="center"/>
                    <w:rPr>
                      <w:rFonts w:hint="default" w:ascii="Times New Roman" w:hAnsi="Times New Roman" w:eastAsia="宋体" w:cs="Times New Roman"/>
                      <w:color w:val="auto"/>
                      <w:sz w:val="18"/>
                      <w:szCs w:val="18"/>
                      <w:highlight w:val="none"/>
                      <w:lang w:val="en-US" w:eastAsia="zh-CN"/>
                    </w:rPr>
                  </w:pPr>
                </w:p>
              </w:tc>
            </w:tr>
            <w:tr w14:paraId="31C18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257" w:type="pct"/>
                  <w:tcBorders>
                    <w:top w:val="single" w:color="auto" w:sz="2" w:space="0"/>
                    <w:left w:val="single" w:color="auto" w:sz="4" w:space="0"/>
                    <w:right w:val="single" w:color="auto" w:sz="4" w:space="0"/>
                  </w:tcBorders>
                  <w:noWrap w:val="0"/>
                  <w:vAlign w:val="center"/>
                </w:tcPr>
                <w:p w14:paraId="065A9547">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包膜、包装</w:t>
                  </w:r>
                </w:p>
              </w:tc>
              <w:tc>
                <w:tcPr>
                  <w:tcW w:w="282" w:type="pct"/>
                  <w:tcBorders>
                    <w:top w:val="single" w:color="auto" w:sz="4" w:space="0"/>
                    <w:left w:val="single" w:color="auto" w:sz="4" w:space="0"/>
                    <w:bottom w:val="single" w:color="auto" w:sz="4" w:space="0"/>
                    <w:right w:val="single" w:color="auto" w:sz="4" w:space="0"/>
                  </w:tcBorders>
                  <w:noWrap w:val="0"/>
                  <w:vAlign w:val="center"/>
                </w:tcPr>
                <w:p w14:paraId="208ABA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369" w:type="pct"/>
                  <w:tcBorders>
                    <w:top w:val="single" w:color="auto" w:sz="4" w:space="0"/>
                    <w:left w:val="single" w:color="auto" w:sz="4" w:space="0"/>
                    <w:bottom w:val="single" w:color="auto" w:sz="4" w:space="0"/>
                    <w:right w:val="single" w:color="auto" w:sz="4" w:space="0"/>
                  </w:tcBorders>
                  <w:noWrap w:val="0"/>
                  <w:vAlign w:val="center"/>
                </w:tcPr>
                <w:p w14:paraId="58FDDFA1">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3.563</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06FF166E">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41.2</w:t>
                  </w:r>
                </w:p>
              </w:tc>
              <w:tc>
                <w:tcPr>
                  <w:tcW w:w="472" w:type="pct"/>
                  <w:tcBorders>
                    <w:top w:val="single" w:color="auto" w:sz="4" w:space="0"/>
                    <w:left w:val="single" w:color="auto" w:sz="4" w:space="0"/>
                    <w:right w:val="single" w:color="auto" w:sz="4" w:space="0"/>
                  </w:tcBorders>
                  <w:noWrap w:val="0"/>
                  <w:vAlign w:val="center"/>
                </w:tcPr>
                <w:p w14:paraId="7D3DA86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0.49</w:t>
                  </w:r>
                </w:p>
              </w:tc>
              <w:tc>
                <w:tcPr>
                  <w:tcW w:w="389" w:type="pct"/>
                  <w:vMerge w:val="continue"/>
                  <w:tcBorders>
                    <w:left w:val="single" w:color="auto" w:sz="4" w:space="0"/>
                    <w:right w:val="single" w:color="auto" w:sz="4" w:space="0"/>
                  </w:tcBorders>
                  <w:noWrap w:val="0"/>
                  <w:vAlign w:val="center"/>
                </w:tcPr>
                <w:p w14:paraId="3ED121A1">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71" w:type="pct"/>
                  <w:tcBorders>
                    <w:top w:val="single" w:color="auto" w:sz="4" w:space="0"/>
                    <w:left w:val="single" w:color="auto" w:sz="4" w:space="0"/>
                    <w:right w:val="single" w:color="auto" w:sz="4" w:space="0"/>
                  </w:tcBorders>
                  <w:noWrap w:val="0"/>
                  <w:vAlign w:val="center"/>
                </w:tcPr>
                <w:p w14:paraId="15E5289D">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95</w:t>
                  </w:r>
                </w:p>
              </w:tc>
              <w:tc>
                <w:tcPr>
                  <w:tcW w:w="308" w:type="pct"/>
                  <w:vMerge w:val="continue"/>
                  <w:tcBorders>
                    <w:left w:val="single" w:color="auto" w:sz="4" w:space="0"/>
                    <w:right w:val="single" w:color="auto" w:sz="4" w:space="0"/>
                  </w:tcBorders>
                  <w:noWrap w:val="0"/>
                  <w:vAlign w:val="center"/>
                </w:tcPr>
                <w:p w14:paraId="295D6718">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25" w:type="pct"/>
                  <w:vMerge w:val="continue"/>
                  <w:tcBorders>
                    <w:left w:val="single" w:color="auto" w:sz="4" w:space="0"/>
                    <w:right w:val="single" w:color="auto" w:sz="4" w:space="0"/>
                  </w:tcBorders>
                  <w:noWrap w:val="0"/>
                  <w:vAlign w:val="center"/>
                </w:tcPr>
                <w:p w14:paraId="1AC79D98">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09" w:type="pct"/>
                  <w:vMerge w:val="continue"/>
                  <w:tcBorders>
                    <w:left w:val="single" w:color="auto" w:sz="4" w:space="0"/>
                    <w:right w:val="single" w:color="auto" w:sz="4" w:space="0"/>
                  </w:tcBorders>
                  <w:noWrap w:val="0"/>
                  <w:vAlign w:val="center"/>
                </w:tcPr>
                <w:p w14:paraId="359491CC">
                  <w:pPr>
                    <w:spacing w:line="240" w:lineRule="auto"/>
                    <w:jc w:val="center"/>
                    <w:rPr>
                      <w:rFonts w:hint="default" w:ascii="Times New Roman" w:hAnsi="Times New Roman" w:eastAsia="宋体" w:cs="Times New Roman"/>
                      <w:color w:val="auto"/>
                      <w:sz w:val="18"/>
                      <w:szCs w:val="18"/>
                      <w:highlight w:val="none"/>
                      <w:lang w:eastAsia="zh-CN"/>
                    </w:rPr>
                  </w:pPr>
                </w:p>
              </w:tc>
              <w:tc>
                <w:tcPr>
                  <w:tcW w:w="335" w:type="pct"/>
                  <w:vMerge w:val="continue"/>
                  <w:tcBorders>
                    <w:left w:val="single" w:color="auto" w:sz="4" w:space="0"/>
                    <w:right w:val="single" w:color="auto" w:sz="4" w:space="0"/>
                  </w:tcBorders>
                  <w:noWrap w:val="0"/>
                  <w:vAlign w:val="center"/>
                </w:tcPr>
                <w:p w14:paraId="1301D268">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358" w:type="pct"/>
                  <w:vMerge w:val="continue"/>
                  <w:tcBorders>
                    <w:left w:val="single" w:color="auto" w:sz="4" w:space="0"/>
                    <w:right w:val="single" w:color="auto" w:sz="4" w:space="0"/>
                  </w:tcBorders>
                  <w:noWrap w:val="0"/>
                  <w:vAlign w:val="center"/>
                </w:tcPr>
                <w:p w14:paraId="096A591E">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366" w:type="pct"/>
                  <w:vMerge w:val="continue"/>
                  <w:tcBorders>
                    <w:left w:val="single" w:color="auto" w:sz="4" w:space="0"/>
                    <w:right w:val="single" w:color="auto" w:sz="4" w:space="0"/>
                  </w:tcBorders>
                  <w:noWrap w:val="0"/>
                  <w:vAlign w:val="center"/>
                </w:tcPr>
                <w:p w14:paraId="36B2C3DF">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265" w:type="pct"/>
                  <w:vMerge w:val="continue"/>
                  <w:tcBorders>
                    <w:left w:val="single" w:color="auto" w:sz="4" w:space="0"/>
                    <w:right w:val="single" w:color="auto" w:sz="4" w:space="0"/>
                  </w:tcBorders>
                  <w:noWrap w:val="0"/>
                  <w:vAlign w:val="center"/>
                </w:tcPr>
                <w:p w14:paraId="18BE5211">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62" w:type="pct"/>
                  <w:vMerge w:val="continue"/>
                  <w:tcBorders>
                    <w:left w:val="single" w:color="auto" w:sz="4" w:space="0"/>
                    <w:right w:val="single" w:color="auto" w:sz="4" w:space="0"/>
                  </w:tcBorders>
                  <w:noWrap w:val="0"/>
                  <w:vAlign w:val="center"/>
                </w:tcPr>
                <w:p w14:paraId="371533BA">
                  <w:pPr>
                    <w:spacing w:line="240" w:lineRule="auto"/>
                    <w:jc w:val="center"/>
                    <w:rPr>
                      <w:rFonts w:hint="default" w:ascii="Times New Roman" w:hAnsi="Times New Roman" w:eastAsia="宋体" w:cs="Times New Roman"/>
                      <w:color w:val="auto"/>
                      <w:sz w:val="18"/>
                      <w:szCs w:val="18"/>
                      <w:highlight w:val="none"/>
                      <w:lang w:val="en-US" w:eastAsia="zh-CN"/>
                    </w:rPr>
                  </w:pPr>
                </w:p>
              </w:tc>
            </w:tr>
          </w:tbl>
          <w:p w14:paraId="47B8DC25">
            <w:pPr>
              <w:adjustRightInd w:val="0"/>
              <w:snapToGrid w:val="0"/>
              <w:spacing w:line="360" w:lineRule="auto"/>
              <w:ind w:firstLine="42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由上表可知，DA00</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排气筒</w:t>
            </w:r>
            <w:r>
              <w:rPr>
                <w:rFonts w:hint="default" w:ascii="Times New Roman" w:hAnsi="Times New Roman" w:cs="Times New Roman"/>
                <w:color w:val="auto"/>
                <w:highlight w:val="none"/>
              </w:rPr>
              <w:t>颗粒物有组织排放浓度</w:t>
            </w:r>
            <w:r>
              <w:rPr>
                <w:rFonts w:hint="default" w:ascii="Times New Roman" w:hAnsi="Times New Roman" w:cs="Times New Roman"/>
                <w:color w:val="auto"/>
                <w:szCs w:val="16"/>
                <w:highlight w:val="none"/>
              </w:rPr>
              <w:t>满足</w:t>
            </w:r>
            <w:r>
              <w:rPr>
                <w:rFonts w:hint="default" w:ascii="Times New Roman" w:hAnsi="Times New Roman" w:cs="Times New Roman"/>
                <w:color w:val="auto"/>
                <w:sz w:val="21"/>
                <w:szCs w:val="21"/>
                <w:highlight w:val="none"/>
              </w:rPr>
              <w:t>《区域性大气污染物综合排放标准》（DB37/2376-2019）表1中“重点控制区”标准限值（颗粒物10mg/m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lang w:eastAsia="zh-CN"/>
              </w:rPr>
              <w:t>）。</w:t>
            </w:r>
          </w:p>
          <w:p w14:paraId="1AD15A46">
            <w:pPr>
              <w:adjustRightInd w:val="0"/>
              <w:snapToGrid w:val="0"/>
              <w:spacing w:line="360" w:lineRule="auto"/>
              <w:ind w:firstLine="420" w:firstLineChars="200"/>
              <w:rPr>
                <w:rFonts w:hint="default" w:cs="Times New Roman"/>
                <w:bCs/>
                <w:color w:val="auto"/>
                <w:highlight w:val="none"/>
                <w:lang w:val="en-US" w:eastAsia="zh-CN"/>
              </w:rPr>
            </w:pPr>
            <w:r>
              <w:rPr>
                <w:rFonts w:hint="eastAsia" w:ascii="宋体" w:hAnsi="宋体" w:eastAsia="宋体" w:cs="宋体"/>
                <w:color w:val="auto"/>
                <w:highlight w:val="none"/>
                <w:lang w:eastAsia="zh-CN"/>
              </w:rPr>
              <w:t>③</w:t>
            </w:r>
            <w:r>
              <w:rPr>
                <w:rFonts w:hint="eastAsia" w:cs="Times New Roman"/>
                <w:bCs/>
                <w:color w:val="auto"/>
                <w:highlight w:val="none"/>
                <w:lang w:val="en-US" w:eastAsia="zh-CN"/>
              </w:rPr>
              <w:t>DA003排气筒有组织废气</w:t>
            </w:r>
          </w:p>
          <w:p w14:paraId="4F372E67">
            <w:pPr>
              <w:adjustRightInd w:val="0"/>
              <w:snapToGrid w:val="0"/>
              <w:spacing w:line="360" w:lineRule="auto"/>
              <w:ind w:firstLine="420" w:firstLineChars="200"/>
              <w:rPr>
                <w:rFonts w:hint="default" w:ascii="Times New Roman" w:hAnsi="Times New Roman" w:cs="Times New Roman"/>
                <w:bCs/>
                <w:color w:val="auto"/>
                <w:highlight w:val="none"/>
                <w:lang w:val="en-US" w:eastAsia="zh-CN"/>
              </w:rPr>
            </w:pPr>
            <w:r>
              <w:rPr>
                <w:rFonts w:hint="eastAsia" w:cs="Times New Roman"/>
                <w:bCs/>
                <w:color w:val="auto"/>
                <w:highlight w:val="none"/>
                <w:lang w:val="en-US" w:eastAsia="zh-CN"/>
              </w:rPr>
              <w:t>原料破碎、筛分、配料、部分筛分、混合、粗筛、整形过程</w:t>
            </w:r>
            <w:r>
              <w:rPr>
                <w:rFonts w:hint="eastAsia" w:cs="Times New Roman"/>
                <w:bCs/>
                <w:color w:val="auto"/>
                <w:highlight w:val="none"/>
                <w:lang w:eastAsia="zh-CN"/>
              </w:rPr>
              <w:t>产生的颗粒物经集气罩收集后经1套布袋除尘器处理后通过同一根15m高DA00</w:t>
            </w:r>
            <w:r>
              <w:rPr>
                <w:rFonts w:hint="eastAsia" w:cs="Times New Roman"/>
                <w:bCs/>
                <w:color w:val="auto"/>
                <w:highlight w:val="none"/>
                <w:lang w:val="en-US" w:eastAsia="zh-CN"/>
              </w:rPr>
              <w:t>3</w:t>
            </w:r>
            <w:r>
              <w:rPr>
                <w:rFonts w:hint="eastAsia" w:cs="Times New Roman"/>
                <w:bCs/>
                <w:color w:val="auto"/>
                <w:highlight w:val="none"/>
                <w:lang w:eastAsia="zh-CN"/>
              </w:rPr>
              <w:t>排气筒有组织排放</w:t>
            </w:r>
            <w:r>
              <w:rPr>
                <w:rFonts w:hint="default" w:ascii="Times New Roman" w:hAnsi="Times New Roman" w:cs="Times New Roman"/>
                <w:bCs/>
                <w:color w:val="auto"/>
                <w:sz w:val="21"/>
                <w:szCs w:val="21"/>
                <w:highlight w:val="none"/>
              </w:rPr>
              <w:t>。</w:t>
            </w:r>
            <w:r>
              <w:rPr>
                <w:rFonts w:hint="default" w:ascii="Times New Roman" w:hAnsi="Times New Roman" w:cs="Times New Roman"/>
                <w:color w:val="auto"/>
                <w:highlight w:val="none"/>
                <w:lang w:val="en-US" w:eastAsia="zh-CN"/>
              </w:rPr>
              <w:t>集气罩收集效率为95%，</w:t>
            </w:r>
            <w:r>
              <w:rPr>
                <w:rFonts w:hint="eastAsia" w:cs="Times New Roman"/>
                <w:bCs/>
                <w:color w:val="auto"/>
                <w:highlight w:val="none"/>
                <w:lang w:eastAsia="zh-CN"/>
              </w:rPr>
              <w:t>布袋除尘器</w:t>
            </w:r>
            <w:r>
              <w:rPr>
                <w:rFonts w:hint="eastAsia" w:cs="Times New Roman"/>
                <w:bCs/>
                <w:color w:val="auto"/>
                <w:sz w:val="21"/>
                <w:szCs w:val="21"/>
                <w:highlight w:val="none"/>
                <w:lang w:val="en-US" w:eastAsia="zh-CN"/>
              </w:rPr>
              <w:t>处理效率为99%，</w:t>
            </w:r>
            <w:r>
              <w:rPr>
                <w:rFonts w:hint="default" w:ascii="Times New Roman" w:hAnsi="Times New Roman" w:cs="Times New Roman"/>
                <w:color w:val="auto"/>
                <w:highlight w:val="none"/>
                <w:lang w:val="en-US" w:eastAsia="zh-CN"/>
              </w:rPr>
              <w:t>年工作时间为</w:t>
            </w:r>
            <w:r>
              <w:rPr>
                <w:rFonts w:hint="eastAsia" w:cs="Times New Roman"/>
                <w:color w:val="auto"/>
                <w:highlight w:val="none"/>
                <w:lang w:val="en-US" w:eastAsia="zh-CN"/>
              </w:rPr>
              <w:t>72</w:t>
            </w:r>
            <w:r>
              <w:rPr>
                <w:rFonts w:hint="default" w:ascii="Times New Roman" w:hAnsi="Times New Roman" w:cs="Times New Roman"/>
                <w:color w:val="auto"/>
                <w:highlight w:val="none"/>
                <w:lang w:val="en-US" w:eastAsia="zh-CN"/>
              </w:rPr>
              <w:t>00h，风机风量为</w:t>
            </w:r>
            <w:r>
              <w:rPr>
                <w:rFonts w:hint="eastAsia" w:cs="Times New Roman"/>
                <w:color w:val="auto"/>
                <w:highlight w:val="none"/>
                <w:lang w:val="en-US" w:eastAsia="zh-CN"/>
              </w:rPr>
              <w:t>20</w:t>
            </w:r>
            <w:r>
              <w:rPr>
                <w:rFonts w:hint="default" w:ascii="Times New Roman" w:hAnsi="Times New Roman" w:cs="Times New Roman"/>
                <w:color w:val="auto"/>
                <w:highlight w:val="none"/>
                <w:lang w:val="en-US" w:eastAsia="zh-CN"/>
              </w:rPr>
              <w:t>000m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/h，具体污染物产排情况见下表。</w:t>
            </w:r>
          </w:p>
          <w:p w14:paraId="1C113C1B">
            <w:pPr>
              <w:pStyle w:val="80"/>
              <w:ind w:left="0" w:leftChars="0" w:firstLine="0" w:firstLineChars="0"/>
              <w:jc w:val="center"/>
              <w:rPr>
                <w:rFonts w:hint="default" w:ascii="Times New Roman" w:hAnsi="Times New Roman" w:cs="Times New Roman"/>
                <w:b/>
                <w:bCs w:val="0"/>
                <w:color w:val="auto"/>
                <w:highlight w:val="none"/>
                <w:lang w:val="en-US" w:eastAsia="zh-CN"/>
              </w:rPr>
            </w:pPr>
            <w:r>
              <w:rPr>
                <w:rFonts w:hint="default" w:ascii="Times New Roman" w:hAnsi="Times New Roman" w:cs="Times New Roman"/>
                <w:b/>
                <w:bCs w:val="0"/>
                <w:color w:val="auto"/>
                <w:sz w:val="21"/>
                <w:szCs w:val="21"/>
                <w:highlight w:val="none"/>
                <w:vertAlign w:val="baseline"/>
                <w:lang w:val="en-US" w:eastAsia="zh-CN"/>
              </w:rPr>
              <w:t>表4-</w:t>
            </w:r>
            <w:r>
              <w:rPr>
                <w:rFonts w:hint="eastAsia" w:cs="Times New Roman"/>
                <w:b/>
                <w:bCs w:val="0"/>
                <w:color w:val="auto"/>
                <w:sz w:val="21"/>
                <w:szCs w:val="21"/>
                <w:highlight w:val="none"/>
                <w:vertAlign w:val="baseline"/>
                <w:lang w:val="en-US" w:eastAsia="zh-CN"/>
              </w:rPr>
              <w:t>11一期项目DA003</w:t>
            </w:r>
            <w:r>
              <w:rPr>
                <w:rFonts w:hint="default" w:ascii="Times New Roman" w:hAnsi="Times New Roman" w:cs="Times New Roman"/>
                <w:b/>
                <w:bCs w:val="0"/>
                <w:color w:val="auto"/>
                <w:sz w:val="21"/>
                <w:szCs w:val="21"/>
                <w:highlight w:val="none"/>
                <w:vertAlign w:val="baseline"/>
                <w:lang w:val="en-US" w:eastAsia="zh-CN"/>
              </w:rPr>
              <w:t>污染物产生及排放情况一览表</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31"/>
              <w:gridCol w:w="472"/>
              <w:gridCol w:w="618"/>
              <w:gridCol w:w="715"/>
              <w:gridCol w:w="791"/>
              <w:gridCol w:w="652"/>
              <w:gridCol w:w="454"/>
              <w:gridCol w:w="516"/>
              <w:gridCol w:w="377"/>
              <w:gridCol w:w="519"/>
              <w:gridCol w:w="561"/>
              <w:gridCol w:w="600"/>
              <w:gridCol w:w="613"/>
              <w:gridCol w:w="444"/>
              <w:gridCol w:w="609"/>
            </w:tblGrid>
            <w:tr w14:paraId="7D773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257" w:type="pct"/>
                  <w:vMerge w:val="restart"/>
                  <w:noWrap w:val="0"/>
                  <w:vAlign w:val="center"/>
                </w:tcPr>
                <w:p w14:paraId="176D8C7B">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产污环节</w:t>
                  </w:r>
                </w:p>
              </w:tc>
              <w:tc>
                <w:tcPr>
                  <w:tcW w:w="282" w:type="pct"/>
                  <w:vMerge w:val="restart"/>
                  <w:noWrap w:val="0"/>
                  <w:vAlign w:val="center"/>
                </w:tcPr>
                <w:p w14:paraId="1213ACFC">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p w14:paraId="7D27E50E">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种类</w:t>
                  </w:r>
                </w:p>
              </w:tc>
              <w:tc>
                <w:tcPr>
                  <w:tcW w:w="1268" w:type="pct"/>
                  <w:gridSpan w:val="3"/>
                  <w:noWrap w:val="0"/>
                  <w:vAlign w:val="center"/>
                </w:tcPr>
                <w:p w14:paraId="206B5361">
                  <w:pPr>
                    <w:spacing w:line="240" w:lineRule="auto"/>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有组织</w:t>
                  </w:r>
                  <w:r>
                    <w:rPr>
                      <w:rFonts w:hint="default" w:ascii="Times New Roman" w:hAnsi="Times New Roman" w:eastAsia="宋体" w:cs="Times New Roman"/>
                      <w:color w:val="auto"/>
                      <w:sz w:val="18"/>
                      <w:szCs w:val="18"/>
                      <w:highlight w:val="none"/>
                    </w:rPr>
                    <w:t>污染物产生</w:t>
                  </w:r>
                </w:p>
              </w:tc>
              <w:tc>
                <w:tcPr>
                  <w:tcW w:w="1503" w:type="pct"/>
                  <w:gridSpan w:val="5"/>
                  <w:noWrap w:val="0"/>
                  <w:vAlign w:val="center"/>
                </w:tcPr>
                <w:p w14:paraId="64E5CF6E">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治理设施</w:t>
                  </w:r>
                </w:p>
              </w:tc>
              <w:tc>
                <w:tcPr>
                  <w:tcW w:w="1687" w:type="pct"/>
                  <w:gridSpan w:val="5"/>
                  <w:noWrap w:val="0"/>
                  <w:vAlign w:val="center"/>
                </w:tcPr>
                <w:p w14:paraId="1CF68584">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有组织</w:t>
                  </w:r>
                  <w:r>
                    <w:rPr>
                      <w:rFonts w:hint="default" w:ascii="Times New Roman" w:hAnsi="Times New Roman" w:eastAsia="宋体" w:cs="Times New Roman"/>
                      <w:color w:val="auto"/>
                      <w:sz w:val="18"/>
                      <w:szCs w:val="18"/>
                      <w:highlight w:val="none"/>
                    </w:rPr>
                    <w:t>污染物排放</w:t>
                  </w:r>
                </w:p>
              </w:tc>
            </w:tr>
            <w:tr w14:paraId="6C69D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8" w:hRule="atLeast"/>
                <w:jc w:val="center"/>
              </w:trPr>
              <w:tc>
                <w:tcPr>
                  <w:tcW w:w="257" w:type="pct"/>
                  <w:vMerge w:val="continue"/>
                  <w:noWrap w:val="0"/>
                  <w:vAlign w:val="center"/>
                </w:tcPr>
                <w:p w14:paraId="7762238E">
                  <w:pPr>
                    <w:spacing w:line="240" w:lineRule="auto"/>
                    <w:jc w:val="center"/>
                    <w:rPr>
                      <w:rFonts w:hint="default" w:ascii="Times New Roman" w:hAnsi="Times New Roman" w:eastAsia="宋体" w:cs="Times New Roman"/>
                      <w:color w:val="auto"/>
                      <w:sz w:val="18"/>
                      <w:szCs w:val="18"/>
                      <w:highlight w:val="none"/>
                    </w:rPr>
                  </w:pPr>
                </w:p>
              </w:tc>
              <w:tc>
                <w:tcPr>
                  <w:tcW w:w="282" w:type="pct"/>
                  <w:vMerge w:val="continue"/>
                  <w:noWrap w:val="0"/>
                  <w:vAlign w:val="center"/>
                </w:tcPr>
                <w:p w14:paraId="052C5C4F">
                  <w:pPr>
                    <w:spacing w:line="240" w:lineRule="auto"/>
                    <w:jc w:val="center"/>
                    <w:rPr>
                      <w:rFonts w:hint="default" w:ascii="Times New Roman" w:hAnsi="Times New Roman" w:eastAsia="宋体" w:cs="Times New Roman"/>
                      <w:color w:val="auto"/>
                      <w:sz w:val="18"/>
                      <w:szCs w:val="18"/>
                      <w:highlight w:val="none"/>
                    </w:rPr>
                  </w:pPr>
                </w:p>
              </w:tc>
              <w:tc>
                <w:tcPr>
                  <w:tcW w:w="369" w:type="pct"/>
                  <w:noWrap w:val="0"/>
                  <w:vAlign w:val="center"/>
                </w:tcPr>
                <w:p w14:paraId="4E0FE42E">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eastAsia="zh-CN"/>
                    </w:rPr>
                    <w:t>产生</w:t>
                  </w:r>
                  <w:r>
                    <w:rPr>
                      <w:rFonts w:hint="default" w:ascii="Times New Roman" w:hAnsi="Times New Roman" w:eastAsia="宋体" w:cs="Times New Roman"/>
                      <w:color w:val="auto"/>
                      <w:sz w:val="18"/>
                      <w:szCs w:val="18"/>
                      <w:highlight w:val="none"/>
                    </w:rPr>
                    <w:t>量t/a</w:t>
                  </w:r>
                </w:p>
              </w:tc>
              <w:tc>
                <w:tcPr>
                  <w:tcW w:w="427" w:type="pct"/>
                  <w:noWrap w:val="0"/>
                  <w:vAlign w:val="center"/>
                </w:tcPr>
                <w:p w14:paraId="1A583D74">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产生浓度mg/m</w:t>
                  </w:r>
                  <w:r>
                    <w:rPr>
                      <w:rFonts w:hint="default" w:ascii="Times New Roman" w:hAnsi="Times New Roman" w:eastAsia="宋体" w:cs="Times New Roman"/>
                      <w:color w:val="auto"/>
                      <w:sz w:val="18"/>
                      <w:szCs w:val="18"/>
                      <w:highlight w:val="none"/>
                      <w:vertAlign w:val="superscript"/>
                    </w:rPr>
                    <w:t>3</w:t>
                  </w:r>
                </w:p>
              </w:tc>
              <w:tc>
                <w:tcPr>
                  <w:tcW w:w="472" w:type="pct"/>
                  <w:noWrap w:val="0"/>
                  <w:vAlign w:val="center"/>
                </w:tcPr>
                <w:p w14:paraId="3B6620C9">
                  <w:pPr>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产生速率</w:t>
                  </w:r>
                  <w:r>
                    <w:rPr>
                      <w:rFonts w:hint="default" w:ascii="Times New Roman" w:hAnsi="Times New Roman" w:eastAsia="宋体" w:cs="Times New Roman"/>
                      <w:color w:val="auto"/>
                      <w:sz w:val="18"/>
                      <w:szCs w:val="18"/>
                      <w:highlight w:val="none"/>
                      <w:lang w:val="en-US" w:eastAsia="zh-CN"/>
                    </w:rPr>
                    <w:t>kg/h</w:t>
                  </w:r>
                </w:p>
              </w:tc>
              <w:tc>
                <w:tcPr>
                  <w:tcW w:w="389" w:type="pct"/>
                  <w:noWrap w:val="0"/>
                  <w:vAlign w:val="center"/>
                </w:tcPr>
                <w:p w14:paraId="0069B5C5">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处理能力m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w:t>
                  </w:r>
                  <w:r>
                    <w:rPr>
                      <w:rFonts w:hint="default" w:ascii="Times New Roman" w:hAnsi="Times New Roman" w:eastAsia="宋体" w:cs="Times New Roman"/>
                      <w:color w:val="auto"/>
                      <w:sz w:val="18"/>
                      <w:szCs w:val="18"/>
                      <w:highlight w:val="none"/>
                      <w:lang w:val="en-US" w:eastAsia="zh-CN"/>
                    </w:rPr>
                    <w:t>h</w:t>
                  </w:r>
                </w:p>
              </w:tc>
              <w:tc>
                <w:tcPr>
                  <w:tcW w:w="271" w:type="pct"/>
                  <w:noWrap w:val="0"/>
                  <w:vAlign w:val="center"/>
                </w:tcPr>
                <w:p w14:paraId="24D603F4">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收集率%</w:t>
                  </w:r>
                </w:p>
              </w:tc>
              <w:tc>
                <w:tcPr>
                  <w:tcW w:w="308" w:type="pct"/>
                  <w:noWrap w:val="0"/>
                  <w:vAlign w:val="center"/>
                </w:tcPr>
                <w:p w14:paraId="48F7B920">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治理工艺</w:t>
                  </w:r>
                </w:p>
              </w:tc>
              <w:tc>
                <w:tcPr>
                  <w:tcW w:w="225" w:type="pct"/>
                  <w:noWrap w:val="0"/>
                  <w:vAlign w:val="center"/>
                </w:tcPr>
                <w:p w14:paraId="419292AD">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去除率%</w:t>
                  </w:r>
                </w:p>
              </w:tc>
              <w:tc>
                <w:tcPr>
                  <w:tcW w:w="309" w:type="pct"/>
                  <w:noWrap w:val="0"/>
                  <w:vAlign w:val="center"/>
                </w:tcPr>
                <w:p w14:paraId="5DE5D7D5">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是否为可行技术</w:t>
                  </w:r>
                </w:p>
              </w:tc>
              <w:tc>
                <w:tcPr>
                  <w:tcW w:w="335" w:type="pct"/>
                  <w:noWrap w:val="0"/>
                  <w:vAlign w:val="center"/>
                </w:tcPr>
                <w:p w14:paraId="033A9473">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排放量t/a</w:t>
                  </w:r>
                </w:p>
              </w:tc>
              <w:tc>
                <w:tcPr>
                  <w:tcW w:w="358" w:type="pct"/>
                  <w:noWrap w:val="0"/>
                  <w:vAlign w:val="center"/>
                </w:tcPr>
                <w:p w14:paraId="40EBB2F3">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排放浓度mg/m</w:t>
                  </w:r>
                  <w:r>
                    <w:rPr>
                      <w:rFonts w:hint="default" w:ascii="Times New Roman" w:hAnsi="Times New Roman" w:eastAsia="宋体" w:cs="Times New Roman"/>
                      <w:color w:val="auto"/>
                      <w:sz w:val="18"/>
                      <w:szCs w:val="18"/>
                      <w:highlight w:val="none"/>
                      <w:vertAlign w:val="superscript"/>
                    </w:rPr>
                    <w:t>3</w:t>
                  </w:r>
                </w:p>
              </w:tc>
              <w:tc>
                <w:tcPr>
                  <w:tcW w:w="366" w:type="pct"/>
                  <w:noWrap w:val="0"/>
                  <w:vAlign w:val="center"/>
                </w:tcPr>
                <w:p w14:paraId="3BB45FE7">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排放速率kg/h</w:t>
                  </w:r>
                </w:p>
              </w:tc>
              <w:tc>
                <w:tcPr>
                  <w:tcW w:w="265" w:type="pct"/>
                  <w:noWrap w:val="0"/>
                  <w:vAlign w:val="center"/>
                </w:tcPr>
                <w:p w14:paraId="518B67D1">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持续时间</w:t>
                  </w:r>
                </w:p>
                <w:p w14:paraId="2B314096">
                  <w:pPr>
                    <w:pStyle w:val="80"/>
                    <w:spacing w:line="240" w:lineRule="auto"/>
                    <w:ind w:left="0" w:leftChars="0" w:firstLine="0" w:firstLine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h/a</w:t>
                  </w:r>
                </w:p>
              </w:tc>
              <w:tc>
                <w:tcPr>
                  <w:tcW w:w="362" w:type="pct"/>
                  <w:noWrap w:val="0"/>
                  <w:vAlign w:val="center"/>
                </w:tcPr>
                <w:p w14:paraId="2A043E90">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排放形式</w:t>
                  </w:r>
                </w:p>
              </w:tc>
            </w:tr>
            <w:tr w14:paraId="6519D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257" w:type="pct"/>
                  <w:noWrap w:val="0"/>
                  <w:vAlign w:val="center"/>
                </w:tcPr>
                <w:p w14:paraId="67F4650A">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原料破碎、筛分</w:t>
                  </w:r>
                </w:p>
              </w:tc>
              <w:tc>
                <w:tcPr>
                  <w:tcW w:w="282" w:type="pct"/>
                  <w:noWrap w:val="0"/>
                  <w:vAlign w:val="center"/>
                </w:tcPr>
                <w:p w14:paraId="1BA8D20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369" w:type="pct"/>
                  <w:noWrap w:val="0"/>
                  <w:vAlign w:val="center"/>
                </w:tcPr>
                <w:p w14:paraId="627E972C">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3.8</w:t>
                  </w:r>
                </w:p>
              </w:tc>
              <w:tc>
                <w:tcPr>
                  <w:tcW w:w="427" w:type="pct"/>
                  <w:noWrap w:val="0"/>
                  <w:vAlign w:val="center"/>
                </w:tcPr>
                <w:p w14:paraId="0FC5DF3E">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26.4</w:t>
                  </w:r>
                </w:p>
              </w:tc>
              <w:tc>
                <w:tcPr>
                  <w:tcW w:w="472" w:type="pct"/>
                  <w:noWrap w:val="0"/>
                  <w:vAlign w:val="center"/>
                </w:tcPr>
                <w:p w14:paraId="195FBBA0">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0.53</w:t>
                  </w:r>
                </w:p>
              </w:tc>
              <w:tc>
                <w:tcPr>
                  <w:tcW w:w="389" w:type="pct"/>
                  <w:vMerge w:val="restart"/>
                  <w:noWrap w:val="0"/>
                  <w:vAlign w:val="center"/>
                </w:tcPr>
                <w:p w14:paraId="618B748B">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20000</w:t>
                  </w:r>
                </w:p>
              </w:tc>
              <w:tc>
                <w:tcPr>
                  <w:tcW w:w="271" w:type="pct"/>
                  <w:noWrap w:val="0"/>
                  <w:vAlign w:val="center"/>
                </w:tcPr>
                <w:p w14:paraId="23BA4037">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95</w:t>
                  </w:r>
                </w:p>
              </w:tc>
              <w:tc>
                <w:tcPr>
                  <w:tcW w:w="308" w:type="pct"/>
                  <w:vMerge w:val="restart"/>
                  <w:noWrap w:val="0"/>
                  <w:vAlign w:val="center"/>
                </w:tcPr>
                <w:p w14:paraId="156DED3D">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布袋除尘器</w:t>
                  </w:r>
                </w:p>
              </w:tc>
              <w:tc>
                <w:tcPr>
                  <w:tcW w:w="225" w:type="pct"/>
                  <w:vMerge w:val="restart"/>
                  <w:noWrap w:val="0"/>
                  <w:vAlign w:val="center"/>
                </w:tcPr>
                <w:p w14:paraId="63787433">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99</w:t>
                  </w:r>
                </w:p>
              </w:tc>
              <w:tc>
                <w:tcPr>
                  <w:tcW w:w="309" w:type="pct"/>
                  <w:vMerge w:val="restart"/>
                  <w:noWrap w:val="0"/>
                  <w:vAlign w:val="center"/>
                </w:tcPr>
                <w:p w14:paraId="69F14E85">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是</w:t>
                  </w:r>
                </w:p>
              </w:tc>
              <w:tc>
                <w:tcPr>
                  <w:tcW w:w="335" w:type="pct"/>
                  <w:vMerge w:val="restart"/>
                  <w:noWrap w:val="0"/>
                  <w:vAlign w:val="center"/>
                </w:tcPr>
                <w:p w14:paraId="10E80700">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0.219</w:t>
                  </w:r>
                </w:p>
              </w:tc>
              <w:tc>
                <w:tcPr>
                  <w:tcW w:w="358" w:type="pct"/>
                  <w:vMerge w:val="restart"/>
                  <w:noWrap w:val="0"/>
                  <w:vAlign w:val="center"/>
                </w:tcPr>
                <w:p w14:paraId="7134F087">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366" w:type="pct"/>
                  <w:vMerge w:val="restart"/>
                  <w:noWrap w:val="0"/>
                  <w:vAlign w:val="center"/>
                </w:tcPr>
                <w:p w14:paraId="025494F2">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0.03</w:t>
                  </w:r>
                </w:p>
              </w:tc>
              <w:tc>
                <w:tcPr>
                  <w:tcW w:w="265" w:type="pct"/>
                  <w:vMerge w:val="restart"/>
                  <w:noWrap w:val="0"/>
                  <w:vAlign w:val="center"/>
                </w:tcPr>
                <w:p w14:paraId="1569F972">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7200</w:t>
                  </w:r>
                </w:p>
              </w:tc>
              <w:tc>
                <w:tcPr>
                  <w:tcW w:w="362" w:type="pct"/>
                  <w:vMerge w:val="restart"/>
                  <w:noWrap w:val="0"/>
                  <w:vAlign w:val="center"/>
                </w:tcPr>
                <w:p w14:paraId="7539EC74">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DA003</w:t>
                  </w:r>
                </w:p>
              </w:tc>
            </w:tr>
            <w:tr w14:paraId="5130D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257" w:type="pct"/>
                  <w:noWrap w:val="0"/>
                  <w:vAlign w:val="center"/>
                </w:tcPr>
                <w:p w14:paraId="0971BAFB">
                  <w:pPr>
                    <w:spacing w:line="240" w:lineRule="auto"/>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配料</w:t>
                  </w:r>
                </w:p>
              </w:tc>
              <w:tc>
                <w:tcPr>
                  <w:tcW w:w="282" w:type="pct"/>
                  <w:noWrap w:val="0"/>
                  <w:vAlign w:val="center"/>
                </w:tcPr>
                <w:p w14:paraId="0B7647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369" w:type="pct"/>
                  <w:noWrap w:val="0"/>
                  <w:vAlign w:val="center"/>
                </w:tcPr>
                <w:p w14:paraId="2FB5F360">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2.841</w:t>
                  </w:r>
                </w:p>
              </w:tc>
              <w:tc>
                <w:tcPr>
                  <w:tcW w:w="427" w:type="pct"/>
                  <w:noWrap w:val="0"/>
                  <w:vAlign w:val="center"/>
                </w:tcPr>
                <w:p w14:paraId="62C0C18A">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19.7</w:t>
                  </w:r>
                </w:p>
              </w:tc>
              <w:tc>
                <w:tcPr>
                  <w:tcW w:w="472" w:type="pct"/>
                  <w:noWrap w:val="0"/>
                  <w:vAlign w:val="center"/>
                </w:tcPr>
                <w:p w14:paraId="6727C46E">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0.39</w:t>
                  </w:r>
                </w:p>
              </w:tc>
              <w:tc>
                <w:tcPr>
                  <w:tcW w:w="389" w:type="pct"/>
                  <w:vMerge w:val="continue"/>
                  <w:noWrap w:val="0"/>
                  <w:vAlign w:val="center"/>
                </w:tcPr>
                <w:p w14:paraId="58BA8C2D">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71" w:type="pct"/>
                  <w:noWrap w:val="0"/>
                  <w:vAlign w:val="center"/>
                </w:tcPr>
                <w:p w14:paraId="5A9A3EE7">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95</w:t>
                  </w:r>
                </w:p>
              </w:tc>
              <w:tc>
                <w:tcPr>
                  <w:tcW w:w="308" w:type="pct"/>
                  <w:vMerge w:val="continue"/>
                  <w:noWrap w:val="0"/>
                  <w:vAlign w:val="center"/>
                </w:tcPr>
                <w:p w14:paraId="305AD9BD">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25" w:type="pct"/>
                  <w:vMerge w:val="continue"/>
                  <w:noWrap w:val="0"/>
                  <w:vAlign w:val="center"/>
                </w:tcPr>
                <w:p w14:paraId="69B04B86">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09" w:type="pct"/>
                  <w:vMerge w:val="continue"/>
                  <w:noWrap w:val="0"/>
                  <w:vAlign w:val="center"/>
                </w:tcPr>
                <w:p w14:paraId="661CC62D">
                  <w:pPr>
                    <w:spacing w:line="240" w:lineRule="auto"/>
                    <w:jc w:val="center"/>
                    <w:rPr>
                      <w:rFonts w:hint="default" w:ascii="Times New Roman" w:hAnsi="Times New Roman" w:eastAsia="宋体" w:cs="Times New Roman"/>
                      <w:color w:val="auto"/>
                      <w:sz w:val="18"/>
                      <w:szCs w:val="18"/>
                      <w:highlight w:val="none"/>
                      <w:lang w:eastAsia="zh-CN"/>
                    </w:rPr>
                  </w:pPr>
                </w:p>
              </w:tc>
              <w:tc>
                <w:tcPr>
                  <w:tcW w:w="335" w:type="pct"/>
                  <w:vMerge w:val="continue"/>
                  <w:noWrap w:val="0"/>
                  <w:vAlign w:val="center"/>
                </w:tcPr>
                <w:p w14:paraId="4C0ED04A">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358" w:type="pct"/>
                  <w:vMerge w:val="continue"/>
                  <w:noWrap w:val="0"/>
                  <w:vAlign w:val="center"/>
                </w:tcPr>
                <w:p w14:paraId="05F49381">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366" w:type="pct"/>
                  <w:vMerge w:val="continue"/>
                  <w:noWrap w:val="0"/>
                  <w:vAlign w:val="center"/>
                </w:tcPr>
                <w:p w14:paraId="5D44DCCE">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265" w:type="pct"/>
                  <w:vMerge w:val="continue"/>
                  <w:noWrap w:val="0"/>
                  <w:vAlign w:val="center"/>
                </w:tcPr>
                <w:p w14:paraId="39D2E40B">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62" w:type="pct"/>
                  <w:vMerge w:val="continue"/>
                  <w:noWrap w:val="0"/>
                  <w:vAlign w:val="center"/>
                </w:tcPr>
                <w:p w14:paraId="1F7EAC5A">
                  <w:pPr>
                    <w:spacing w:line="240" w:lineRule="auto"/>
                    <w:jc w:val="center"/>
                    <w:rPr>
                      <w:rFonts w:hint="default" w:ascii="Times New Roman" w:hAnsi="Times New Roman" w:eastAsia="宋体" w:cs="Times New Roman"/>
                      <w:color w:val="auto"/>
                      <w:sz w:val="18"/>
                      <w:szCs w:val="18"/>
                      <w:highlight w:val="none"/>
                      <w:lang w:val="en-US" w:eastAsia="zh-CN"/>
                    </w:rPr>
                  </w:pPr>
                </w:p>
              </w:tc>
            </w:tr>
            <w:tr w14:paraId="66703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1" w:hRule="atLeast"/>
                <w:jc w:val="center"/>
              </w:trPr>
              <w:tc>
                <w:tcPr>
                  <w:tcW w:w="257" w:type="pct"/>
                  <w:noWrap w:val="0"/>
                  <w:vAlign w:val="center"/>
                </w:tcPr>
                <w:p w14:paraId="3A76A0E0">
                  <w:pPr>
                    <w:spacing w:line="240" w:lineRule="auto"/>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部分筛分</w:t>
                  </w:r>
                </w:p>
              </w:tc>
              <w:tc>
                <w:tcPr>
                  <w:tcW w:w="282" w:type="pct"/>
                  <w:noWrap w:val="0"/>
                  <w:vAlign w:val="center"/>
                </w:tcPr>
                <w:p w14:paraId="7A9782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369" w:type="pct"/>
                  <w:noWrap w:val="0"/>
                  <w:vAlign w:val="center"/>
                </w:tcPr>
                <w:p w14:paraId="30D7AB88">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1.421</w:t>
                  </w:r>
                </w:p>
              </w:tc>
              <w:tc>
                <w:tcPr>
                  <w:tcW w:w="427" w:type="pct"/>
                  <w:noWrap w:val="0"/>
                  <w:vAlign w:val="center"/>
                </w:tcPr>
                <w:p w14:paraId="12552C81">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9.9</w:t>
                  </w:r>
                </w:p>
              </w:tc>
              <w:tc>
                <w:tcPr>
                  <w:tcW w:w="472" w:type="pct"/>
                  <w:noWrap w:val="0"/>
                  <w:vAlign w:val="center"/>
                </w:tcPr>
                <w:p w14:paraId="28ADAB89">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0.2</w:t>
                  </w:r>
                </w:p>
              </w:tc>
              <w:tc>
                <w:tcPr>
                  <w:tcW w:w="389" w:type="pct"/>
                  <w:vMerge w:val="continue"/>
                  <w:noWrap w:val="0"/>
                  <w:vAlign w:val="center"/>
                </w:tcPr>
                <w:p w14:paraId="78AAE0F4">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71" w:type="pct"/>
                  <w:noWrap w:val="0"/>
                  <w:vAlign w:val="center"/>
                </w:tcPr>
                <w:p w14:paraId="03CE6BFE">
                  <w:pPr>
                    <w:spacing w:line="240" w:lineRule="auto"/>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95</w:t>
                  </w:r>
                </w:p>
              </w:tc>
              <w:tc>
                <w:tcPr>
                  <w:tcW w:w="308" w:type="pct"/>
                  <w:vMerge w:val="continue"/>
                  <w:noWrap w:val="0"/>
                  <w:vAlign w:val="center"/>
                </w:tcPr>
                <w:p w14:paraId="7DCEA0F1">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25" w:type="pct"/>
                  <w:vMerge w:val="continue"/>
                  <w:noWrap w:val="0"/>
                  <w:vAlign w:val="center"/>
                </w:tcPr>
                <w:p w14:paraId="5C6E4BB2">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09" w:type="pct"/>
                  <w:vMerge w:val="continue"/>
                  <w:noWrap w:val="0"/>
                  <w:vAlign w:val="center"/>
                </w:tcPr>
                <w:p w14:paraId="09DB9215">
                  <w:pPr>
                    <w:spacing w:line="240" w:lineRule="auto"/>
                    <w:jc w:val="center"/>
                    <w:rPr>
                      <w:rFonts w:hint="default" w:ascii="Times New Roman" w:hAnsi="Times New Roman" w:eastAsia="宋体" w:cs="Times New Roman"/>
                      <w:color w:val="auto"/>
                      <w:sz w:val="18"/>
                      <w:szCs w:val="18"/>
                      <w:highlight w:val="none"/>
                      <w:lang w:eastAsia="zh-CN"/>
                    </w:rPr>
                  </w:pPr>
                </w:p>
              </w:tc>
              <w:tc>
                <w:tcPr>
                  <w:tcW w:w="335" w:type="pct"/>
                  <w:vMerge w:val="continue"/>
                  <w:noWrap w:val="0"/>
                  <w:vAlign w:val="center"/>
                </w:tcPr>
                <w:p w14:paraId="22E9DF95">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358" w:type="pct"/>
                  <w:vMerge w:val="continue"/>
                  <w:noWrap w:val="0"/>
                  <w:vAlign w:val="center"/>
                </w:tcPr>
                <w:p w14:paraId="187B52B4">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366" w:type="pct"/>
                  <w:vMerge w:val="continue"/>
                  <w:noWrap w:val="0"/>
                  <w:vAlign w:val="center"/>
                </w:tcPr>
                <w:p w14:paraId="1707C03A">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265" w:type="pct"/>
                  <w:vMerge w:val="continue"/>
                  <w:noWrap w:val="0"/>
                  <w:vAlign w:val="center"/>
                </w:tcPr>
                <w:p w14:paraId="59ACC317">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62" w:type="pct"/>
                  <w:vMerge w:val="continue"/>
                  <w:noWrap w:val="0"/>
                  <w:vAlign w:val="center"/>
                </w:tcPr>
                <w:p w14:paraId="320F1523">
                  <w:pPr>
                    <w:spacing w:line="240" w:lineRule="auto"/>
                    <w:jc w:val="center"/>
                    <w:rPr>
                      <w:rFonts w:hint="default" w:ascii="Times New Roman" w:hAnsi="Times New Roman" w:eastAsia="宋体" w:cs="Times New Roman"/>
                      <w:color w:val="auto"/>
                      <w:sz w:val="18"/>
                      <w:szCs w:val="18"/>
                      <w:highlight w:val="none"/>
                      <w:lang w:val="en-US" w:eastAsia="zh-CN"/>
                    </w:rPr>
                  </w:pPr>
                </w:p>
              </w:tc>
            </w:tr>
            <w:tr w14:paraId="1BB84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257" w:type="pct"/>
                  <w:noWrap w:val="0"/>
                  <w:vAlign w:val="center"/>
                </w:tcPr>
                <w:p w14:paraId="6E60C863">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混合</w:t>
                  </w:r>
                </w:p>
              </w:tc>
              <w:tc>
                <w:tcPr>
                  <w:tcW w:w="282" w:type="pct"/>
                  <w:noWrap w:val="0"/>
                  <w:vAlign w:val="center"/>
                </w:tcPr>
                <w:p w14:paraId="5A476C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369" w:type="pct"/>
                  <w:noWrap w:val="0"/>
                  <w:vAlign w:val="center"/>
                </w:tcPr>
                <w:p w14:paraId="3DED8C70">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5.97</w:t>
                  </w:r>
                </w:p>
              </w:tc>
              <w:tc>
                <w:tcPr>
                  <w:tcW w:w="427" w:type="pct"/>
                  <w:noWrap w:val="0"/>
                  <w:vAlign w:val="center"/>
                </w:tcPr>
                <w:p w14:paraId="58CF3DD3">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41.5</w:t>
                  </w:r>
                </w:p>
              </w:tc>
              <w:tc>
                <w:tcPr>
                  <w:tcW w:w="472" w:type="pct"/>
                  <w:noWrap w:val="0"/>
                  <w:vAlign w:val="center"/>
                </w:tcPr>
                <w:p w14:paraId="6A9336F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0.83</w:t>
                  </w:r>
                </w:p>
              </w:tc>
              <w:tc>
                <w:tcPr>
                  <w:tcW w:w="389" w:type="pct"/>
                  <w:vMerge w:val="continue"/>
                  <w:noWrap w:val="0"/>
                  <w:vAlign w:val="center"/>
                </w:tcPr>
                <w:p w14:paraId="03181A35">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71" w:type="pct"/>
                  <w:noWrap w:val="0"/>
                  <w:vAlign w:val="center"/>
                </w:tcPr>
                <w:p w14:paraId="3295C345">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95</w:t>
                  </w:r>
                </w:p>
              </w:tc>
              <w:tc>
                <w:tcPr>
                  <w:tcW w:w="308" w:type="pct"/>
                  <w:vMerge w:val="continue"/>
                  <w:noWrap w:val="0"/>
                  <w:vAlign w:val="center"/>
                </w:tcPr>
                <w:p w14:paraId="38D777EA">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25" w:type="pct"/>
                  <w:vMerge w:val="continue"/>
                  <w:noWrap w:val="0"/>
                  <w:vAlign w:val="center"/>
                </w:tcPr>
                <w:p w14:paraId="0F1C93C3">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09" w:type="pct"/>
                  <w:vMerge w:val="continue"/>
                  <w:noWrap w:val="0"/>
                  <w:vAlign w:val="center"/>
                </w:tcPr>
                <w:p w14:paraId="0E596194">
                  <w:pPr>
                    <w:spacing w:line="240" w:lineRule="auto"/>
                    <w:jc w:val="center"/>
                    <w:rPr>
                      <w:rFonts w:hint="default" w:ascii="Times New Roman" w:hAnsi="Times New Roman" w:eastAsia="宋体" w:cs="Times New Roman"/>
                      <w:color w:val="auto"/>
                      <w:sz w:val="18"/>
                      <w:szCs w:val="18"/>
                      <w:highlight w:val="none"/>
                      <w:lang w:eastAsia="zh-CN"/>
                    </w:rPr>
                  </w:pPr>
                </w:p>
              </w:tc>
              <w:tc>
                <w:tcPr>
                  <w:tcW w:w="335" w:type="pct"/>
                  <w:vMerge w:val="continue"/>
                  <w:noWrap w:val="0"/>
                  <w:vAlign w:val="center"/>
                </w:tcPr>
                <w:p w14:paraId="1297B5CD">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358" w:type="pct"/>
                  <w:vMerge w:val="continue"/>
                  <w:noWrap w:val="0"/>
                  <w:vAlign w:val="center"/>
                </w:tcPr>
                <w:p w14:paraId="522F4653">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366" w:type="pct"/>
                  <w:vMerge w:val="continue"/>
                  <w:noWrap w:val="0"/>
                  <w:vAlign w:val="center"/>
                </w:tcPr>
                <w:p w14:paraId="336C686F">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265" w:type="pct"/>
                  <w:vMerge w:val="continue"/>
                  <w:noWrap w:val="0"/>
                  <w:vAlign w:val="center"/>
                </w:tcPr>
                <w:p w14:paraId="12D05C59">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62" w:type="pct"/>
                  <w:vMerge w:val="continue"/>
                  <w:noWrap w:val="0"/>
                  <w:vAlign w:val="center"/>
                </w:tcPr>
                <w:p w14:paraId="21257709">
                  <w:pPr>
                    <w:spacing w:line="240" w:lineRule="auto"/>
                    <w:jc w:val="center"/>
                    <w:rPr>
                      <w:rFonts w:hint="default" w:ascii="Times New Roman" w:hAnsi="Times New Roman" w:eastAsia="宋体" w:cs="Times New Roman"/>
                      <w:color w:val="auto"/>
                      <w:sz w:val="18"/>
                      <w:szCs w:val="18"/>
                      <w:highlight w:val="none"/>
                      <w:lang w:val="en-US" w:eastAsia="zh-CN"/>
                    </w:rPr>
                  </w:pPr>
                </w:p>
              </w:tc>
            </w:tr>
            <w:tr w14:paraId="2796B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257" w:type="pct"/>
                  <w:noWrap w:val="0"/>
                  <w:vAlign w:val="center"/>
                </w:tcPr>
                <w:p w14:paraId="5106FFB3">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粗筛、整形</w:t>
                  </w:r>
                </w:p>
              </w:tc>
              <w:tc>
                <w:tcPr>
                  <w:tcW w:w="282" w:type="pct"/>
                  <w:noWrap w:val="0"/>
                  <w:vAlign w:val="center"/>
                </w:tcPr>
                <w:p w14:paraId="6E61BD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cs="Times New Roman"/>
                      <w:bCs/>
                      <w:color w:val="auto"/>
                      <w:kern w:val="2"/>
                      <w:sz w:val="18"/>
                      <w:szCs w:val="18"/>
                      <w:highlight w:val="none"/>
                      <w:vertAlign w:val="baseline"/>
                      <w:lang w:val="en-US" w:eastAsia="zh-CN" w:bidi="ar-SA"/>
                    </w:rPr>
                    <w:t>颗粒物</w:t>
                  </w:r>
                </w:p>
              </w:tc>
              <w:tc>
                <w:tcPr>
                  <w:tcW w:w="369" w:type="pct"/>
                  <w:noWrap w:val="0"/>
                  <w:vAlign w:val="center"/>
                </w:tcPr>
                <w:p w14:paraId="1C5B3108">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7.885</w:t>
                  </w:r>
                </w:p>
              </w:tc>
              <w:tc>
                <w:tcPr>
                  <w:tcW w:w="427" w:type="pct"/>
                  <w:noWrap w:val="0"/>
                  <w:vAlign w:val="center"/>
                </w:tcPr>
                <w:p w14:paraId="3DCC8517">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54.8</w:t>
                  </w:r>
                </w:p>
              </w:tc>
              <w:tc>
                <w:tcPr>
                  <w:tcW w:w="472" w:type="pct"/>
                  <w:noWrap w:val="0"/>
                  <w:vAlign w:val="center"/>
                </w:tcPr>
                <w:p w14:paraId="681EC5A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1.1</w:t>
                  </w:r>
                </w:p>
              </w:tc>
              <w:tc>
                <w:tcPr>
                  <w:tcW w:w="389" w:type="pct"/>
                  <w:vMerge w:val="continue"/>
                  <w:noWrap w:val="0"/>
                  <w:vAlign w:val="center"/>
                </w:tcPr>
                <w:p w14:paraId="70252F80">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71" w:type="pct"/>
                  <w:noWrap w:val="0"/>
                  <w:vAlign w:val="center"/>
                </w:tcPr>
                <w:p w14:paraId="0939FA5E">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95</w:t>
                  </w:r>
                </w:p>
              </w:tc>
              <w:tc>
                <w:tcPr>
                  <w:tcW w:w="308" w:type="pct"/>
                  <w:vMerge w:val="continue"/>
                  <w:noWrap w:val="0"/>
                  <w:vAlign w:val="center"/>
                </w:tcPr>
                <w:p w14:paraId="1760A3C3">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225" w:type="pct"/>
                  <w:vMerge w:val="continue"/>
                  <w:noWrap w:val="0"/>
                  <w:vAlign w:val="center"/>
                </w:tcPr>
                <w:p w14:paraId="6CE8DF1C">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09" w:type="pct"/>
                  <w:vMerge w:val="continue"/>
                  <w:noWrap w:val="0"/>
                  <w:vAlign w:val="center"/>
                </w:tcPr>
                <w:p w14:paraId="56FBA6C6">
                  <w:pPr>
                    <w:spacing w:line="240" w:lineRule="auto"/>
                    <w:jc w:val="center"/>
                    <w:rPr>
                      <w:rFonts w:hint="default" w:ascii="Times New Roman" w:hAnsi="Times New Roman" w:eastAsia="宋体" w:cs="Times New Roman"/>
                      <w:color w:val="auto"/>
                      <w:sz w:val="18"/>
                      <w:szCs w:val="18"/>
                      <w:highlight w:val="none"/>
                      <w:lang w:eastAsia="zh-CN"/>
                    </w:rPr>
                  </w:pPr>
                </w:p>
              </w:tc>
              <w:tc>
                <w:tcPr>
                  <w:tcW w:w="335" w:type="pct"/>
                  <w:vMerge w:val="continue"/>
                  <w:noWrap w:val="0"/>
                  <w:vAlign w:val="center"/>
                </w:tcPr>
                <w:p w14:paraId="283E49AB">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358" w:type="pct"/>
                  <w:vMerge w:val="continue"/>
                  <w:noWrap w:val="0"/>
                  <w:vAlign w:val="center"/>
                </w:tcPr>
                <w:p w14:paraId="20A4F59F">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366" w:type="pct"/>
                  <w:vMerge w:val="continue"/>
                  <w:noWrap w:val="0"/>
                  <w:vAlign w:val="center"/>
                </w:tcPr>
                <w:p w14:paraId="5EBBD16C">
                  <w:pPr>
                    <w:keepNext w:val="0"/>
                    <w:keepLines w:val="0"/>
                    <w:widowControl/>
                    <w:suppressLineNumbers w:val="0"/>
                    <w:jc w:val="center"/>
                    <w:textAlignment w:val="center"/>
                    <w:rPr>
                      <w:rFonts w:hint="default" w:ascii="Times New Roman" w:hAnsi="Times New Roman" w:eastAsia="宋体" w:cs="Times New Roman"/>
                      <w:color w:val="auto"/>
                      <w:sz w:val="18"/>
                      <w:szCs w:val="18"/>
                      <w:highlight w:val="none"/>
                      <w:lang w:val="en-US" w:eastAsia="zh-CN"/>
                    </w:rPr>
                  </w:pPr>
                </w:p>
              </w:tc>
              <w:tc>
                <w:tcPr>
                  <w:tcW w:w="265" w:type="pct"/>
                  <w:vMerge w:val="continue"/>
                  <w:noWrap w:val="0"/>
                  <w:vAlign w:val="center"/>
                </w:tcPr>
                <w:p w14:paraId="3D2680C2">
                  <w:pPr>
                    <w:spacing w:line="240" w:lineRule="auto"/>
                    <w:jc w:val="center"/>
                    <w:rPr>
                      <w:rFonts w:hint="default" w:ascii="Times New Roman" w:hAnsi="Times New Roman" w:eastAsia="宋体" w:cs="Times New Roman"/>
                      <w:color w:val="auto"/>
                      <w:sz w:val="18"/>
                      <w:szCs w:val="18"/>
                      <w:highlight w:val="none"/>
                      <w:lang w:val="en-US" w:eastAsia="zh-CN"/>
                    </w:rPr>
                  </w:pPr>
                </w:p>
              </w:tc>
              <w:tc>
                <w:tcPr>
                  <w:tcW w:w="362" w:type="pct"/>
                  <w:vMerge w:val="continue"/>
                  <w:noWrap w:val="0"/>
                  <w:vAlign w:val="center"/>
                </w:tcPr>
                <w:p w14:paraId="5377859E">
                  <w:pPr>
                    <w:spacing w:line="240" w:lineRule="auto"/>
                    <w:jc w:val="center"/>
                    <w:rPr>
                      <w:rFonts w:hint="default" w:ascii="Times New Roman" w:hAnsi="Times New Roman" w:eastAsia="宋体" w:cs="Times New Roman"/>
                      <w:color w:val="auto"/>
                      <w:sz w:val="18"/>
                      <w:szCs w:val="18"/>
                      <w:highlight w:val="none"/>
                      <w:lang w:val="en-US" w:eastAsia="zh-CN"/>
                    </w:rPr>
                  </w:pPr>
                </w:p>
              </w:tc>
            </w:tr>
          </w:tbl>
          <w:p w14:paraId="0D59D06A">
            <w:pPr>
              <w:adjustRightInd w:val="0"/>
              <w:snapToGrid w:val="0"/>
              <w:spacing w:line="360" w:lineRule="auto"/>
              <w:ind w:firstLine="42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由上表可知，DA00</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en-US" w:eastAsia="zh-CN"/>
              </w:rPr>
              <w:t>排气筒</w:t>
            </w:r>
            <w:r>
              <w:rPr>
                <w:rFonts w:hint="default" w:ascii="Times New Roman" w:hAnsi="Times New Roman" w:cs="Times New Roman"/>
                <w:color w:val="auto"/>
                <w:highlight w:val="none"/>
              </w:rPr>
              <w:t>颗粒物有组织排放浓度</w:t>
            </w:r>
            <w:r>
              <w:rPr>
                <w:rFonts w:hint="default" w:ascii="Times New Roman" w:hAnsi="Times New Roman" w:cs="Times New Roman"/>
                <w:color w:val="auto"/>
                <w:szCs w:val="16"/>
                <w:highlight w:val="none"/>
              </w:rPr>
              <w:t>满足</w:t>
            </w:r>
            <w:r>
              <w:rPr>
                <w:rFonts w:hint="default" w:ascii="Times New Roman" w:hAnsi="Times New Roman" w:cs="Times New Roman"/>
                <w:color w:val="auto"/>
                <w:sz w:val="21"/>
                <w:szCs w:val="21"/>
                <w:highlight w:val="none"/>
              </w:rPr>
              <w:t>《区域性大气污染物综合排放标准》（DB37/2376-2019）表1中“重点控制区”标准限值（颗粒物10mg/m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lang w:eastAsia="zh-CN"/>
              </w:rPr>
              <w:t>）。</w:t>
            </w:r>
          </w:p>
          <w:p w14:paraId="51C53616">
            <w:pPr>
              <w:spacing w:line="360" w:lineRule="auto"/>
              <w:ind w:firstLine="420" w:firstLineChars="200"/>
              <w:rPr>
                <w:rFonts w:hint="default" w:ascii="Times New Roman" w:hAnsi="Times New Roman" w:cs="Times New Roman"/>
                <w:color w:val="auto"/>
                <w:highlight w:val="none"/>
                <w:lang w:val="en-US" w:eastAsia="zh-CN"/>
              </w:rPr>
            </w:pPr>
            <w:r>
              <w:rPr>
                <w:rFonts w:hint="eastAsia" w:ascii="宋体" w:hAnsi="宋体" w:eastAsia="宋体" w:cs="宋体"/>
                <w:color w:val="auto"/>
                <w:highlight w:val="none"/>
                <w:lang w:eastAsia="zh-CN"/>
              </w:rPr>
              <w:t>④</w:t>
            </w:r>
            <w:r>
              <w:rPr>
                <w:rFonts w:hint="eastAsia" w:cs="Times New Roman"/>
                <w:color w:val="auto"/>
                <w:highlight w:val="none"/>
                <w:lang w:val="en-US" w:eastAsia="zh-CN"/>
              </w:rPr>
              <w:t>食堂油烟</w:t>
            </w:r>
          </w:p>
          <w:p w14:paraId="60F6622B">
            <w:pPr>
              <w:spacing w:line="360" w:lineRule="auto"/>
              <w:ind w:firstLine="420" w:firstLineChars="200"/>
              <w:rPr>
                <w:rFonts w:hint="default" w:ascii="Times New Roman" w:hAnsi="Times New Roman" w:cs="Times New Roman"/>
                <w:color w:val="auto"/>
                <w:highlight w:val="none"/>
                <w:lang w:eastAsia="zh-CN"/>
              </w:rPr>
            </w:pPr>
            <w:r>
              <w:rPr>
                <w:rFonts w:hint="default" w:ascii="Times New Roman" w:hAnsi="Times New Roman" w:cs="Times New Roman"/>
                <w:b w:val="0"/>
                <w:bCs w:val="0"/>
                <w:color w:val="auto"/>
                <w:sz w:val="21"/>
                <w:szCs w:val="18"/>
                <w:highlight w:val="none"/>
                <w:lang w:val="en-US" w:eastAsia="zh-CN"/>
              </w:rPr>
              <w:t>堂油烟产生量约0.0</w:t>
            </w:r>
            <w:r>
              <w:rPr>
                <w:rFonts w:hint="eastAsia" w:cs="Times New Roman"/>
                <w:b w:val="0"/>
                <w:bCs w:val="0"/>
                <w:color w:val="auto"/>
                <w:sz w:val="21"/>
                <w:szCs w:val="18"/>
                <w:highlight w:val="none"/>
                <w:lang w:val="en-US" w:eastAsia="zh-CN"/>
              </w:rPr>
              <w:t>126</w:t>
            </w:r>
            <w:r>
              <w:rPr>
                <w:rFonts w:hint="default" w:ascii="Times New Roman" w:hAnsi="Times New Roman" w:cs="Times New Roman"/>
                <w:b w:val="0"/>
                <w:bCs w:val="0"/>
                <w:color w:val="auto"/>
                <w:sz w:val="21"/>
                <w:szCs w:val="18"/>
                <w:highlight w:val="none"/>
                <w:lang w:val="en-US" w:eastAsia="zh-CN"/>
              </w:rPr>
              <w:t>t/a。项目设1个基准灶头，油烟净化装置处理效率为</w:t>
            </w:r>
            <w:r>
              <w:rPr>
                <w:rFonts w:hint="eastAsia" w:cs="Times New Roman"/>
                <w:b w:val="0"/>
                <w:bCs w:val="0"/>
                <w:color w:val="auto"/>
                <w:sz w:val="21"/>
                <w:szCs w:val="18"/>
                <w:highlight w:val="none"/>
                <w:lang w:val="en-US" w:eastAsia="zh-CN"/>
              </w:rPr>
              <w:t>90</w:t>
            </w:r>
            <w:r>
              <w:rPr>
                <w:rFonts w:hint="default" w:ascii="Times New Roman" w:hAnsi="Times New Roman" w:cs="Times New Roman"/>
                <w:b w:val="0"/>
                <w:bCs w:val="0"/>
                <w:color w:val="auto"/>
                <w:sz w:val="21"/>
                <w:szCs w:val="18"/>
                <w:highlight w:val="none"/>
                <w:lang w:val="en-US" w:eastAsia="zh-CN"/>
              </w:rPr>
              <w:t>%，则项目食堂油烟排放量约0.00</w:t>
            </w:r>
            <w:r>
              <w:rPr>
                <w:rFonts w:hint="eastAsia" w:cs="Times New Roman"/>
                <w:b w:val="0"/>
                <w:bCs w:val="0"/>
                <w:color w:val="auto"/>
                <w:sz w:val="21"/>
                <w:szCs w:val="18"/>
                <w:highlight w:val="none"/>
                <w:lang w:val="en-US" w:eastAsia="zh-CN"/>
              </w:rPr>
              <w:t>13</w:t>
            </w:r>
            <w:r>
              <w:rPr>
                <w:rFonts w:hint="default" w:ascii="Times New Roman" w:hAnsi="Times New Roman" w:cs="Times New Roman"/>
                <w:b w:val="0"/>
                <w:bCs w:val="0"/>
                <w:color w:val="auto"/>
                <w:sz w:val="21"/>
                <w:szCs w:val="18"/>
                <w:highlight w:val="none"/>
                <w:lang w:val="en-US" w:eastAsia="zh-CN"/>
              </w:rPr>
              <w:t>t/a。风机风量为</w:t>
            </w:r>
            <w:r>
              <w:rPr>
                <w:rFonts w:hint="eastAsia" w:cs="Times New Roman"/>
                <w:b w:val="0"/>
                <w:bCs w:val="0"/>
                <w:color w:val="auto"/>
                <w:sz w:val="21"/>
                <w:szCs w:val="18"/>
                <w:highlight w:val="none"/>
                <w:lang w:val="en-US" w:eastAsia="zh-CN"/>
              </w:rPr>
              <w:t>3</w:t>
            </w:r>
            <w:r>
              <w:rPr>
                <w:rFonts w:hint="default" w:ascii="Times New Roman" w:hAnsi="Times New Roman" w:cs="Times New Roman"/>
                <w:b w:val="0"/>
                <w:bCs w:val="0"/>
                <w:color w:val="auto"/>
                <w:sz w:val="21"/>
                <w:szCs w:val="18"/>
                <w:highlight w:val="none"/>
                <w:lang w:val="en-US" w:eastAsia="zh-CN"/>
              </w:rPr>
              <w:t>000m</w:t>
            </w:r>
            <w:r>
              <w:rPr>
                <w:rFonts w:hint="default" w:ascii="Times New Roman" w:hAnsi="Times New Roman" w:cs="Times New Roman"/>
                <w:b w:val="0"/>
                <w:bCs w:val="0"/>
                <w:color w:val="auto"/>
                <w:sz w:val="21"/>
                <w:szCs w:val="18"/>
                <w:highlight w:val="none"/>
                <w:vertAlign w:val="superscript"/>
                <w:lang w:val="en-US" w:eastAsia="zh-CN"/>
              </w:rPr>
              <w:t>3</w:t>
            </w:r>
            <w:r>
              <w:rPr>
                <w:rFonts w:hint="default" w:ascii="Times New Roman" w:hAnsi="Times New Roman" w:cs="Times New Roman"/>
                <w:b w:val="0"/>
                <w:bCs w:val="0"/>
                <w:color w:val="auto"/>
                <w:sz w:val="21"/>
                <w:szCs w:val="18"/>
                <w:highlight w:val="none"/>
                <w:lang w:val="en-US" w:eastAsia="zh-CN"/>
              </w:rPr>
              <w:t>/h，每天炒作时间按2小时计，则油烟排放浓度为0.</w:t>
            </w:r>
            <w:r>
              <w:rPr>
                <w:rFonts w:hint="eastAsia" w:cs="Times New Roman"/>
                <w:b w:val="0"/>
                <w:bCs w:val="0"/>
                <w:color w:val="auto"/>
                <w:sz w:val="21"/>
                <w:szCs w:val="18"/>
                <w:highlight w:val="none"/>
                <w:lang w:val="en-US" w:eastAsia="zh-CN"/>
              </w:rPr>
              <w:t>72</w:t>
            </w:r>
            <w:r>
              <w:rPr>
                <w:rFonts w:hint="default" w:ascii="Times New Roman" w:hAnsi="Times New Roman" w:cs="Times New Roman"/>
                <w:b w:val="0"/>
                <w:bCs w:val="0"/>
                <w:color w:val="auto"/>
                <w:sz w:val="21"/>
                <w:szCs w:val="18"/>
                <w:highlight w:val="none"/>
                <w:lang w:val="en-US" w:eastAsia="zh-CN"/>
              </w:rPr>
              <w:t>mg/m</w:t>
            </w:r>
            <w:r>
              <w:rPr>
                <w:rFonts w:hint="default" w:ascii="Times New Roman" w:hAnsi="Times New Roman" w:cs="Times New Roman"/>
                <w:b w:val="0"/>
                <w:bCs w:val="0"/>
                <w:color w:val="auto"/>
                <w:sz w:val="21"/>
                <w:szCs w:val="18"/>
                <w:highlight w:val="none"/>
                <w:vertAlign w:val="superscript"/>
                <w:lang w:val="en-US" w:eastAsia="zh-CN"/>
              </w:rPr>
              <w:t>3</w:t>
            </w:r>
            <w:r>
              <w:rPr>
                <w:rFonts w:hint="default" w:ascii="Times New Roman" w:hAnsi="Times New Roman" w:cs="Times New Roman"/>
                <w:b w:val="0"/>
                <w:bCs w:val="0"/>
                <w:color w:val="auto"/>
                <w:sz w:val="21"/>
                <w:szCs w:val="18"/>
                <w:highlight w:val="none"/>
                <w:lang w:val="en-US" w:eastAsia="zh-CN"/>
              </w:rPr>
              <w:t>，满足《山东省饮食油烟排放标准》（DB37/597-2006）小型饮食业单位标准规定的最高允许排放浓度1.5mg/m</w:t>
            </w:r>
            <w:r>
              <w:rPr>
                <w:rFonts w:hint="default" w:ascii="Times New Roman" w:hAnsi="Times New Roman" w:cs="Times New Roman"/>
                <w:b w:val="0"/>
                <w:bCs w:val="0"/>
                <w:color w:val="auto"/>
                <w:sz w:val="21"/>
                <w:szCs w:val="18"/>
                <w:highlight w:val="none"/>
                <w:vertAlign w:val="superscript"/>
                <w:lang w:val="en-US" w:eastAsia="zh-CN"/>
              </w:rPr>
              <w:t>3</w:t>
            </w:r>
            <w:r>
              <w:rPr>
                <w:rFonts w:hint="default" w:ascii="Times New Roman" w:hAnsi="Times New Roman" w:cs="Times New Roman"/>
                <w:b w:val="0"/>
                <w:bCs w:val="0"/>
                <w:color w:val="auto"/>
                <w:sz w:val="21"/>
                <w:szCs w:val="18"/>
                <w:highlight w:val="none"/>
                <w:lang w:val="en-US" w:eastAsia="zh-CN"/>
              </w:rPr>
              <w:t>要求</w:t>
            </w:r>
            <w:r>
              <w:rPr>
                <w:rFonts w:hint="eastAsia" w:ascii="Times New Roman" w:hAnsi="Times New Roman" w:cs="Times New Roman"/>
                <w:b w:val="0"/>
                <w:bCs w:val="0"/>
                <w:color w:val="auto"/>
                <w:sz w:val="21"/>
                <w:szCs w:val="18"/>
                <w:highlight w:val="none"/>
                <w:lang w:val="en-US" w:eastAsia="zh-CN"/>
              </w:rPr>
              <w:t>。</w:t>
            </w:r>
          </w:p>
          <w:p w14:paraId="49DF83B0">
            <w:pPr>
              <w:spacing w:line="360" w:lineRule="auto"/>
              <w:ind w:firstLine="42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）无组织废气</w:t>
            </w:r>
          </w:p>
          <w:p w14:paraId="595C268C">
            <w:pPr>
              <w:spacing w:line="360" w:lineRule="auto"/>
              <w:ind w:firstLine="420" w:firstLineChars="200"/>
              <w:rPr>
                <w:rFonts w:hint="default" w:ascii="Times New Roman" w:hAnsi="Times New Roman" w:cs="Times New Roman"/>
                <w:color w:val="auto"/>
                <w:highlight w:val="none"/>
                <w:lang w:val="en-US" w:eastAsia="zh-CN"/>
              </w:rPr>
            </w:pPr>
            <w:r>
              <w:rPr>
                <w:rFonts w:hint="eastAsia" w:ascii="宋体" w:hAnsi="宋体" w:eastAsia="宋体" w:cs="宋体"/>
                <w:color w:val="auto"/>
                <w:highlight w:val="none"/>
                <w:lang w:val="en-US" w:eastAsia="zh-CN"/>
              </w:rPr>
              <w:t>①</w:t>
            </w:r>
            <w:r>
              <w:rPr>
                <w:rFonts w:hint="default" w:ascii="Times New Roman" w:hAnsi="Times New Roman" w:cs="Times New Roman"/>
                <w:color w:val="auto"/>
                <w:highlight w:val="none"/>
                <w:lang w:val="en-US" w:eastAsia="zh-CN"/>
              </w:rPr>
              <w:t>集气罩未收集的颗粒物</w:t>
            </w:r>
            <w:r>
              <w:rPr>
                <w:rFonts w:hint="eastAsia" w:cs="Times New Roman"/>
                <w:color w:val="auto"/>
                <w:highlight w:val="none"/>
                <w:lang w:val="en-US" w:eastAsia="zh-CN"/>
              </w:rPr>
              <w:t>、氨气、臭气浓度</w:t>
            </w:r>
          </w:p>
          <w:p w14:paraId="4D467CEF">
            <w:pPr>
              <w:spacing w:line="360" w:lineRule="auto"/>
              <w:ind w:firstLine="420" w:firstLineChars="200"/>
              <w:rPr>
                <w:rFonts w:hint="eastAsia" w:cs="Times New Roman"/>
                <w:color w:val="auto"/>
                <w:highlight w:val="none"/>
                <w:lang w:eastAsia="zh-CN"/>
              </w:rPr>
            </w:pPr>
            <w:r>
              <w:rPr>
                <w:rFonts w:hint="eastAsia" w:cs="Times New Roman"/>
                <w:bCs/>
                <w:color w:val="auto"/>
                <w:highlight w:val="none"/>
                <w:lang w:val="en-US" w:eastAsia="zh-CN"/>
              </w:rPr>
              <w:t>原料破碎、筛分、配料、部分筛分、混合、粗筛、整形过程产生的颗粒物</w:t>
            </w:r>
            <w:r>
              <w:rPr>
                <w:rFonts w:hint="default" w:ascii="Times New Roman" w:hAnsi="Times New Roman" w:cs="Times New Roman"/>
                <w:bCs/>
                <w:color w:val="auto"/>
                <w:highlight w:val="none"/>
                <w:lang w:val="en-US" w:eastAsia="zh-CN"/>
              </w:rPr>
              <w:t>量为</w:t>
            </w:r>
            <w:r>
              <w:rPr>
                <w:rFonts w:hint="eastAsia" w:cs="Times New Roman"/>
                <w:bCs/>
                <w:color w:val="auto"/>
                <w:highlight w:val="none"/>
                <w:lang w:val="en-US" w:eastAsia="zh-CN"/>
              </w:rPr>
              <w:t>23.071</w:t>
            </w:r>
            <w:r>
              <w:rPr>
                <w:rFonts w:hint="default" w:ascii="Times New Roman" w:hAnsi="Times New Roman" w:cs="Times New Roman"/>
                <w:bCs/>
                <w:color w:val="auto"/>
                <w:szCs w:val="21"/>
                <w:highlight w:val="none"/>
                <w:lang w:val="en-US" w:eastAsia="zh-CN"/>
              </w:rPr>
              <w:t>t/a</w:t>
            </w:r>
            <w:r>
              <w:rPr>
                <w:rFonts w:hint="eastAsia" w:cs="Times New Roman"/>
                <w:bCs/>
                <w:color w:val="auto"/>
                <w:szCs w:val="21"/>
                <w:highlight w:val="none"/>
                <w:lang w:val="en-US" w:eastAsia="zh-CN"/>
              </w:rPr>
              <w:t>，</w:t>
            </w:r>
            <w:r>
              <w:rPr>
                <w:rFonts w:hint="eastAsia" w:cs="Times New Roman"/>
                <w:bCs/>
                <w:color w:val="auto"/>
                <w:highlight w:val="none"/>
                <w:lang w:val="en-US" w:eastAsia="zh-CN"/>
              </w:rPr>
              <w:t>冷却、精筛、包膜、包装过程</w:t>
            </w:r>
            <w:r>
              <w:rPr>
                <w:rFonts w:hint="eastAsia" w:cs="Times New Roman"/>
                <w:bCs/>
                <w:color w:val="auto"/>
                <w:highlight w:val="none"/>
                <w:lang w:eastAsia="zh-CN"/>
              </w:rPr>
              <w:t>产生的颗粒物</w:t>
            </w:r>
            <w:r>
              <w:rPr>
                <w:rFonts w:hint="default" w:ascii="Times New Roman" w:hAnsi="Times New Roman" w:cs="Times New Roman"/>
                <w:bCs/>
                <w:color w:val="auto"/>
                <w:highlight w:val="none"/>
                <w:lang w:val="en-US" w:eastAsia="zh-CN"/>
              </w:rPr>
              <w:t>为</w:t>
            </w:r>
            <w:r>
              <w:rPr>
                <w:rFonts w:hint="eastAsia" w:cs="Times New Roman"/>
                <w:bCs/>
                <w:color w:val="auto"/>
                <w:highlight w:val="none"/>
                <w:lang w:val="en-US" w:eastAsia="zh-CN"/>
              </w:rPr>
              <w:t>19.5</w:t>
            </w:r>
            <w:r>
              <w:rPr>
                <w:rFonts w:hint="default" w:ascii="Times New Roman" w:hAnsi="Times New Roman" w:cs="Times New Roman"/>
                <w:bCs/>
                <w:color w:val="auto"/>
                <w:szCs w:val="21"/>
                <w:highlight w:val="none"/>
                <w:lang w:val="en-US" w:eastAsia="zh-CN"/>
              </w:rPr>
              <w:t>t/a</w:t>
            </w:r>
            <w:r>
              <w:rPr>
                <w:rFonts w:hint="eastAsia" w:cs="Times New Roman"/>
                <w:bCs/>
                <w:color w:val="auto"/>
                <w:szCs w:val="21"/>
                <w:highlight w:val="none"/>
                <w:lang w:val="en-US" w:eastAsia="zh-CN"/>
              </w:rPr>
              <w:t>，</w:t>
            </w:r>
            <w:r>
              <w:rPr>
                <w:rFonts w:hint="eastAsia" w:cs="Times New Roman"/>
                <w:color w:val="auto"/>
                <w:highlight w:val="none"/>
                <w:lang w:val="en-US" w:eastAsia="zh-CN"/>
              </w:rPr>
              <w:t>造粒工序颗粒物产生量为5.982t</w:t>
            </w:r>
            <w:r>
              <w:rPr>
                <w:rFonts w:hint="default" w:ascii="Times New Roman" w:hAnsi="Times New Roman" w:cs="Times New Roman"/>
                <w:bCs/>
                <w:color w:val="auto"/>
                <w:szCs w:val="21"/>
                <w:highlight w:val="none"/>
                <w:lang w:val="en-US" w:eastAsia="zh-CN"/>
              </w:rPr>
              <w:t>/a</w:t>
            </w:r>
            <w:r>
              <w:rPr>
                <w:rFonts w:hint="eastAsia" w:cs="Times New Roman"/>
                <w:bCs/>
                <w:color w:val="auto"/>
                <w:szCs w:val="21"/>
                <w:highlight w:val="none"/>
                <w:lang w:val="en-US" w:eastAsia="zh-CN"/>
              </w:rPr>
              <w:t>，氨产生为5.5t/a，</w:t>
            </w:r>
            <w:r>
              <w:rPr>
                <w:rFonts w:hint="default" w:ascii="Times New Roman" w:hAnsi="Times New Roman" w:cs="Times New Roman"/>
                <w:color w:val="auto"/>
                <w:highlight w:val="none"/>
                <w:lang w:eastAsia="zh-CN"/>
              </w:rPr>
              <w:t>集气罩收集效率为</w:t>
            </w:r>
            <w:r>
              <w:rPr>
                <w:rFonts w:hint="default" w:ascii="Times New Roman" w:hAnsi="Times New Roman" w:cs="Times New Roman"/>
                <w:color w:val="auto"/>
                <w:highlight w:val="none"/>
                <w:lang w:val="en-US" w:eastAsia="zh-CN"/>
              </w:rPr>
              <w:t>95%，</w:t>
            </w:r>
            <w:r>
              <w:rPr>
                <w:rFonts w:hint="eastAsia" w:cs="Times New Roman"/>
                <w:color w:val="auto"/>
                <w:highlight w:val="none"/>
                <w:lang w:val="en-US" w:eastAsia="zh-CN"/>
              </w:rPr>
              <w:t>5%未收集</w:t>
            </w:r>
            <w:r>
              <w:rPr>
                <w:rFonts w:hint="default" w:ascii="Times New Roman" w:hAnsi="Times New Roman" w:cs="Times New Roman"/>
                <w:color w:val="auto"/>
                <w:highlight w:val="none"/>
                <w:lang w:val="en-US" w:eastAsia="zh-CN"/>
              </w:rPr>
              <w:t>，则</w:t>
            </w:r>
            <w:r>
              <w:rPr>
                <w:rFonts w:hint="default" w:ascii="Times New Roman" w:hAnsi="Times New Roman" w:cs="Times New Roman"/>
                <w:color w:val="auto"/>
                <w:highlight w:val="none"/>
                <w:lang w:eastAsia="zh-CN"/>
              </w:rPr>
              <w:t>颗粒物无组织排放量为</w:t>
            </w:r>
            <w:r>
              <w:rPr>
                <w:rFonts w:hint="eastAsia" w:cs="Times New Roman"/>
                <w:color w:val="auto"/>
                <w:highlight w:val="none"/>
                <w:lang w:val="en-US" w:eastAsia="zh-CN"/>
              </w:rPr>
              <w:t>2.428</w:t>
            </w:r>
            <w:r>
              <w:rPr>
                <w:rFonts w:hint="default" w:ascii="Times New Roman" w:hAnsi="Times New Roman" w:cs="Times New Roman"/>
                <w:color w:val="auto"/>
                <w:highlight w:val="none"/>
                <w:lang w:val="en-US" w:eastAsia="zh-CN"/>
              </w:rPr>
              <w:t>t/a</w:t>
            </w:r>
            <w:r>
              <w:rPr>
                <w:rFonts w:hint="eastAsia" w:cs="Times New Roman"/>
                <w:color w:val="auto"/>
                <w:highlight w:val="none"/>
                <w:lang w:val="en-US" w:eastAsia="zh-CN"/>
              </w:rPr>
              <w:t>，氨无组织排放量为0.275t/a</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kern w:val="0"/>
                <w:highlight w:val="none"/>
              </w:rPr>
              <w:t>为减少项目无组织粉尘对周围环境的影响，项目定期对车间内进行洒水降尘，防止物料扬散，</w:t>
            </w:r>
            <w:r>
              <w:rPr>
                <w:rStyle w:val="615"/>
                <w:rFonts w:hint="default" w:ascii="Times New Roman" w:hAnsi="Times New Roman" w:cs="Times New Roman"/>
                <w:color w:val="auto"/>
                <w:sz w:val="21"/>
                <w:szCs w:val="21"/>
                <w:highlight w:val="none"/>
              </w:rPr>
              <w:t>在采取上述措施后，</w:t>
            </w:r>
            <w:r>
              <w:rPr>
                <w:rFonts w:hint="eastAsia" w:ascii="Times New Roman" w:hAnsi="Times New Roman" w:cs="Times New Roman"/>
                <w:color w:val="auto"/>
                <w:kern w:val="0"/>
                <w:highlight w:val="none"/>
                <w:lang w:val="en-US" w:eastAsia="zh-CN"/>
              </w:rPr>
              <w:t>粉尘</w:t>
            </w:r>
            <w:r>
              <w:rPr>
                <w:rFonts w:hint="default" w:ascii="Times New Roman" w:hAnsi="Times New Roman" w:cs="Times New Roman"/>
                <w:color w:val="auto"/>
                <w:kern w:val="0"/>
                <w:highlight w:val="none"/>
              </w:rPr>
              <w:t>产生量可降低50</w:t>
            </w:r>
            <w:r>
              <w:rPr>
                <w:rFonts w:hint="default" w:ascii="Times New Roman" w:hAnsi="Times New Roman" w:eastAsia="TimesNewRomanPSMT" w:cs="Times New Roman"/>
                <w:color w:val="auto"/>
                <w:kern w:val="0"/>
                <w:highlight w:val="none"/>
              </w:rPr>
              <w:t>%</w:t>
            </w:r>
            <w:r>
              <w:rPr>
                <w:rFonts w:hint="default" w:ascii="Times New Roman" w:hAnsi="Times New Roman" w:cs="Times New Roman"/>
                <w:color w:val="auto"/>
                <w:kern w:val="0"/>
                <w:highlight w:val="none"/>
              </w:rPr>
              <w:t>以上，综上，</w:t>
            </w:r>
            <w:r>
              <w:rPr>
                <w:rFonts w:hint="default" w:ascii="Times New Roman" w:hAnsi="Times New Roman" w:cs="Times New Roman"/>
                <w:color w:val="auto"/>
                <w:highlight w:val="none"/>
              </w:rPr>
              <w:t>无组织颗粒物</w:t>
            </w:r>
            <w:r>
              <w:rPr>
                <w:rFonts w:hint="default" w:ascii="Times New Roman" w:hAnsi="Times New Roman" w:cs="Times New Roman"/>
                <w:color w:val="auto"/>
                <w:highlight w:val="none"/>
                <w:lang w:val="en-US" w:eastAsia="zh-CN"/>
              </w:rPr>
              <w:t>排放量为</w:t>
            </w:r>
            <w:r>
              <w:rPr>
                <w:rFonts w:hint="eastAsia" w:cs="Times New Roman"/>
                <w:color w:val="auto"/>
                <w:highlight w:val="none"/>
                <w:lang w:val="en-US" w:eastAsia="zh-CN"/>
              </w:rPr>
              <w:t>1.214</w:t>
            </w:r>
            <w:r>
              <w:rPr>
                <w:rFonts w:hint="default" w:ascii="Times New Roman" w:hAnsi="Times New Roman" w:cs="Times New Roman"/>
                <w:color w:val="auto"/>
                <w:highlight w:val="none"/>
              </w:rPr>
              <w:t>t/a</w:t>
            </w:r>
            <w:r>
              <w:rPr>
                <w:rFonts w:hint="eastAsia" w:cs="Times New Roman"/>
                <w:color w:val="auto"/>
                <w:highlight w:val="none"/>
                <w:lang w:eastAsia="zh-CN"/>
              </w:rPr>
              <w:t>。</w:t>
            </w:r>
          </w:p>
          <w:p w14:paraId="1D8B5784">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2"/>
              <w:textAlignment w:val="auto"/>
              <w:rPr>
                <w:rFonts w:hint="eastAsia" w:cs="Times New Roman"/>
                <w:b w:val="0"/>
                <w:bCs w:val="0"/>
                <w:color w:val="auto"/>
                <w:sz w:val="21"/>
                <w:szCs w:val="18"/>
                <w:highlight w:val="none"/>
                <w:lang w:val="en-US" w:eastAsia="zh-CN"/>
              </w:rPr>
            </w:pPr>
            <w:r>
              <w:rPr>
                <w:rFonts w:hint="default" w:ascii="Times New Roman" w:hAnsi="Times New Roman" w:cs="Times New Roman"/>
                <w:bCs/>
                <w:color w:val="auto"/>
                <w:sz w:val="21"/>
                <w:szCs w:val="21"/>
                <w:highlight w:val="none"/>
              </w:rPr>
              <w:t>集气罩</w:t>
            </w:r>
            <w:r>
              <w:rPr>
                <w:rFonts w:hint="eastAsia" w:cs="Times New Roman"/>
                <w:bCs/>
                <w:color w:val="auto"/>
                <w:sz w:val="21"/>
                <w:szCs w:val="21"/>
                <w:highlight w:val="none"/>
                <w:lang w:eastAsia="zh-CN"/>
              </w:rPr>
              <w:t>未收集</w:t>
            </w:r>
            <w:r>
              <w:rPr>
                <w:rFonts w:hint="eastAsia" w:ascii="Times New Roman" w:hAnsi="Times New Roman" w:cs="Times New Roman"/>
                <w:bCs/>
                <w:color w:val="auto"/>
                <w:sz w:val="21"/>
                <w:szCs w:val="21"/>
                <w:highlight w:val="none"/>
                <w:lang w:val="en-US" w:eastAsia="zh-CN"/>
              </w:rPr>
              <w:t>的少量臭气浓度，通过加强机械通风，在厂区经空气稀释、自然扩散后，臭气浓度无组织排放浓度满足《挥发性有机物排放标准 第 7 部分：其他行业》（DB37/ 2801.7—2019）表2厂界监控点浓度限制（16无量纲）</w:t>
            </w:r>
            <w:r>
              <w:rPr>
                <w:rFonts w:hint="eastAsia" w:cs="Times New Roman"/>
                <w:b w:val="0"/>
                <w:bCs w:val="0"/>
                <w:color w:val="auto"/>
                <w:sz w:val="21"/>
                <w:szCs w:val="18"/>
                <w:highlight w:val="none"/>
                <w:lang w:val="en-US" w:eastAsia="zh-CN"/>
              </w:rPr>
              <w:t>。</w:t>
            </w:r>
          </w:p>
          <w:p w14:paraId="53CFBC8C">
            <w:pPr>
              <w:spacing w:line="360" w:lineRule="auto"/>
              <w:ind w:firstLine="420" w:firstLineChars="200"/>
              <w:rPr>
                <w:rFonts w:hint="default"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②卸料、堆存过程产生的粉尘、氨气</w:t>
            </w:r>
            <w:r>
              <w:rPr>
                <w:rFonts w:hint="eastAsia" w:ascii="宋体" w:hAnsi="宋体" w:cs="宋体"/>
                <w:color w:val="auto"/>
                <w:highlight w:val="none"/>
                <w:lang w:val="en-US" w:eastAsia="zh-CN"/>
              </w:rPr>
              <w:t>、臭气浓度</w:t>
            </w:r>
          </w:p>
          <w:p w14:paraId="09FAFEFF">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eastAsia="TimesNewRomanPSMT" w:cs="Times New Roman"/>
                <w:bCs/>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10万吨的硫酸铵原料为散装堆存在原料仓库，</w:t>
            </w:r>
            <w:r>
              <w:rPr>
                <w:rFonts w:hint="default" w:ascii="Times New Roman" w:hAnsi="Times New Roman" w:cs="Times New Roman"/>
                <w:b w:val="0"/>
                <w:bCs w:val="0"/>
                <w:color w:val="auto"/>
                <w:sz w:val="21"/>
                <w:szCs w:val="21"/>
                <w:highlight w:val="none"/>
                <w:lang w:val="en-US" w:eastAsia="zh-CN"/>
              </w:rPr>
              <w:t>在</w:t>
            </w:r>
            <w:r>
              <w:rPr>
                <w:rFonts w:hint="default" w:ascii="Times New Roman" w:hAnsi="Times New Roman" w:eastAsia="宋体" w:cs="Times New Roman"/>
                <w:b w:val="0"/>
                <w:i w:val="0"/>
                <w:color w:val="auto"/>
                <w:kern w:val="0"/>
                <w:sz w:val="21"/>
                <w:szCs w:val="21"/>
                <w:highlight w:val="none"/>
                <w:lang w:eastAsia="en-US"/>
              </w:rPr>
              <w:t>卸料、</w:t>
            </w:r>
            <w:r>
              <w:rPr>
                <w:rFonts w:hint="eastAsia" w:ascii="Times New Roman" w:hAnsi="Times New Roman" w:cs="Times New Roman"/>
                <w:bCs/>
                <w:color w:val="auto"/>
                <w:sz w:val="21"/>
                <w:szCs w:val="21"/>
                <w:highlight w:val="none"/>
                <w:lang w:val="en-US" w:eastAsia="zh-CN"/>
              </w:rPr>
              <w:t>堆存</w:t>
            </w:r>
            <w:r>
              <w:rPr>
                <w:rFonts w:hint="default" w:ascii="Times New Roman" w:hAnsi="Times New Roman" w:eastAsia="宋体" w:cs="Times New Roman"/>
                <w:b w:val="0"/>
                <w:i w:val="0"/>
                <w:color w:val="auto"/>
                <w:kern w:val="0"/>
                <w:sz w:val="21"/>
                <w:szCs w:val="21"/>
                <w:highlight w:val="none"/>
                <w:lang w:eastAsia="en-US"/>
              </w:rPr>
              <w:t>会产生</w:t>
            </w:r>
            <w:r>
              <w:rPr>
                <w:rFonts w:hint="default" w:ascii="Times New Roman" w:hAnsi="Times New Roman" w:eastAsia="宋体" w:cs="Times New Roman"/>
                <w:b w:val="0"/>
                <w:i w:val="0"/>
                <w:color w:val="auto"/>
                <w:kern w:val="0"/>
                <w:sz w:val="21"/>
                <w:szCs w:val="21"/>
                <w:highlight w:val="none"/>
                <w:lang w:val="en-US" w:eastAsia="zh-CN"/>
              </w:rPr>
              <w:t>少量</w:t>
            </w:r>
            <w:r>
              <w:rPr>
                <w:rFonts w:hint="default" w:ascii="Times New Roman" w:hAnsi="Times New Roman" w:eastAsia="宋体" w:cs="Times New Roman"/>
                <w:b w:val="0"/>
                <w:i w:val="0"/>
                <w:color w:val="auto"/>
                <w:kern w:val="0"/>
                <w:sz w:val="21"/>
                <w:szCs w:val="21"/>
                <w:highlight w:val="none"/>
                <w:lang w:eastAsia="en-US"/>
              </w:rPr>
              <w:t>的粉尘。</w:t>
            </w:r>
            <w:r>
              <w:rPr>
                <w:rFonts w:hint="eastAsia" w:cs="Times New Roman"/>
                <w:b w:val="0"/>
                <w:i w:val="0"/>
                <w:color w:val="auto"/>
                <w:kern w:val="0"/>
                <w:sz w:val="21"/>
                <w:szCs w:val="21"/>
                <w:highlight w:val="none"/>
                <w:lang w:eastAsia="zh-CN"/>
              </w:rPr>
              <w:t>一期项目</w:t>
            </w:r>
            <w:r>
              <w:rPr>
                <w:rFonts w:hint="default" w:ascii="Times New Roman" w:hAnsi="Times New Roman" w:cs="Times New Roman"/>
                <w:bCs/>
                <w:color w:val="auto"/>
                <w:sz w:val="21"/>
                <w:szCs w:val="21"/>
                <w:highlight w:val="none"/>
                <w:lang w:val="en-US" w:eastAsia="zh-CN"/>
              </w:rPr>
              <w:t>卸料、</w:t>
            </w:r>
            <w:r>
              <w:rPr>
                <w:rFonts w:hint="eastAsia" w:ascii="Times New Roman" w:hAnsi="Times New Roman" w:cs="Times New Roman"/>
                <w:bCs/>
                <w:color w:val="auto"/>
                <w:sz w:val="21"/>
                <w:szCs w:val="21"/>
                <w:highlight w:val="none"/>
                <w:lang w:val="en-US" w:eastAsia="zh-CN"/>
              </w:rPr>
              <w:t>堆存</w:t>
            </w:r>
            <w:r>
              <w:rPr>
                <w:rFonts w:hint="default" w:ascii="Times New Roman" w:hAnsi="Times New Roman" w:cs="Times New Roman"/>
                <w:bCs/>
                <w:color w:val="auto"/>
                <w:sz w:val="21"/>
                <w:szCs w:val="21"/>
                <w:highlight w:val="none"/>
                <w:lang w:val="en-US" w:eastAsia="zh-CN"/>
              </w:rPr>
              <w:t>过程</w:t>
            </w:r>
            <w:r>
              <w:rPr>
                <w:rFonts w:hint="default" w:ascii="Times New Roman" w:hAnsi="Times New Roman" w:cs="Times New Roman"/>
                <w:b w:val="0"/>
                <w:bCs w:val="0"/>
                <w:color w:val="auto"/>
                <w:kern w:val="0"/>
                <w:sz w:val="21"/>
                <w:szCs w:val="21"/>
                <w:highlight w:val="none"/>
                <w:lang w:eastAsia="zh-CN"/>
              </w:rPr>
              <w:t>产尘量按</w:t>
            </w:r>
            <w:r>
              <w:rPr>
                <w:rFonts w:hint="default" w:ascii="Times New Roman" w:hAnsi="Times New Roman" w:cs="Times New Roman"/>
                <w:color w:val="auto"/>
                <w:sz w:val="21"/>
                <w:szCs w:val="21"/>
                <w:highlight w:val="none"/>
              </w:rPr>
              <w:t>参照《逸散性工业粉尘控制技术》中表</w:t>
            </w:r>
            <w:r>
              <w:rPr>
                <w:rFonts w:hint="default" w:ascii="Times New Roman" w:hAnsi="Times New Roman" w:cs="Times New Roman"/>
                <w:color w:val="auto"/>
                <w:sz w:val="21"/>
                <w:szCs w:val="21"/>
                <w:highlight w:val="none"/>
                <w:lang w:val="en-US" w:eastAsia="zh-CN"/>
              </w:rPr>
              <w:t>18-1</w:t>
            </w:r>
            <w:r>
              <w:rPr>
                <w:rFonts w:hint="default" w:ascii="Times New Roman" w:hAnsi="Times New Roman" w:cs="Times New Roman"/>
                <w:color w:val="auto"/>
                <w:sz w:val="21"/>
                <w:szCs w:val="21"/>
                <w:highlight w:val="none"/>
              </w:rPr>
              <w:t>第</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条，逸散性粉尘产生量约为</w:t>
            </w:r>
            <w:r>
              <w:rPr>
                <w:rFonts w:hint="default" w:ascii="Times New Roman" w:hAnsi="Times New Roman" w:cs="Times New Roman"/>
                <w:color w:val="auto"/>
                <w:sz w:val="21"/>
                <w:szCs w:val="21"/>
                <w:highlight w:val="none"/>
                <w:lang w:val="en-US" w:eastAsia="zh-CN"/>
              </w:rPr>
              <w:t>0.01</w:t>
            </w:r>
            <w:r>
              <w:rPr>
                <w:rFonts w:hint="default" w:ascii="Times New Roman" w:hAnsi="Times New Roman" w:cs="Times New Roman"/>
                <w:color w:val="auto"/>
                <w:sz w:val="21"/>
                <w:szCs w:val="21"/>
                <w:highlight w:val="none"/>
              </w:rPr>
              <w:t>kg/t（</w:t>
            </w:r>
            <w:r>
              <w:rPr>
                <w:rFonts w:hint="default" w:ascii="Times New Roman" w:hAnsi="Times New Roman" w:cs="Times New Roman"/>
                <w:color w:val="auto"/>
                <w:sz w:val="21"/>
                <w:szCs w:val="21"/>
                <w:highlight w:val="none"/>
                <w:lang w:eastAsia="zh-CN"/>
              </w:rPr>
              <w:t>卸料</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b w:val="0"/>
                <w:i w:val="0"/>
                <w:color w:val="auto"/>
                <w:kern w:val="0"/>
                <w:sz w:val="21"/>
                <w:szCs w:val="21"/>
                <w:highlight w:val="none"/>
                <w:lang w:eastAsia="en-US"/>
              </w:rPr>
              <w:t>，</w:t>
            </w:r>
            <w:r>
              <w:rPr>
                <w:rFonts w:hint="eastAsia" w:cs="Times New Roman"/>
                <w:b w:val="0"/>
                <w:i w:val="0"/>
                <w:color w:val="auto"/>
                <w:kern w:val="0"/>
                <w:sz w:val="21"/>
                <w:szCs w:val="21"/>
                <w:highlight w:val="none"/>
                <w:lang w:eastAsia="zh-CN"/>
              </w:rPr>
              <w:t>一期项目</w:t>
            </w:r>
            <w:r>
              <w:rPr>
                <w:rFonts w:hint="eastAsia" w:ascii="Times New Roman" w:hAnsi="Times New Roman" w:eastAsia="宋体" w:cs="Times New Roman"/>
                <w:b w:val="0"/>
                <w:i w:val="0"/>
                <w:color w:val="auto"/>
                <w:kern w:val="0"/>
                <w:sz w:val="21"/>
                <w:szCs w:val="21"/>
                <w:highlight w:val="none"/>
                <w:lang w:val="en-US" w:eastAsia="zh-CN"/>
              </w:rPr>
              <w:t>散装硫酸铵</w:t>
            </w:r>
            <w:r>
              <w:rPr>
                <w:rFonts w:hint="default" w:ascii="Times New Roman" w:hAnsi="Times New Roman" w:cs="Times New Roman"/>
                <w:bCs/>
                <w:color w:val="auto"/>
                <w:sz w:val="21"/>
                <w:szCs w:val="21"/>
                <w:highlight w:val="none"/>
                <w:lang w:val="en-US" w:eastAsia="zh-CN"/>
              </w:rPr>
              <w:t>用</w:t>
            </w:r>
            <w:r>
              <w:rPr>
                <w:rFonts w:hint="default" w:ascii="Times New Roman" w:hAnsi="Times New Roman" w:eastAsia="宋体" w:cs="Times New Roman"/>
                <w:b w:val="0"/>
                <w:i w:val="0"/>
                <w:color w:val="auto"/>
                <w:kern w:val="0"/>
                <w:sz w:val="21"/>
                <w:szCs w:val="21"/>
                <w:highlight w:val="none"/>
                <w:lang w:eastAsia="en-US"/>
              </w:rPr>
              <w:t>量约</w:t>
            </w:r>
            <w:r>
              <w:rPr>
                <w:rFonts w:hint="eastAsia" w:cs="Times New Roman"/>
                <w:b w:val="0"/>
                <w:i w:val="0"/>
                <w:color w:val="auto"/>
                <w:kern w:val="0"/>
                <w:sz w:val="21"/>
                <w:szCs w:val="21"/>
                <w:highlight w:val="none"/>
                <w:lang w:val="en-US" w:eastAsia="zh-CN"/>
              </w:rPr>
              <w:t>5</w:t>
            </w:r>
            <w:r>
              <w:rPr>
                <w:rFonts w:hint="default" w:ascii="Times New Roman" w:hAnsi="Times New Roman" w:eastAsia="宋体" w:cs="Times New Roman"/>
                <w:b w:val="0"/>
                <w:i w:val="0"/>
                <w:color w:val="auto"/>
                <w:kern w:val="0"/>
                <w:sz w:val="21"/>
                <w:szCs w:val="21"/>
                <w:highlight w:val="none"/>
                <w:lang w:val="en-US" w:eastAsia="zh-CN"/>
              </w:rPr>
              <w:t>0000</w:t>
            </w:r>
            <w:r>
              <w:rPr>
                <w:rFonts w:hint="default" w:ascii="Times New Roman" w:hAnsi="Times New Roman" w:eastAsia="TimesNewRomanPSMT" w:cs="Times New Roman"/>
                <w:b w:val="0"/>
                <w:i w:val="0"/>
                <w:color w:val="auto"/>
                <w:kern w:val="0"/>
                <w:sz w:val="21"/>
                <w:szCs w:val="21"/>
                <w:highlight w:val="none"/>
                <w:lang w:eastAsia="en-US"/>
              </w:rPr>
              <w:t>t/a</w:t>
            </w:r>
            <w:r>
              <w:rPr>
                <w:rFonts w:hint="default" w:ascii="Times New Roman" w:hAnsi="Times New Roman" w:eastAsia="宋体" w:cs="Times New Roman"/>
                <w:b w:val="0"/>
                <w:i w:val="0"/>
                <w:color w:val="auto"/>
                <w:kern w:val="0"/>
                <w:sz w:val="21"/>
                <w:szCs w:val="21"/>
                <w:highlight w:val="none"/>
                <w:lang w:eastAsia="en-US"/>
              </w:rPr>
              <w:t>，则</w:t>
            </w:r>
            <w:r>
              <w:rPr>
                <w:rFonts w:hint="default" w:ascii="Times New Roman" w:hAnsi="Times New Roman" w:eastAsia="宋体" w:cs="Times New Roman"/>
                <w:b w:val="0"/>
                <w:i w:val="0"/>
                <w:color w:val="auto"/>
                <w:kern w:val="0"/>
                <w:sz w:val="21"/>
                <w:szCs w:val="21"/>
                <w:highlight w:val="none"/>
                <w:lang w:val="en-US" w:eastAsia="zh-CN"/>
              </w:rPr>
              <w:t>粉尘</w:t>
            </w:r>
            <w:r>
              <w:rPr>
                <w:rFonts w:hint="default" w:ascii="Times New Roman" w:hAnsi="Times New Roman" w:eastAsia="宋体" w:cs="Times New Roman"/>
                <w:b w:val="0"/>
                <w:i w:val="0"/>
                <w:color w:val="auto"/>
                <w:kern w:val="0"/>
                <w:sz w:val="21"/>
                <w:szCs w:val="21"/>
                <w:highlight w:val="none"/>
                <w:lang w:eastAsia="en-US"/>
              </w:rPr>
              <w:t>量为</w:t>
            </w:r>
            <w:r>
              <w:rPr>
                <w:rFonts w:hint="eastAsia" w:cs="Times New Roman"/>
                <w:b w:val="0"/>
                <w:i w:val="0"/>
                <w:color w:val="auto"/>
                <w:kern w:val="0"/>
                <w:sz w:val="21"/>
                <w:szCs w:val="21"/>
                <w:highlight w:val="none"/>
                <w:lang w:val="en-US" w:eastAsia="zh-CN"/>
              </w:rPr>
              <w:t>0.5</w:t>
            </w:r>
            <w:r>
              <w:rPr>
                <w:rFonts w:hint="default" w:ascii="Times New Roman" w:hAnsi="Times New Roman" w:eastAsia="TimesNewRomanPSMT" w:cs="Times New Roman"/>
                <w:b w:val="0"/>
                <w:i w:val="0"/>
                <w:color w:val="auto"/>
                <w:kern w:val="0"/>
                <w:sz w:val="21"/>
                <w:szCs w:val="21"/>
                <w:highlight w:val="none"/>
                <w:lang w:eastAsia="en-US"/>
              </w:rPr>
              <w:t>t/a</w:t>
            </w:r>
            <w:r>
              <w:rPr>
                <w:rFonts w:hint="default" w:ascii="Times New Roman" w:hAnsi="Times New Roman" w:eastAsia="TimesNewRomanPSMT" w:cs="Times New Roman"/>
                <w:b w:val="0"/>
                <w:i w:val="0"/>
                <w:color w:val="auto"/>
                <w:kern w:val="0"/>
                <w:sz w:val="21"/>
                <w:szCs w:val="21"/>
                <w:highlight w:val="none"/>
                <w:lang w:val="en-US" w:eastAsia="zh-CN"/>
              </w:rPr>
              <w:t>。</w:t>
            </w:r>
          </w:p>
          <w:p w14:paraId="53D07020">
            <w:pPr>
              <w:spacing w:line="360" w:lineRule="auto"/>
              <w:ind w:firstLine="420" w:firstLineChars="200"/>
              <w:rPr>
                <w:rFonts w:hint="eastAsia" w:ascii="宋体" w:hAnsi="宋体" w:eastAsia="宋体" w:cs="宋体"/>
                <w:color w:val="auto"/>
                <w:highlight w:val="none"/>
                <w:lang w:val="en-US" w:eastAsia="zh-CN"/>
              </w:rPr>
            </w:pPr>
            <w:r>
              <w:rPr>
                <w:rFonts w:hint="eastAsia" w:cs="Times New Roman"/>
                <w:b w:val="0"/>
                <w:bCs w:val="0"/>
                <w:color w:val="auto"/>
                <w:sz w:val="21"/>
                <w:szCs w:val="18"/>
                <w:highlight w:val="none"/>
                <w:lang w:val="en-US" w:eastAsia="zh-CN"/>
              </w:rPr>
              <w:t>尿素、磷酸一铵和磷酸二铵为袋装，但在原料堆存过程会产生少量的异味，主要污染因子为氨，产生量极少，类比《安徽芃盛农业科技有限公司年产60万吨高效复混肥技术改造项目环境影响报告表》，氨产生量为0.3t/a。</w:t>
            </w:r>
          </w:p>
          <w:p w14:paraId="46777714">
            <w:pPr>
              <w:spacing w:line="360" w:lineRule="auto"/>
              <w:ind w:firstLine="420" w:firstLineChars="200"/>
              <w:rPr>
                <w:rFonts w:hint="eastAsia" w:cs="Times New Roman"/>
                <w:b w:val="0"/>
                <w:bCs w:val="0"/>
                <w:color w:val="auto"/>
                <w:sz w:val="21"/>
                <w:szCs w:val="18"/>
                <w:highlight w:val="none"/>
                <w:lang w:val="en-US" w:eastAsia="zh-CN"/>
              </w:rPr>
            </w:pPr>
            <w:r>
              <w:rPr>
                <w:rFonts w:hint="default" w:ascii="Times New Roman" w:hAnsi="Times New Roman" w:cs="Times New Roman"/>
                <w:bCs/>
                <w:color w:val="auto"/>
                <w:sz w:val="21"/>
                <w:szCs w:val="21"/>
                <w:highlight w:val="none"/>
                <w:lang w:val="en-US" w:eastAsia="zh-CN"/>
              </w:rPr>
              <w:t>卸料、</w:t>
            </w:r>
            <w:r>
              <w:rPr>
                <w:rFonts w:hint="eastAsia" w:ascii="Times New Roman" w:hAnsi="Times New Roman" w:cs="Times New Roman"/>
                <w:bCs/>
                <w:color w:val="auto"/>
                <w:sz w:val="21"/>
                <w:szCs w:val="21"/>
                <w:highlight w:val="none"/>
                <w:lang w:val="en-US" w:eastAsia="zh-CN"/>
              </w:rPr>
              <w:t>堆存</w:t>
            </w:r>
            <w:r>
              <w:rPr>
                <w:rFonts w:hint="default" w:ascii="Times New Roman" w:hAnsi="Times New Roman" w:cs="Times New Roman"/>
                <w:bCs/>
                <w:color w:val="auto"/>
                <w:sz w:val="21"/>
                <w:szCs w:val="21"/>
                <w:highlight w:val="none"/>
                <w:lang w:val="en-US" w:eastAsia="zh-CN"/>
              </w:rPr>
              <w:t>过程</w:t>
            </w:r>
            <w:r>
              <w:rPr>
                <w:rFonts w:hint="default" w:ascii="Times New Roman" w:hAnsi="Times New Roman" w:cs="Times New Roman"/>
                <w:bCs/>
                <w:color w:val="auto"/>
                <w:sz w:val="21"/>
                <w:szCs w:val="21"/>
                <w:highlight w:val="none"/>
              </w:rPr>
              <w:t>产生</w:t>
            </w:r>
            <w:r>
              <w:rPr>
                <w:rFonts w:hint="eastAsia" w:ascii="Times New Roman" w:hAnsi="Times New Roman" w:cs="Times New Roman"/>
                <w:bCs/>
                <w:color w:val="auto"/>
                <w:sz w:val="21"/>
                <w:szCs w:val="21"/>
                <w:highlight w:val="none"/>
                <w:lang w:val="en-US" w:eastAsia="zh-CN"/>
              </w:rPr>
              <w:t>少量的臭气浓度，通过</w:t>
            </w:r>
            <w:r>
              <w:rPr>
                <w:rFonts w:hint="eastAsia" w:cs="Times New Roman"/>
                <w:b w:val="0"/>
                <w:bCs w:val="0"/>
                <w:color w:val="auto"/>
                <w:sz w:val="21"/>
                <w:szCs w:val="18"/>
                <w:highlight w:val="none"/>
                <w:lang w:val="en-US" w:eastAsia="zh-CN"/>
              </w:rPr>
              <w:t>加强厂区绿化，在厂区经空气稀释、自然扩散后，臭气浓度无组织排放浓度满足《挥发性有机物排放标准 第 7 部分：其他行业》（DB37/ 2801.7—2019）表2厂界监控点浓度限制（16无量纲）。</w:t>
            </w:r>
          </w:p>
          <w:p w14:paraId="7C2853A6">
            <w:pPr>
              <w:spacing w:line="360" w:lineRule="auto"/>
              <w:ind w:firstLine="420" w:firstLineChars="200"/>
              <w:rPr>
                <w:rFonts w:hint="default" w:ascii="Times New Roman" w:hAnsi="Times New Roman" w:cs="Times New Roman"/>
                <w:color w:val="auto"/>
                <w:highlight w:val="none"/>
                <w:lang w:val="en-US" w:eastAsia="zh-CN"/>
              </w:rPr>
            </w:pPr>
            <w:r>
              <w:rPr>
                <w:rFonts w:hint="eastAsia" w:ascii="宋体" w:hAnsi="宋体" w:eastAsia="宋体" w:cs="宋体"/>
                <w:color w:val="auto"/>
                <w:highlight w:val="none"/>
                <w:lang w:val="en-US" w:eastAsia="zh-CN"/>
              </w:rPr>
              <w:t>③车辆运输产生的粉尘</w:t>
            </w:r>
          </w:p>
          <w:p w14:paraId="051D212E">
            <w:pPr>
              <w:spacing w:line="360" w:lineRule="auto"/>
              <w:ind w:firstLine="420" w:firstLineChars="200"/>
              <w:rPr>
                <w:rFonts w:hint="default" w:ascii="Times New Roman" w:hAnsi="Times New Roman" w:cs="Times New Roman"/>
                <w:color w:val="auto"/>
                <w:highlight w:val="none"/>
                <w:lang w:val="en-US" w:eastAsia="zh-CN"/>
              </w:rPr>
            </w:pPr>
            <w:r>
              <w:rPr>
                <w:rFonts w:hint="eastAsia" w:cs="Times New Roman"/>
                <w:b w:val="0"/>
                <w:bCs w:val="0"/>
                <w:color w:val="auto"/>
                <w:sz w:val="21"/>
                <w:szCs w:val="18"/>
                <w:highlight w:val="none"/>
                <w:lang w:val="en-US" w:eastAsia="zh-CN"/>
              </w:rPr>
              <w:t>一期项目厂区地面进行硬化处理、定期清扫，道路路况以0.2kg/m</w:t>
            </w:r>
            <w:r>
              <w:rPr>
                <w:rFonts w:hint="eastAsia" w:cs="Times New Roman"/>
                <w:b w:val="0"/>
                <w:bCs w:val="0"/>
                <w:color w:val="auto"/>
                <w:sz w:val="21"/>
                <w:szCs w:val="18"/>
                <w:highlight w:val="none"/>
                <w:vertAlign w:val="superscript"/>
                <w:lang w:val="en-US" w:eastAsia="zh-CN"/>
              </w:rPr>
              <w:t>2</w:t>
            </w:r>
            <w:r>
              <w:rPr>
                <w:rFonts w:hint="eastAsia" w:cs="Times New Roman"/>
                <w:b w:val="0"/>
                <w:bCs w:val="0"/>
                <w:color w:val="auto"/>
                <w:sz w:val="21"/>
                <w:szCs w:val="18"/>
                <w:highlight w:val="none"/>
                <w:lang w:val="en-US" w:eastAsia="zh-CN"/>
              </w:rPr>
              <w:t>计；项目车辆在厂区内以速度5km/h行驶，经计算，在道路完全干燥的情况下，汽车动力起尘量为0.365t/a。通过对厂区生产作业区、物料堆放区及厂区道路的地面进行硬化处理、路面定期清扫、洒水降尘，厂区路面保持一定湿润度。通过采取以上措施，能够降低车辆运输扬尘排放量50%，则一期项目车辆运输粉尘排放量约为0.183t/a。</w:t>
            </w:r>
          </w:p>
          <w:p w14:paraId="0B165CC9">
            <w:pPr>
              <w:spacing w:line="360" w:lineRule="auto"/>
              <w:ind w:firstLine="420" w:firstLineChars="200"/>
              <w:rPr>
                <w:rFonts w:hint="default" w:ascii="Times New Roman" w:hAnsi="Times New Roman" w:eastAsia="宋体" w:cs="Times New Roman"/>
                <w:color w:val="auto"/>
                <w:highlight w:val="none"/>
                <w:lang w:eastAsia="zh-CN"/>
              </w:rPr>
            </w:pPr>
            <w:r>
              <w:rPr>
                <w:rFonts w:hint="eastAsia" w:cs="Times New Roman"/>
                <w:color w:val="auto"/>
                <w:highlight w:val="none"/>
                <w:lang w:val="en-US" w:eastAsia="zh-CN"/>
              </w:rPr>
              <w:t>综上所述，</w:t>
            </w:r>
            <w:r>
              <w:rPr>
                <w:rFonts w:hint="default" w:ascii="Times New Roman" w:hAnsi="Times New Roman" w:cs="Times New Roman"/>
                <w:color w:val="auto"/>
                <w:highlight w:val="none"/>
                <w:lang w:val="en-US" w:eastAsia="zh-CN"/>
              </w:rPr>
              <w:t>颗粒物无组织排放量为</w:t>
            </w:r>
            <w:r>
              <w:rPr>
                <w:rFonts w:hint="eastAsia" w:cs="Times New Roman"/>
                <w:color w:val="auto"/>
                <w:highlight w:val="none"/>
                <w:lang w:val="en-US" w:eastAsia="zh-CN"/>
              </w:rPr>
              <w:t>1.897</w:t>
            </w:r>
            <w:r>
              <w:rPr>
                <w:rFonts w:hint="default" w:ascii="Times New Roman" w:hAnsi="Times New Roman" w:cs="Times New Roman"/>
                <w:color w:val="auto"/>
                <w:highlight w:val="none"/>
                <w:lang w:val="en-US" w:eastAsia="zh-CN"/>
              </w:rPr>
              <w:t>t/a，</w:t>
            </w:r>
            <w:r>
              <w:rPr>
                <w:rFonts w:hint="eastAsia" w:cs="Times New Roman"/>
                <w:color w:val="auto"/>
                <w:highlight w:val="none"/>
                <w:lang w:val="en-US" w:eastAsia="zh-CN"/>
              </w:rPr>
              <w:t>氨</w:t>
            </w:r>
            <w:r>
              <w:rPr>
                <w:rFonts w:hint="eastAsia" w:ascii="Times New Roman" w:hAnsi="Times New Roman" w:eastAsia="宋体" w:cs="Times New Roman"/>
                <w:b w:val="0"/>
                <w:i w:val="0"/>
                <w:color w:val="auto"/>
                <w:kern w:val="0"/>
                <w:sz w:val="21"/>
                <w:szCs w:val="21"/>
                <w:highlight w:val="none"/>
                <w:lang w:val="en-US" w:eastAsia="zh-CN"/>
              </w:rPr>
              <w:t>无组织排放</w:t>
            </w:r>
            <w:r>
              <w:rPr>
                <w:rFonts w:hint="default" w:ascii="Times New Roman" w:hAnsi="Times New Roman" w:eastAsia="宋体" w:cs="Times New Roman"/>
                <w:b w:val="0"/>
                <w:i w:val="0"/>
                <w:color w:val="auto"/>
                <w:kern w:val="0"/>
                <w:sz w:val="21"/>
                <w:szCs w:val="21"/>
                <w:highlight w:val="none"/>
                <w:lang w:eastAsia="en-US"/>
              </w:rPr>
              <w:t>量</w:t>
            </w:r>
            <w:r>
              <w:rPr>
                <w:rFonts w:hint="eastAsia" w:cs="Times New Roman"/>
                <w:b w:val="0"/>
                <w:bCs w:val="0"/>
                <w:color w:val="auto"/>
                <w:sz w:val="21"/>
                <w:szCs w:val="18"/>
                <w:highlight w:val="none"/>
                <w:lang w:val="en-US" w:eastAsia="zh-CN"/>
              </w:rPr>
              <w:t>为0.575t/a</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年工作时间7200h，颗粒物无组织排放速率0.</w:t>
            </w:r>
            <w:r>
              <w:rPr>
                <w:rFonts w:hint="eastAsia" w:cs="Times New Roman"/>
                <w:color w:val="auto"/>
                <w:highlight w:val="none"/>
                <w:lang w:val="en-US" w:eastAsia="zh-CN"/>
              </w:rPr>
              <w:t>263</w:t>
            </w:r>
            <w:r>
              <w:rPr>
                <w:rFonts w:hint="default" w:ascii="Times New Roman" w:hAnsi="Times New Roman" w:cs="Times New Roman"/>
                <w:color w:val="auto"/>
                <w:highlight w:val="none"/>
                <w:lang w:val="en-US" w:eastAsia="zh-CN"/>
              </w:rPr>
              <w:t>kg/h</w:t>
            </w:r>
            <w:r>
              <w:rPr>
                <w:rFonts w:hint="eastAsia" w:cs="Times New Roman"/>
                <w:color w:val="auto"/>
                <w:highlight w:val="none"/>
                <w:lang w:val="en-US" w:eastAsia="zh-CN"/>
              </w:rPr>
              <w:t>，氨</w:t>
            </w:r>
            <w:r>
              <w:rPr>
                <w:rFonts w:hint="default" w:ascii="Times New Roman" w:hAnsi="Times New Roman" w:cs="Times New Roman"/>
                <w:color w:val="auto"/>
                <w:highlight w:val="none"/>
                <w:lang w:val="en-US" w:eastAsia="zh-CN"/>
              </w:rPr>
              <w:t>无组织排放速率0.</w:t>
            </w:r>
            <w:r>
              <w:rPr>
                <w:rFonts w:hint="eastAsia" w:cs="Times New Roman"/>
                <w:color w:val="auto"/>
                <w:highlight w:val="none"/>
                <w:lang w:val="en-US" w:eastAsia="zh-CN"/>
              </w:rPr>
              <w:t>08</w:t>
            </w:r>
            <w:r>
              <w:rPr>
                <w:rFonts w:hint="default" w:ascii="Times New Roman" w:hAnsi="Times New Roman" w:cs="Times New Roman"/>
                <w:color w:val="auto"/>
                <w:highlight w:val="none"/>
                <w:lang w:val="en-US" w:eastAsia="zh-CN"/>
              </w:rPr>
              <w:t>kg/h</w:t>
            </w:r>
            <w:r>
              <w:rPr>
                <w:rFonts w:hint="default" w:ascii="Times New Roman" w:hAnsi="Times New Roman" w:eastAsia="宋体" w:cs="Times New Roman"/>
                <w:color w:val="auto"/>
                <w:sz w:val="21"/>
                <w:szCs w:val="21"/>
                <w:highlight w:val="none"/>
                <w:lang w:val="en-US" w:eastAsia="zh-CN"/>
              </w:rPr>
              <w:t>。</w:t>
            </w:r>
          </w:p>
          <w:p w14:paraId="7B928103">
            <w:pPr>
              <w:pStyle w:val="381"/>
              <w:ind w:firstLine="422"/>
              <w:rPr>
                <w:rFonts w:hint="default" w:ascii="Times New Roman" w:hAnsi="Times New Roman" w:cs="Times New Roman"/>
                <w:b/>
                <w:bCs/>
                <w:color w:val="auto"/>
                <w:sz w:val="21"/>
                <w:highlight w:val="none"/>
              </w:rPr>
            </w:pPr>
            <w:r>
              <w:rPr>
                <w:rFonts w:hint="eastAsia" w:cs="Times New Roman"/>
                <w:b/>
                <w:bCs/>
                <w:color w:val="auto"/>
                <w:sz w:val="21"/>
                <w:highlight w:val="none"/>
                <w:lang w:val="en-US" w:eastAsia="zh-CN"/>
              </w:rPr>
              <w:t>3</w:t>
            </w:r>
            <w:r>
              <w:rPr>
                <w:rFonts w:hint="default" w:ascii="Times New Roman" w:hAnsi="Times New Roman" w:cs="Times New Roman"/>
                <w:b/>
                <w:bCs/>
                <w:color w:val="auto"/>
                <w:sz w:val="21"/>
                <w:highlight w:val="none"/>
                <w:lang w:val="en-US"/>
              </w:rPr>
              <w:t>、污染治理设施的可行性分析</w:t>
            </w:r>
          </w:p>
          <w:p w14:paraId="1B25029D">
            <w:pPr>
              <w:pStyle w:val="80"/>
              <w:spacing w:after="0" w:line="360" w:lineRule="auto"/>
              <w:ind w:left="0" w:leftChars="0"/>
              <w:rPr>
                <w:rFonts w:hint="default" w:ascii="Times New Roman" w:hAnsi="Times New Roman" w:cs="Times New Roman"/>
                <w:color w:val="auto"/>
                <w:sz w:val="21"/>
                <w:szCs w:val="21"/>
                <w:highlight w:val="none"/>
              </w:rPr>
            </w:pPr>
            <w:r>
              <w:rPr>
                <w:rFonts w:hint="eastAsia" w:ascii="Times New Roman" w:hAnsi="Times New Roman" w:cs="Times New Roman"/>
                <w:snapToGrid w:val="0"/>
                <w:color w:val="auto"/>
                <w:kern w:val="0"/>
                <w:sz w:val="21"/>
                <w:szCs w:val="21"/>
                <w:highlight w:val="none"/>
                <w:lang w:val="en-US" w:eastAsia="zh-CN"/>
              </w:rPr>
              <w:t>1</w:t>
            </w:r>
            <w:r>
              <w:rPr>
                <w:rFonts w:hint="default" w:ascii="Times New Roman" w:hAnsi="Times New Roman" w:cs="Times New Roman"/>
                <w:snapToGrid w:val="0"/>
                <w:color w:val="auto"/>
                <w:kern w:val="0"/>
                <w:sz w:val="21"/>
                <w:szCs w:val="21"/>
                <w:highlight w:val="none"/>
              </w:rPr>
              <w:t>）</w:t>
            </w:r>
            <w:r>
              <w:rPr>
                <w:rFonts w:hint="eastAsia" w:ascii="Times New Roman" w:hAnsi="Times New Roman" w:cs="Times New Roman"/>
                <w:snapToGrid w:val="0"/>
                <w:color w:val="auto"/>
                <w:kern w:val="0"/>
                <w:sz w:val="21"/>
                <w:szCs w:val="21"/>
                <w:highlight w:val="none"/>
                <w:lang w:val="en-US" w:eastAsia="zh-CN"/>
              </w:rPr>
              <w:t>DA001排气筒</w:t>
            </w:r>
            <w:r>
              <w:rPr>
                <w:rFonts w:hint="default" w:ascii="Times New Roman" w:hAnsi="Times New Roman" w:cs="Times New Roman"/>
                <w:color w:val="auto"/>
                <w:sz w:val="21"/>
                <w:szCs w:val="21"/>
                <w:highlight w:val="none"/>
              </w:rPr>
              <w:t>废气排放量核算：</w:t>
            </w:r>
          </w:p>
          <w:p w14:paraId="11FEFAD9">
            <w:pPr>
              <w:pStyle w:val="80"/>
              <w:spacing w:after="0" w:line="360" w:lineRule="auto"/>
              <w:ind w:left="0" w:leftChars="0"/>
              <w:rPr>
                <w:rFonts w:hint="eastAsia" w:cs="Times New Roman"/>
                <w:bCs/>
                <w:color w:val="auto"/>
                <w:sz w:val="21"/>
                <w:szCs w:val="21"/>
                <w:highlight w:val="none"/>
                <w:lang w:eastAsia="zh-CN"/>
              </w:rPr>
            </w:pPr>
            <w:r>
              <w:rPr>
                <w:rFonts w:hint="eastAsia" w:cs="Times New Roman"/>
                <w:bCs/>
                <w:color w:val="auto"/>
                <w:sz w:val="21"/>
                <w:szCs w:val="21"/>
                <w:highlight w:val="none"/>
                <w:lang w:val="en-US" w:eastAsia="zh-CN"/>
              </w:rPr>
              <w:t>天然气燃烧废气（烟尘、SO</w:t>
            </w:r>
            <w:r>
              <w:rPr>
                <w:rFonts w:hint="eastAsia" w:cs="Times New Roman"/>
                <w:bCs/>
                <w:color w:val="auto"/>
                <w:sz w:val="21"/>
                <w:szCs w:val="21"/>
                <w:highlight w:val="none"/>
                <w:vertAlign w:val="subscript"/>
                <w:lang w:val="en-US" w:eastAsia="zh-CN"/>
              </w:rPr>
              <w:t>2</w:t>
            </w:r>
            <w:r>
              <w:rPr>
                <w:rFonts w:hint="eastAsia" w:cs="Times New Roman"/>
                <w:bCs/>
                <w:color w:val="auto"/>
                <w:sz w:val="21"/>
                <w:szCs w:val="21"/>
                <w:highlight w:val="none"/>
                <w:lang w:val="en-US" w:eastAsia="zh-CN"/>
              </w:rPr>
              <w:t>、NOx）、造粒工序、和烘干工序产生的粉尘、氨气、臭气浓度</w:t>
            </w:r>
            <w:r>
              <w:rPr>
                <w:rFonts w:hint="default" w:ascii="Times New Roman" w:hAnsi="Times New Roman" w:cs="Times New Roman"/>
                <w:bCs/>
                <w:color w:val="auto"/>
                <w:sz w:val="21"/>
                <w:szCs w:val="21"/>
                <w:highlight w:val="none"/>
                <w:lang w:eastAsia="zh-CN"/>
              </w:rPr>
              <w:t>经</w:t>
            </w:r>
            <w:r>
              <w:rPr>
                <w:rFonts w:hint="eastAsia" w:cs="Times New Roman"/>
                <w:bCs/>
                <w:color w:val="auto"/>
                <w:sz w:val="21"/>
                <w:szCs w:val="21"/>
                <w:highlight w:val="none"/>
                <w:lang w:val="en-US" w:eastAsia="zh-CN"/>
              </w:rPr>
              <w:t>布袋除尘器+水喷淋</w:t>
            </w:r>
            <w:r>
              <w:rPr>
                <w:rFonts w:hint="default" w:ascii="Times New Roman" w:hAnsi="Times New Roman" w:cs="Times New Roman"/>
                <w:bCs/>
                <w:color w:val="auto"/>
                <w:sz w:val="21"/>
                <w:szCs w:val="21"/>
                <w:highlight w:val="none"/>
                <w:lang w:val="en-US" w:eastAsia="zh-CN"/>
              </w:rPr>
              <w:t>处理</w:t>
            </w:r>
            <w:r>
              <w:rPr>
                <w:rFonts w:hint="default" w:ascii="Times New Roman" w:hAnsi="Times New Roman" w:cs="Times New Roman"/>
                <w:bCs/>
                <w:color w:val="auto"/>
                <w:sz w:val="21"/>
                <w:szCs w:val="21"/>
                <w:highlight w:val="none"/>
              </w:rPr>
              <w:t>后由</w:t>
            </w:r>
            <w:r>
              <w:rPr>
                <w:rFonts w:hint="eastAsia" w:cs="Times New Roman"/>
                <w:bCs/>
                <w:color w:val="auto"/>
                <w:sz w:val="21"/>
                <w:szCs w:val="21"/>
                <w:highlight w:val="none"/>
                <w:lang w:eastAsia="zh-CN"/>
              </w:rPr>
              <w:t>同一根15m高DA00</w:t>
            </w:r>
            <w:r>
              <w:rPr>
                <w:rFonts w:hint="eastAsia" w:cs="Times New Roman"/>
                <w:bCs/>
                <w:color w:val="auto"/>
                <w:sz w:val="21"/>
                <w:szCs w:val="21"/>
                <w:highlight w:val="none"/>
                <w:lang w:val="en-US" w:eastAsia="zh-CN"/>
              </w:rPr>
              <w:t>1</w:t>
            </w:r>
            <w:r>
              <w:rPr>
                <w:rFonts w:hint="eastAsia" w:cs="Times New Roman"/>
                <w:bCs/>
                <w:color w:val="auto"/>
                <w:sz w:val="21"/>
                <w:szCs w:val="21"/>
                <w:highlight w:val="none"/>
                <w:lang w:eastAsia="zh-CN"/>
              </w:rPr>
              <w:t>排气筒有组织排放。</w:t>
            </w:r>
          </w:p>
          <w:p w14:paraId="1EA2CA0F">
            <w:pPr>
              <w:pStyle w:val="80"/>
              <w:spacing w:after="0" w:line="360" w:lineRule="auto"/>
              <w:ind w:left="0" w:leftChars="0"/>
              <w:rPr>
                <w:rFonts w:hint="default" w:ascii="Times New Roman" w:hAnsi="Times New Roman" w:cs="Times New Roman"/>
                <w:snapToGrid w:val="0"/>
                <w:color w:val="auto"/>
                <w:kern w:val="0"/>
                <w:sz w:val="21"/>
                <w:szCs w:val="21"/>
                <w:highlight w:val="none"/>
              </w:rPr>
            </w:pPr>
            <w:r>
              <w:rPr>
                <w:rFonts w:hint="eastAsia"/>
                <w:sz w:val="21"/>
                <w:szCs w:val="21"/>
                <w:highlight w:val="none"/>
                <w:lang w:val="en-US" w:eastAsia="zh-CN"/>
              </w:rPr>
              <w:t>造粒工序设置集气罩，</w:t>
            </w:r>
            <w:r>
              <w:rPr>
                <w:rFonts w:hint="default" w:ascii="Times New Roman" w:hAnsi="Times New Roman" w:cs="Times New Roman"/>
                <w:color w:val="auto"/>
                <w:sz w:val="21"/>
                <w:szCs w:val="21"/>
                <w:highlight w:val="none"/>
              </w:rPr>
              <w:t>集气罩排风量：根据《环境工程设计手册》（主编：魏先勋）中有关集气罩排风量的计算公式，结合</w:t>
            </w:r>
            <w:r>
              <w:rPr>
                <w:rFonts w:hint="eastAsia" w:cs="Times New Roman"/>
                <w:color w:val="auto"/>
                <w:sz w:val="21"/>
                <w:szCs w:val="21"/>
                <w:highlight w:val="none"/>
                <w:lang w:eastAsia="zh-CN"/>
              </w:rPr>
              <w:t>一期项目</w:t>
            </w:r>
            <w:r>
              <w:rPr>
                <w:rFonts w:hint="default" w:ascii="Times New Roman" w:hAnsi="Times New Roman" w:cs="Times New Roman"/>
                <w:color w:val="auto"/>
                <w:sz w:val="21"/>
                <w:szCs w:val="21"/>
                <w:highlight w:val="none"/>
              </w:rPr>
              <w:t>拟建设有边集气罩，</w:t>
            </w:r>
            <w:r>
              <w:rPr>
                <w:rFonts w:hint="eastAsia" w:cs="Times New Roman"/>
                <w:color w:val="auto"/>
                <w:sz w:val="21"/>
                <w:szCs w:val="21"/>
                <w:highlight w:val="none"/>
                <w:lang w:eastAsia="zh-CN"/>
              </w:rPr>
              <w:t>一期项目</w:t>
            </w:r>
            <w:r>
              <w:rPr>
                <w:rFonts w:hint="default" w:ascii="Times New Roman" w:hAnsi="Times New Roman" w:cs="Times New Roman"/>
                <w:color w:val="auto"/>
                <w:sz w:val="21"/>
                <w:szCs w:val="21"/>
                <w:highlight w:val="none"/>
              </w:rPr>
              <w:t>集气罩所需的排风量L（m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/h）计算公式如下。</w:t>
            </w:r>
          </w:p>
          <w:p w14:paraId="783E8395">
            <w:pPr>
              <w:pStyle w:val="1389"/>
              <w:ind w:firstLine="4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L=3600×0.75×（10X</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+A）×Vx</w:t>
            </w:r>
          </w:p>
          <w:p w14:paraId="1544B7C6">
            <w:pPr>
              <w:pStyle w:val="1389"/>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式中：L——集气罩的排风量，m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w:t>
            </w:r>
          </w:p>
          <w:p w14:paraId="32492D3C">
            <w:pPr>
              <w:pStyle w:val="1389"/>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X——污染物产生点至罩口的距离，m。</w:t>
            </w:r>
            <w:r>
              <w:rPr>
                <w:rFonts w:hint="eastAsia" w:cs="Times New Roman"/>
                <w:color w:val="auto"/>
                <w:sz w:val="21"/>
                <w:szCs w:val="21"/>
                <w:highlight w:val="none"/>
                <w:lang w:eastAsia="zh-CN"/>
              </w:rPr>
              <w:t>一期项目</w:t>
            </w:r>
            <w:r>
              <w:rPr>
                <w:rFonts w:hint="default" w:ascii="Times New Roman" w:hAnsi="Times New Roman" w:cs="Times New Roman"/>
                <w:color w:val="auto"/>
                <w:sz w:val="21"/>
                <w:szCs w:val="21"/>
                <w:highlight w:val="none"/>
              </w:rPr>
              <w:t>取0.</w:t>
            </w:r>
            <w:r>
              <w:rPr>
                <w:rFonts w:hint="eastAsia"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m；</w:t>
            </w:r>
          </w:p>
          <w:p w14:paraId="3CDC44B6">
            <w:pPr>
              <w:pStyle w:val="1389"/>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A——罩口面积，m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w:t>
            </w:r>
          </w:p>
          <w:p w14:paraId="12E5A802">
            <w:pPr>
              <w:pStyle w:val="1389"/>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Vx——最小控制风速，m/s。集气罩废气风速按照最低风速0.3m/s计算。</w:t>
            </w:r>
          </w:p>
          <w:p w14:paraId="261578AE">
            <w:pPr>
              <w:pStyle w:val="1389"/>
              <w:ind w:firstLine="422"/>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表4-</w:t>
            </w:r>
            <w:r>
              <w:rPr>
                <w:rFonts w:hint="eastAsia" w:ascii="Times New Roman" w:hAnsi="Times New Roman" w:cs="Times New Roman"/>
                <w:b/>
                <w:bCs/>
                <w:color w:val="auto"/>
                <w:sz w:val="21"/>
                <w:szCs w:val="21"/>
                <w:highlight w:val="none"/>
                <w:lang w:val="en-US" w:eastAsia="zh-CN"/>
              </w:rPr>
              <w:t>1</w:t>
            </w:r>
            <w:r>
              <w:rPr>
                <w:rFonts w:hint="eastAsia" w:cs="Times New Roman"/>
                <w:b/>
                <w:bCs/>
                <w:color w:val="auto"/>
                <w:sz w:val="21"/>
                <w:szCs w:val="21"/>
                <w:highlight w:val="none"/>
                <w:lang w:val="en-US" w:eastAsia="zh-CN"/>
              </w:rPr>
              <w:t>2</w:t>
            </w:r>
            <w:r>
              <w:rPr>
                <w:rFonts w:hint="default" w:ascii="Times New Roman" w:hAnsi="Times New Roman" w:cs="Times New Roman"/>
                <w:b/>
                <w:bCs/>
                <w:color w:val="auto"/>
                <w:sz w:val="21"/>
                <w:szCs w:val="21"/>
                <w:highlight w:val="none"/>
              </w:rPr>
              <w:t xml:space="preserve"> </w:t>
            </w:r>
            <w:r>
              <w:rPr>
                <w:rFonts w:hint="default" w:ascii="Times New Roman" w:hAnsi="Times New Roman" w:cs="Times New Roman"/>
                <w:b/>
                <w:bCs/>
                <w:color w:val="auto"/>
                <w:sz w:val="21"/>
                <w:szCs w:val="21"/>
                <w:highlight w:val="none"/>
                <w:lang w:val="en-US" w:eastAsia="zh-CN"/>
              </w:rPr>
              <w:t>DA001排气筒</w:t>
            </w:r>
            <w:r>
              <w:rPr>
                <w:rFonts w:hint="default" w:ascii="Times New Roman" w:hAnsi="Times New Roman" w:cs="Times New Roman"/>
                <w:b/>
                <w:bCs/>
                <w:color w:val="auto"/>
                <w:sz w:val="21"/>
                <w:szCs w:val="21"/>
                <w:highlight w:val="none"/>
              </w:rPr>
              <w:t>布袋除尘器</w:t>
            </w:r>
            <w:r>
              <w:rPr>
                <w:rFonts w:hint="default" w:ascii="Times New Roman" w:hAnsi="Times New Roman" w:cs="Times New Roman"/>
                <w:b/>
                <w:bCs/>
                <w:color w:val="auto"/>
                <w:sz w:val="21"/>
                <w:szCs w:val="21"/>
                <w:highlight w:val="none"/>
                <w:lang w:val="en-US" w:eastAsia="zh-CN"/>
              </w:rPr>
              <w:t>+水喷淋</w:t>
            </w:r>
            <w:r>
              <w:rPr>
                <w:rFonts w:hint="default" w:ascii="Times New Roman" w:hAnsi="Times New Roman" w:cs="Times New Roman"/>
                <w:b/>
                <w:bCs/>
                <w:color w:val="auto"/>
                <w:sz w:val="21"/>
                <w:szCs w:val="21"/>
                <w:highlight w:val="none"/>
              </w:rPr>
              <w:t>废气收集风量核算</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653"/>
              <w:gridCol w:w="709"/>
              <w:gridCol w:w="850"/>
              <w:gridCol w:w="993"/>
              <w:gridCol w:w="708"/>
              <w:gridCol w:w="709"/>
              <w:gridCol w:w="851"/>
              <w:gridCol w:w="555"/>
              <w:gridCol w:w="1004"/>
            </w:tblGrid>
            <w:tr w14:paraId="60605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653" w:type="dxa"/>
                  <w:noWrap w:val="0"/>
                  <w:vAlign w:val="center"/>
                </w:tcPr>
                <w:p w14:paraId="5C1E4CA8">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设备</w:t>
                  </w:r>
                </w:p>
              </w:tc>
              <w:tc>
                <w:tcPr>
                  <w:tcW w:w="709" w:type="dxa"/>
                  <w:noWrap w:val="0"/>
                  <w:vAlign w:val="center"/>
                </w:tcPr>
                <w:p w14:paraId="40CD31DA">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工作班制</w:t>
                  </w:r>
                </w:p>
              </w:tc>
              <w:tc>
                <w:tcPr>
                  <w:tcW w:w="850" w:type="dxa"/>
                  <w:noWrap w:val="0"/>
                  <w:vAlign w:val="center"/>
                </w:tcPr>
                <w:p w14:paraId="2124759A">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距离m</w:t>
                  </w:r>
                </w:p>
              </w:tc>
              <w:tc>
                <w:tcPr>
                  <w:tcW w:w="993" w:type="dxa"/>
                  <w:noWrap w:val="0"/>
                  <w:vAlign w:val="center"/>
                </w:tcPr>
                <w:p w14:paraId="02257B5E">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集气罩长度m</w:t>
                  </w:r>
                </w:p>
              </w:tc>
              <w:tc>
                <w:tcPr>
                  <w:tcW w:w="708" w:type="dxa"/>
                  <w:noWrap w:val="0"/>
                  <w:vAlign w:val="center"/>
                </w:tcPr>
                <w:p w14:paraId="71FFE783">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集气罩面积m</w:t>
                  </w:r>
                  <w:r>
                    <w:rPr>
                      <w:rFonts w:hint="default" w:ascii="Times New Roman" w:hAnsi="Times New Roman" w:cs="Times New Roman"/>
                      <w:color w:val="auto"/>
                      <w:sz w:val="18"/>
                      <w:szCs w:val="18"/>
                      <w:highlight w:val="none"/>
                      <w:vertAlign w:val="superscript"/>
                    </w:rPr>
                    <w:t>2</w:t>
                  </w:r>
                </w:p>
              </w:tc>
              <w:tc>
                <w:tcPr>
                  <w:tcW w:w="709" w:type="dxa"/>
                  <w:noWrap w:val="0"/>
                  <w:vAlign w:val="center"/>
                </w:tcPr>
                <w:p w14:paraId="320FAB93">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风速</w:t>
                  </w:r>
                </w:p>
                <w:p w14:paraId="78D91FD6">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m/s</w:t>
                  </w:r>
                </w:p>
              </w:tc>
              <w:tc>
                <w:tcPr>
                  <w:tcW w:w="851" w:type="dxa"/>
                  <w:noWrap w:val="0"/>
                  <w:vAlign w:val="center"/>
                </w:tcPr>
                <w:p w14:paraId="701086CD">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单集气罩风量m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/h</w:t>
                  </w:r>
                </w:p>
              </w:tc>
              <w:tc>
                <w:tcPr>
                  <w:tcW w:w="555" w:type="dxa"/>
                  <w:noWrap w:val="0"/>
                  <w:vAlign w:val="center"/>
                </w:tcPr>
                <w:p w14:paraId="539444DC">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数量</w:t>
                  </w:r>
                </w:p>
                <w:p w14:paraId="013419D1">
                  <w:pPr>
                    <w:jc w:val="center"/>
                    <w:rPr>
                      <w:rFonts w:hint="eastAsia"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台</w:t>
                  </w:r>
                </w:p>
              </w:tc>
              <w:tc>
                <w:tcPr>
                  <w:tcW w:w="1004" w:type="dxa"/>
                  <w:noWrap w:val="0"/>
                  <w:vAlign w:val="center"/>
                </w:tcPr>
                <w:p w14:paraId="64FBF4EB">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总风量</w:t>
                  </w:r>
                </w:p>
                <w:p w14:paraId="2BDEAE6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/h</w:t>
                  </w:r>
                </w:p>
              </w:tc>
            </w:tr>
            <w:tr w14:paraId="02AC9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653" w:type="dxa"/>
                  <w:noWrap w:val="0"/>
                  <w:vAlign w:val="center"/>
                </w:tcPr>
                <w:p w14:paraId="0A721E2A">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kern w:val="2"/>
                      <w:sz w:val="18"/>
                      <w:szCs w:val="18"/>
                      <w:highlight w:val="none"/>
                      <w:lang w:val="en-US" w:eastAsia="zh-CN" w:bidi="ar-SA"/>
                    </w:rPr>
                    <w:t>造粒工序</w:t>
                  </w:r>
                </w:p>
              </w:tc>
              <w:tc>
                <w:tcPr>
                  <w:tcW w:w="709" w:type="dxa"/>
                  <w:noWrap w:val="0"/>
                  <w:vAlign w:val="center"/>
                </w:tcPr>
                <w:p w14:paraId="16558301">
                  <w:pPr>
                    <w:pStyle w:val="200"/>
                    <w:spacing w:before="24" w:after="24"/>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三班倒</w:t>
                  </w:r>
                </w:p>
              </w:tc>
              <w:tc>
                <w:tcPr>
                  <w:tcW w:w="850" w:type="dxa"/>
                  <w:noWrap w:val="0"/>
                  <w:vAlign w:val="center"/>
                </w:tcPr>
                <w:p w14:paraId="1B60DD0C">
                  <w:pPr>
                    <w:pStyle w:val="200"/>
                    <w:spacing w:before="24" w:after="24"/>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0.</w:t>
                  </w:r>
                  <w:r>
                    <w:rPr>
                      <w:rFonts w:hint="eastAsia" w:ascii="Times New Roman" w:hAnsi="Times New Roman" w:cs="Times New Roman"/>
                      <w:color w:val="auto"/>
                      <w:sz w:val="18"/>
                      <w:szCs w:val="18"/>
                      <w:highlight w:val="none"/>
                      <w:lang w:val="en-US" w:eastAsia="zh-CN"/>
                    </w:rPr>
                    <w:t>2</w:t>
                  </w:r>
                </w:p>
              </w:tc>
              <w:tc>
                <w:tcPr>
                  <w:tcW w:w="993" w:type="dxa"/>
                  <w:noWrap w:val="0"/>
                  <w:vAlign w:val="center"/>
                </w:tcPr>
                <w:p w14:paraId="7869C721">
                  <w:pPr>
                    <w:pStyle w:val="200"/>
                    <w:spacing w:before="24" w:after="24"/>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0.3</w:t>
                  </w:r>
                  <w:r>
                    <w:rPr>
                      <w:rFonts w:hint="default" w:ascii="Times New Roman" w:hAnsi="Times New Roman" w:cs="Times New Roman"/>
                      <w:color w:val="auto"/>
                      <w:sz w:val="18"/>
                      <w:szCs w:val="18"/>
                      <w:highlight w:val="none"/>
                    </w:rPr>
                    <w:t>×</w:t>
                  </w:r>
                  <w:r>
                    <w:rPr>
                      <w:rFonts w:hint="eastAsia" w:ascii="Times New Roman" w:hAnsi="Times New Roman" w:cs="Times New Roman"/>
                      <w:color w:val="auto"/>
                      <w:sz w:val="18"/>
                      <w:szCs w:val="18"/>
                      <w:highlight w:val="none"/>
                      <w:lang w:val="en-US" w:eastAsia="zh-CN"/>
                    </w:rPr>
                    <w:t>0.</w:t>
                  </w:r>
                  <w:r>
                    <w:rPr>
                      <w:rFonts w:hint="eastAsia" w:ascii="Times New Roman" w:cs="Times New Roman"/>
                      <w:color w:val="auto"/>
                      <w:sz w:val="18"/>
                      <w:szCs w:val="18"/>
                      <w:highlight w:val="none"/>
                      <w:lang w:val="en-US" w:eastAsia="zh-CN"/>
                    </w:rPr>
                    <w:t>2</w:t>
                  </w:r>
                </w:p>
              </w:tc>
              <w:tc>
                <w:tcPr>
                  <w:tcW w:w="708" w:type="dxa"/>
                  <w:noWrap w:val="0"/>
                  <w:vAlign w:val="center"/>
                </w:tcPr>
                <w:p w14:paraId="13082CFF">
                  <w:pPr>
                    <w:pStyle w:val="200"/>
                    <w:spacing w:before="24" w:after="24"/>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0.0</w:t>
                  </w:r>
                  <w:r>
                    <w:rPr>
                      <w:rFonts w:hint="eastAsia" w:ascii="Times New Roman" w:cs="Times New Roman"/>
                      <w:color w:val="auto"/>
                      <w:sz w:val="18"/>
                      <w:szCs w:val="18"/>
                      <w:highlight w:val="none"/>
                      <w:lang w:val="en-US" w:eastAsia="zh-CN"/>
                    </w:rPr>
                    <w:t>6</w:t>
                  </w:r>
                </w:p>
              </w:tc>
              <w:tc>
                <w:tcPr>
                  <w:tcW w:w="709" w:type="dxa"/>
                  <w:noWrap w:val="0"/>
                  <w:vAlign w:val="center"/>
                </w:tcPr>
                <w:p w14:paraId="2DD070F1">
                  <w:pPr>
                    <w:pStyle w:val="200"/>
                    <w:spacing w:before="24" w:after="24"/>
                    <w:rPr>
                      <w:rFonts w:hint="default" w:ascii="Times New Roman" w:hAnsi="Times New Roman"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rPr>
                    <w:t>0.3</w:t>
                  </w:r>
                </w:p>
              </w:tc>
              <w:tc>
                <w:tcPr>
                  <w:tcW w:w="851" w:type="dxa"/>
                  <w:noWrap w:val="0"/>
                  <w:vAlign w:val="center"/>
                </w:tcPr>
                <w:p w14:paraId="5B84480A">
                  <w:pPr>
                    <w:pStyle w:val="200"/>
                    <w:spacing w:before="24" w:after="24"/>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3</w:t>
                  </w:r>
                  <w:r>
                    <w:rPr>
                      <w:rFonts w:hint="eastAsia" w:ascii="Times New Roman" w:cs="Times New Roman"/>
                      <w:color w:val="auto"/>
                      <w:kern w:val="0"/>
                      <w:sz w:val="18"/>
                      <w:szCs w:val="18"/>
                      <w:highlight w:val="none"/>
                      <w:lang w:val="en-US" w:eastAsia="zh-CN" w:bidi="ar-SA"/>
                    </w:rPr>
                    <w:t>72.6</w:t>
                  </w:r>
                </w:p>
              </w:tc>
              <w:tc>
                <w:tcPr>
                  <w:tcW w:w="555" w:type="dxa"/>
                  <w:noWrap w:val="0"/>
                  <w:vAlign w:val="center"/>
                </w:tcPr>
                <w:p w14:paraId="31F22A00">
                  <w:pPr>
                    <w:pStyle w:val="200"/>
                    <w:spacing w:before="24" w:after="24"/>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1</w:t>
                  </w:r>
                  <w:r>
                    <w:rPr>
                      <w:rFonts w:hint="eastAsia" w:ascii="Times New Roman" w:cs="Times New Roman"/>
                      <w:color w:val="auto"/>
                      <w:sz w:val="18"/>
                      <w:szCs w:val="18"/>
                      <w:highlight w:val="none"/>
                      <w:lang w:val="en-US" w:eastAsia="zh-CN"/>
                    </w:rPr>
                    <w:t>2</w:t>
                  </w:r>
                  <w:r>
                    <w:rPr>
                      <w:rFonts w:hint="eastAsia" w:ascii="Times New Roman" w:hAnsi="Times New Roman" w:cs="Times New Roman"/>
                      <w:color w:val="auto"/>
                      <w:sz w:val="18"/>
                      <w:szCs w:val="18"/>
                      <w:highlight w:val="none"/>
                      <w:lang w:val="en-US" w:eastAsia="zh-CN"/>
                    </w:rPr>
                    <w:t>（最多同时工作）</w:t>
                  </w:r>
                </w:p>
              </w:tc>
              <w:tc>
                <w:tcPr>
                  <w:tcW w:w="1004" w:type="dxa"/>
                  <w:noWrap w:val="0"/>
                  <w:vAlign w:val="center"/>
                </w:tcPr>
                <w:p w14:paraId="6A309761">
                  <w:pPr>
                    <w:pStyle w:val="200"/>
                    <w:spacing w:before="24" w:after="24"/>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cs="Times New Roman"/>
                      <w:color w:val="auto"/>
                      <w:kern w:val="0"/>
                      <w:sz w:val="18"/>
                      <w:szCs w:val="18"/>
                      <w:highlight w:val="none"/>
                      <w:lang w:val="en-US" w:eastAsia="zh-CN" w:bidi="ar-SA"/>
                    </w:rPr>
                    <w:t>4471.2</w:t>
                  </w:r>
                </w:p>
              </w:tc>
            </w:tr>
          </w:tbl>
          <w:p w14:paraId="5410959C">
            <w:pPr>
              <w:pStyle w:val="80"/>
              <w:spacing w:after="0" w:line="360" w:lineRule="auto"/>
              <w:ind w:left="0" w:leftChars="0"/>
              <w:rPr>
                <w:snapToGrid w:val="0"/>
                <w:color w:val="auto"/>
                <w:kern w:val="0"/>
                <w:sz w:val="21"/>
                <w:szCs w:val="21"/>
                <w:highlight w:val="none"/>
              </w:rPr>
            </w:pPr>
            <w:r>
              <w:rPr>
                <w:rFonts w:hint="eastAsia"/>
                <w:color w:val="auto"/>
                <w:sz w:val="21"/>
                <w:szCs w:val="21"/>
                <w:highlight w:val="none"/>
              </w:rPr>
              <w:t>内部密闭</w:t>
            </w:r>
            <w:r>
              <w:rPr>
                <w:color w:val="auto"/>
                <w:sz w:val="21"/>
                <w:szCs w:val="21"/>
                <w:highlight w:val="none"/>
              </w:rPr>
              <w:t>罩排风量：根据《环境工程设计手册》（主编：魏先勋）中</w:t>
            </w:r>
            <w:r>
              <w:rPr>
                <w:rFonts w:hint="eastAsia"/>
                <w:color w:val="auto"/>
                <w:sz w:val="21"/>
                <w:szCs w:val="21"/>
                <w:highlight w:val="none"/>
              </w:rPr>
              <w:t>内部密闭罩排风量</w:t>
            </w:r>
            <w:r>
              <w:rPr>
                <w:color w:val="auto"/>
                <w:sz w:val="21"/>
                <w:szCs w:val="21"/>
                <w:highlight w:val="none"/>
              </w:rPr>
              <w:t>计算公式如下。</w:t>
            </w:r>
          </w:p>
          <w:p w14:paraId="17E041D7">
            <w:pPr>
              <w:pStyle w:val="1389"/>
              <w:ind w:firstLine="420"/>
              <w:jc w:val="center"/>
              <w:rPr>
                <w:color w:val="auto"/>
                <w:sz w:val="21"/>
                <w:szCs w:val="21"/>
                <w:highlight w:val="none"/>
              </w:rPr>
            </w:pPr>
            <w:r>
              <w:rPr>
                <w:color w:val="auto"/>
                <w:sz w:val="21"/>
                <w:szCs w:val="21"/>
                <w:highlight w:val="none"/>
              </w:rPr>
              <w:t>L=</w:t>
            </w:r>
            <w:r>
              <w:rPr>
                <w:rFonts w:hint="eastAsia"/>
                <w:color w:val="auto"/>
                <w:sz w:val="21"/>
                <w:szCs w:val="21"/>
                <w:highlight w:val="none"/>
              </w:rPr>
              <w:t>L</w:t>
            </w:r>
            <w:r>
              <w:rPr>
                <w:rFonts w:hint="eastAsia"/>
                <w:color w:val="auto"/>
                <w:sz w:val="21"/>
                <w:szCs w:val="21"/>
                <w:highlight w:val="none"/>
                <w:vertAlign w:val="subscript"/>
              </w:rPr>
              <w:t>1</w:t>
            </w:r>
            <w:r>
              <w:rPr>
                <w:rFonts w:hint="eastAsia"/>
                <w:color w:val="auto"/>
                <w:sz w:val="21"/>
                <w:szCs w:val="21"/>
                <w:highlight w:val="none"/>
              </w:rPr>
              <w:t>+VF</w:t>
            </w:r>
          </w:p>
          <w:p w14:paraId="4355A851">
            <w:pPr>
              <w:pStyle w:val="1389"/>
              <w:ind w:firstLine="420"/>
              <w:rPr>
                <w:color w:val="auto"/>
                <w:sz w:val="21"/>
                <w:szCs w:val="21"/>
                <w:highlight w:val="none"/>
              </w:rPr>
            </w:pPr>
            <w:r>
              <w:rPr>
                <w:color w:val="auto"/>
                <w:sz w:val="21"/>
                <w:szCs w:val="21"/>
                <w:highlight w:val="none"/>
              </w:rPr>
              <w:t>式中：L——集气罩的排风量，m</w:t>
            </w:r>
            <w:r>
              <w:rPr>
                <w:color w:val="auto"/>
                <w:sz w:val="21"/>
                <w:szCs w:val="21"/>
                <w:highlight w:val="none"/>
                <w:vertAlign w:val="superscript"/>
              </w:rPr>
              <w:t>3</w:t>
            </w:r>
            <w:r>
              <w:rPr>
                <w:color w:val="auto"/>
                <w:sz w:val="21"/>
                <w:szCs w:val="21"/>
                <w:highlight w:val="none"/>
              </w:rPr>
              <w:t>/h；</w:t>
            </w:r>
          </w:p>
          <w:p w14:paraId="7E283773">
            <w:pPr>
              <w:pStyle w:val="1389"/>
              <w:ind w:firstLine="1050" w:firstLineChars="500"/>
              <w:rPr>
                <w:color w:val="auto"/>
                <w:sz w:val="21"/>
                <w:szCs w:val="21"/>
                <w:highlight w:val="none"/>
              </w:rPr>
            </w:pPr>
            <w:r>
              <w:rPr>
                <w:rFonts w:hint="eastAsia"/>
                <w:color w:val="auto"/>
                <w:sz w:val="21"/>
                <w:szCs w:val="21"/>
                <w:highlight w:val="none"/>
              </w:rPr>
              <w:t>L</w:t>
            </w:r>
            <w:r>
              <w:rPr>
                <w:rFonts w:hint="eastAsia"/>
                <w:color w:val="auto"/>
                <w:sz w:val="21"/>
                <w:szCs w:val="21"/>
                <w:highlight w:val="none"/>
                <w:vertAlign w:val="subscript"/>
              </w:rPr>
              <w:t>1</w:t>
            </w:r>
            <w:r>
              <w:rPr>
                <w:color w:val="auto"/>
                <w:sz w:val="21"/>
                <w:szCs w:val="21"/>
                <w:highlight w:val="none"/>
              </w:rPr>
              <w:t>——</w:t>
            </w:r>
            <w:r>
              <w:rPr>
                <w:rFonts w:hint="eastAsia"/>
                <w:color w:val="auto"/>
                <w:sz w:val="21"/>
                <w:szCs w:val="21"/>
                <w:highlight w:val="none"/>
              </w:rPr>
              <w:t>物料或者工艺设备带入罩内的空气量，m</w:t>
            </w:r>
            <w:r>
              <w:rPr>
                <w:rFonts w:hint="eastAsia"/>
                <w:color w:val="auto"/>
                <w:sz w:val="21"/>
                <w:szCs w:val="21"/>
                <w:highlight w:val="none"/>
                <w:vertAlign w:val="superscript"/>
              </w:rPr>
              <w:t>3</w:t>
            </w:r>
            <w:r>
              <w:rPr>
                <w:rFonts w:hint="eastAsia"/>
                <w:color w:val="auto"/>
                <w:sz w:val="21"/>
                <w:szCs w:val="21"/>
                <w:highlight w:val="none"/>
              </w:rPr>
              <w:t>/s</w:t>
            </w:r>
            <w:r>
              <w:rPr>
                <w:color w:val="auto"/>
                <w:sz w:val="21"/>
                <w:szCs w:val="21"/>
                <w:highlight w:val="none"/>
              </w:rPr>
              <w:t>；</w:t>
            </w:r>
          </w:p>
          <w:p w14:paraId="1249C5E2">
            <w:pPr>
              <w:pStyle w:val="1389"/>
              <w:ind w:firstLine="1050" w:firstLineChars="500"/>
              <w:rPr>
                <w:color w:val="auto"/>
                <w:sz w:val="21"/>
                <w:szCs w:val="21"/>
                <w:highlight w:val="none"/>
              </w:rPr>
            </w:pPr>
            <w:r>
              <w:rPr>
                <w:rFonts w:hint="eastAsia"/>
                <w:color w:val="auto"/>
                <w:sz w:val="21"/>
                <w:szCs w:val="21"/>
                <w:highlight w:val="none"/>
              </w:rPr>
              <w:t>F</w:t>
            </w:r>
            <w:r>
              <w:rPr>
                <w:color w:val="auto"/>
                <w:sz w:val="21"/>
                <w:szCs w:val="21"/>
                <w:highlight w:val="none"/>
              </w:rPr>
              <w:t>——</w:t>
            </w:r>
            <w:r>
              <w:rPr>
                <w:rFonts w:hint="eastAsia"/>
                <w:color w:val="auto"/>
                <w:sz w:val="21"/>
                <w:szCs w:val="21"/>
                <w:highlight w:val="none"/>
              </w:rPr>
              <w:t>工作孔口和总缝隙面积</w:t>
            </w:r>
            <w:r>
              <w:rPr>
                <w:color w:val="auto"/>
                <w:sz w:val="21"/>
                <w:szCs w:val="21"/>
                <w:highlight w:val="none"/>
              </w:rPr>
              <w:t>，m</w:t>
            </w:r>
            <w:r>
              <w:rPr>
                <w:color w:val="auto"/>
                <w:sz w:val="21"/>
                <w:szCs w:val="21"/>
                <w:highlight w:val="none"/>
                <w:vertAlign w:val="superscript"/>
              </w:rPr>
              <w:t>2</w:t>
            </w:r>
            <w:r>
              <w:rPr>
                <w:color w:val="auto"/>
                <w:sz w:val="21"/>
                <w:szCs w:val="21"/>
                <w:highlight w:val="none"/>
              </w:rPr>
              <w:t>；</w:t>
            </w:r>
          </w:p>
          <w:p w14:paraId="336B8584">
            <w:pPr>
              <w:pStyle w:val="1389"/>
              <w:ind w:firstLine="1050" w:firstLineChars="500"/>
              <w:rPr>
                <w:color w:val="auto"/>
                <w:sz w:val="21"/>
                <w:szCs w:val="21"/>
                <w:highlight w:val="none"/>
              </w:rPr>
            </w:pPr>
            <w:r>
              <w:rPr>
                <w:color w:val="auto"/>
                <w:sz w:val="21"/>
                <w:szCs w:val="21"/>
                <w:highlight w:val="none"/>
              </w:rPr>
              <w:t>V——</w:t>
            </w:r>
            <w:r>
              <w:rPr>
                <w:rFonts w:hint="eastAsia"/>
                <w:color w:val="auto"/>
                <w:sz w:val="21"/>
                <w:szCs w:val="21"/>
                <w:highlight w:val="none"/>
              </w:rPr>
              <w:t>工作孔口和缝隙上吸入气流速，m/s；为防止把过多的物料吸入通风系统，粉状物料抽风口上流速应≤0.7m/s</w:t>
            </w:r>
            <w:r>
              <w:rPr>
                <w:color w:val="auto"/>
                <w:sz w:val="21"/>
                <w:szCs w:val="21"/>
                <w:highlight w:val="none"/>
              </w:rPr>
              <w:t>。</w:t>
            </w:r>
          </w:p>
          <w:p w14:paraId="0D2A0BFB">
            <w:pPr>
              <w:pStyle w:val="1389"/>
              <w:ind w:firstLine="422"/>
              <w:jc w:val="center"/>
              <w:rPr>
                <w:b/>
                <w:bCs/>
                <w:color w:val="auto"/>
                <w:sz w:val="21"/>
                <w:szCs w:val="21"/>
                <w:highlight w:val="none"/>
              </w:rPr>
            </w:pPr>
            <w:r>
              <w:rPr>
                <w:b/>
                <w:bCs/>
                <w:color w:val="auto"/>
                <w:sz w:val="21"/>
                <w:szCs w:val="21"/>
                <w:highlight w:val="none"/>
              </w:rPr>
              <w:t>表4-</w:t>
            </w:r>
            <w:r>
              <w:rPr>
                <w:rFonts w:hint="eastAsia"/>
                <w:b/>
                <w:bCs/>
                <w:color w:val="auto"/>
                <w:sz w:val="21"/>
                <w:szCs w:val="21"/>
                <w:highlight w:val="none"/>
              </w:rPr>
              <w:t>1</w:t>
            </w:r>
            <w:r>
              <w:rPr>
                <w:rFonts w:hint="eastAsia"/>
                <w:b/>
                <w:bCs/>
                <w:color w:val="auto"/>
                <w:sz w:val="21"/>
                <w:szCs w:val="21"/>
                <w:highlight w:val="none"/>
                <w:lang w:val="en-US" w:eastAsia="zh-CN"/>
              </w:rPr>
              <w:t>3烘干机</w:t>
            </w:r>
            <w:r>
              <w:rPr>
                <w:b/>
                <w:bCs/>
                <w:color w:val="auto"/>
                <w:sz w:val="21"/>
                <w:szCs w:val="21"/>
                <w:highlight w:val="none"/>
              </w:rPr>
              <w:t>废气收集风量核算</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03"/>
              <w:gridCol w:w="1421"/>
              <w:gridCol w:w="905"/>
              <w:gridCol w:w="1252"/>
              <w:gridCol w:w="905"/>
              <w:gridCol w:w="1000"/>
              <w:gridCol w:w="938"/>
              <w:gridCol w:w="1048"/>
            </w:tblGrid>
            <w:tr w14:paraId="32CFA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39" w:type="pct"/>
                  <w:noWrap w:val="0"/>
                  <w:vAlign w:val="center"/>
                </w:tcPr>
                <w:p w14:paraId="018F84B0">
                  <w:pPr>
                    <w:pStyle w:val="200"/>
                    <w:spacing w:before="24" w:after="24"/>
                    <w:rPr>
                      <w:rFonts w:ascii="Times New Roman"/>
                      <w:color w:val="auto"/>
                      <w:sz w:val="18"/>
                      <w:szCs w:val="18"/>
                      <w:highlight w:val="none"/>
                    </w:rPr>
                  </w:pPr>
                  <w:r>
                    <w:rPr>
                      <w:rFonts w:ascii="Times New Roman"/>
                      <w:color w:val="auto"/>
                      <w:sz w:val="18"/>
                      <w:szCs w:val="18"/>
                      <w:highlight w:val="none"/>
                    </w:rPr>
                    <w:t>设备</w:t>
                  </w:r>
                </w:p>
              </w:tc>
              <w:tc>
                <w:tcPr>
                  <w:tcW w:w="848" w:type="pct"/>
                  <w:noWrap w:val="0"/>
                  <w:vAlign w:val="center"/>
                </w:tcPr>
                <w:p w14:paraId="76C39CE8">
                  <w:pPr>
                    <w:pStyle w:val="200"/>
                    <w:spacing w:before="24" w:after="24"/>
                    <w:rPr>
                      <w:rFonts w:ascii="Times New Roman"/>
                      <w:color w:val="auto"/>
                      <w:sz w:val="18"/>
                      <w:szCs w:val="18"/>
                      <w:highlight w:val="none"/>
                    </w:rPr>
                  </w:pPr>
                  <w:r>
                    <w:rPr>
                      <w:rFonts w:hint="eastAsia" w:ascii="Times New Roman"/>
                      <w:color w:val="auto"/>
                      <w:sz w:val="18"/>
                      <w:szCs w:val="16"/>
                      <w:highlight w:val="none"/>
                    </w:rPr>
                    <w:t>物料或者工艺设备带入罩内的空气量，m</w:t>
                  </w:r>
                  <w:r>
                    <w:rPr>
                      <w:rFonts w:hint="eastAsia" w:ascii="Times New Roman"/>
                      <w:color w:val="auto"/>
                      <w:sz w:val="18"/>
                      <w:szCs w:val="16"/>
                      <w:highlight w:val="none"/>
                      <w:vertAlign w:val="superscript"/>
                    </w:rPr>
                    <w:t>3</w:t>
                  </w:r>
                  <w:r>
                    <w:rPr>
                      <w:rFonts w:hint="eastAsia" w:ascii="Times New Roman"/>
                      <w:color w:val="auto"/>
                      <w:sz w:val="18"/>
                      <w:szCs w:val="16"/>
                      <w:highlight w:val="none"/>
                    </w:rPr>
                    <w:t>/s</w:t>
                  </w:r>
                </w:p>
              </w:tc>
              <w:tc>
                <w:tcPr>
                  <w:tcW w:w="540" w:type="pct"/>
                  <w:noWrap w:val="0"/>
                  <w:vAlign w:val="center"/>
                </w:tcPr>
                <w:p w14:paraId="223E3E17">
                  <w:pPr>
                    <w:pStyle w:val="200"/>
                    <w:spacing w:before="24" w:after="24"/>
                    <w:rPr>
                      <w:rFonts w:ascii="Times New Roman"/>
                      <w:color w:val="auto"/>
                      <w:sz w:val="18"/>
                      <w:szCs w:val="18"/>
                      <w:highlight w:val="none"/>
                    </w:rPr>
                  </w:pPr>
                  <w:r>
                    <w:rPr>
                      <w:rFonts w:hint="eastAsia" w:ascii="Times New Roman"/>
                      <w:color w:val="auto"/>
                      <w:sz w:val="18"/>
                      <w:szCs w:val="18"/>
                      <w:highlight w:val="none"/>
                    </w:rPr>
                    <w:t>总缝隙面积</w:t>
                  </w:r>
                  <w:r>
                    <w:rPr>
                      <w:rFonts w:ascii="Times New Roman"/>
                      <w:color w:val="auto"/>
                      <w:sz w:val="18"/>
                      <w:szCs w:val="18"/>
                      <w:highlight w:val="none"/>
                    </w:rPr>
                    <w:t>，m</w:t>
                  </w:r>
                  <w:r>
                    <w:rPr>
                      <w:rFonts w:ascii="Times New Roman"/>
                      <w:color w:val="auto"/>
                      <w:sz w:val="18"/>
                      <w:szCs w:val="18"/>
                      <w:highlight w:val="none"/>
                      <w:vertAlign w:val="superscript"/>
                    </w:rPr>
                    <w:t>2</w:t>
                  </w:r>
                </w:p>
              </w:tc>
              <w:tc>
                <w:tcPr>
                  <w:tcW w:w="747" w:type="pct"/>
                  <w:noWrap w:val="0"/>
                  <w:vAlign w:val="center"/>
                </w:tcPr>
                <w:p w14:paraId="5EF1EDC2">
                  <w:pPr>
                    <w:pStyle w:val="200"/>
                    <w:spacing w:before="24" w:after="24"/>
                    <w:rPr>
                      <w:rFonts w:ascii="Times New Roman"/>
                      <w:color w:val="auto"/>
                      <w:sz w:val="18"/>
                      <w:szCs w:val="18"/>
                      <w:highlight w:val="none"/>
                    </w:rPr>
                  </w:pPr>
                  <w:r>
                    <w:rPr>
                      <w:rFonts w:ascii="Times New Roman"/>
                      <w:color w:val="auto"/>
                      <w:sz w:val="18"/>
                      <w:szCs w:val="18"/>
                      <w:highlight w:val="none"/>
                    </w:rPr>
                    <w:t>工作孔口和缝隙上吸入气流速，m/s</w:t>
                  </w:r>
                </w:p>
              </w:tc>
              <w:tc>
                <w:tcPr>
                  <w:tcW w:w="540" w:type="pct"/>
                  <w:noWrap w:val="0"/>
                  <w:vAlign w:val="center"/>
                </w:tcPr>
                <w:p w14:paraId="2BE3EA39">
                  <w:pPr>
                    <w:pStyle w:val="200"/>
                    <w:spacing w:before="24" w:after="24"/>
                    <w:rPr>
                      <w:rFonts w:ascii="Times New Roman"/>
                      <w:color w:val="auto"/>
                      <w:sz w:val="18"/>
                      <w:szCs w:val="18"/>
                      <w:highlight w:val="none"/>
                    </w:rPr>
                  </w:pPr>
                  <w:r>
                    <w:rPr>
                      <w:rFonts w:hint="eastAsia" w:ascii="Times New Roman"/>
                      <w:color w:val="auto"/>
                      <w:sz w:val="18"/>
                      <w:szCs w:val="18"/>
                      <w:highlight w:val="none"/>
                    </w:rPr>
                    <w:t>单设备总风量（</w:t>
                  </w:r>
                  <w:r>
                    <w:rPr>
                      <w:rFonts w:hint="eastAsia" w:ascii="Times New Roman"/>
                      <w:color w:val="auto"/>
                      <w:sz w:val="18"/>
                      <w:szCs w:val="16"/>
                      <w:highlight w:val="none"/>
                    </w:rPr>
                    <w:t>m</w:t>
                  </w:r>
                  <w:r>
                    <w:rPr>
                      <w:rFonts w:hint="eastAsia" w:ascii="Times New Roman"/>
                      <w:color w:val="auto"/>
                      <w:sz w:val="18"/>
                      <w:szCs w:val="16"/>
                      <w:highlight w:val="none"/>
                      <w:vertAlign w:val="superscript"/>
                    </w:rPr>
                    <w:t>3</w:t>
                  </w:r>
                  <w:r>
                    <w:rPr>
                      <w:rFonts w:hint="eastAsia" w:ascii="Times New Roman"/>
                      <w:color w:val="auto"/>
                      <w:sz w:val="18"/>
                      <w:szCs w:val="16"/>
                      <w:highlight w:val="none"/>
                    </w:rPr>
                    <w:t>/s</w:t>
                  </w:r>
                  <w:r>
                    <w:rPr>
                      <w:rFonts w:hint="eastAsia" w:ascii="Times New Roman"/>
                      <w:color w:val="auto"/>
                      <w:sz w:val="18"/>
                      <w:szCs w:val="18"/>
                      <w:highlight w:val="none"/>
                    </w:rPr>
                    <w:t>）</w:t>
                  </w:r>
                </w:p>
              </w:tc>
              <w:tc>
                <w:tcPr>
                  <w:tcW w:w="597" w:type="pct"/>
                  <w:noWrap w:val="0"/>
                  <w:vAlign w:val="center"/>
                </w:tcPr>
                <w:p w14:paraId="22FEBF86">
                  <w:pPr>
                    <w:jc w:val="center"/>
                    <w:rPr>
                      <w:color w:val="auto"/>
                      <w:sz w:val="18"/>
                      <w:szCs w:val="18"/>
                      <w:highlight w:val="none"/>
                    </w:rPr>
                  </w:pPr>
                  <w:r>
                    <w:rPr>
                      <w:rFonts w:hint="eastAsia"/>
                      <w:color w:val="auto"/>
                      <w:sz w:val="18"/>
                      <w:szCs w:val="18"/>
                      <w:highlight w:val="none"/>
                    </w:rPr>
                    <w:t>设备数量（台）</w:t>
                  </w:r>
                </w:p>
              </w:tc>
              <w:tc>
                <w:tcPr>
                  <w:tcW w:w="560" w:type="pct"/>
                  <w:noWrap w:val="0"/>
                  <w:vAlign w:val="center"/>
                </w:tcPr>
                <w:p w14:paraId="378A3613">
                  <w:pPr>
                    <w:jc w:val="center"/>
                    <w:rPr>
                      <w:color w:val="auto"/>
                      <w:sz w:val="18"/>
                      <w:szCs w:val="18"/>
                      <w:highlight w:val="none"/>
                    </w:rPr>
                  </w:pPr>
                  <w:r>
                    <w:rPr>
                      <w:rFonts w:hint="eastAsia"/>
                      <w:color w:val="auto"/>
                      <w:sz w:val="18"/>
                      <w:szCs w:val="18"/>
                      <w:highlight w:val="none"/>
                    </w:rPr>
                    <w:t>总风机风量（</w:t>
                  </w:r>
                  <w:r>
                    <w:rPr>
                      <w:rFonts w:hint="eastAsia"/>
                      <w:color w:val="auto"/>
                      <w:sz w:val="18"/>
                      <w:szCs w:val="16"/>
                      <w:highlight w:val="none"/>
                    </w:rPr>
                    <w:t>m</w:t>
                  </w:r>
                  <w:r>
                    <w:rPr>
                      <w:rFonts w:hint="eastAsia"/>
                      <w:color w:val="auto"/>
                      <w:sz w:val="18"/>
                      <w:szCs w:val="16"/>
                      <w:highlight w:val="none"/>
                      <w:vertAlign w:val="superscript"/>
                    </w:rPr>
                    <w:t>3</w:t>
                  </w:r>
                  <w:r>
                    <w:rPr>
                      <w:rFonts w:hint="eastAsia"/>
                      <w:color w:val="auto"/>
                      <w:sz w:val="18"/>
                      <w:szCs w:val="16"/>
                      <w:highlight w:val="none"/>
                    </w:rPr>
                    <w:t>/s</w:t>
                  </w:r>
                  <w:r>
                    <w:rPr>
                      <w:rFonts w:hint="eastAsia"/>
                      <w:color w:val="auto"/>
                      <w:sz w:val="18"/>
                      <w:szCs w:val="18"/>
                      <w:highlight w:val="none"/>
                    </w:rPr>
                    <w:t>）</w:t>
                  </w:r>
                </w:p>
              </w:tc>
              <w:tc>
                <w:tcPr>
                  <w:tcW w:w="625" w:type="pct"/>
                  <w:noWrap w:val="0"/>
                  <w:vAlign w:val="center"/>
                </w:tcPr>
                <w:p w14:paraId="613476A7">
                  <w:pPr>
                    <w:pStyle w:val="200"/>
                    <w:spacing w:before="24" w:after="24"/>
                    <w:rPr>
                      <w:rFonts w:ascii="Times New Roman"/>
                      <w:color w:val="auto"/>
                      <w:sz w:val="18"/>
                      <w:szCs w:val="18"/>
                      <w:highlight w:val="none"/>
                    </w:rPr>
                  </w:pPr>
                  <w:r>
                    <w:rPr>
                      <w:rFonts w:ascii="Times New Roman"/>
                      <w:color w:val="auto"/>
                      <w:sz w:val="18"/>
                      <w:szCs w:val="18"/>
                      <w:highlight w:val="none"/>
                    </w:rPr>
                    <w:t>总风量</w:t>
                  </w:r>
                </w:p>
                <w:p w14:paraId="6E3D9349">
                  <w:pPr>
                    <w:jc w:val="center"/>
                    <w:rPr>
                      <w:color w:val="auto"/>
                      <w:sz w:val="18"/>
                      <w:szCs w:val="18"/>
                      <w:highlight w:val="none"/>
                    </w:rPr>
                  </w:pPr>
                  <w:r>
                    <w:rPr>
                      <w:color w:val="auto"/>
                      <w:sz w:val="18"/>
                      <w:szCs w:val="18"/>
                      <w:highlight w:val="none"/>
                    </w:rPr>
                    <w:t>m</w:t>
                  </w:r>
                  <w:r>
                    <w:rPr>
                      <w:color w:val="auto"/>
                      <w:sz w:val="18"/>
                      <w:szCs w:val="18"/>
                      <w:highlight w:val="none"/>
                      <w:vertAlign w:val="superscript"/>
                    </w:rPr>
                    <w:t>3</w:t>
                  </w:r>
                  <w:r>
                    <w:rPr>
                      <w:color w:val="auto"/>
                      <w:sz w:val="18"/>
                      <w:szCs w:val="18"/>
                      <w:highlight w:val="none"/>
                    </w:rPr>
                    <w:t>/h</w:t>
                  </w:r>
                </w:p>
              </w:tc>
            </w:tr>
            <w:tr w14:paraId="06A3C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39" w:type="pct"/>
                  <w:noWrap w:val="0"/>
                  <w:vAlign w:val="center"/>
                </w:tcPr>
                <w:p w14:paraId="1E1EE30E">
                  <w:pPr>
                    <w:pStyle w:val="200"/>
                    <w:spacing w:before="24" w:after="24"/>
                    <w:rPr>
                      <w:rFonts w:hint="eastAsia" w:eastAsia="宋体"/>
                      <w:color w:val="auto"/>
                      <w:sz w:val="18"/>
                      <w:szCs w:val="18"/>
                      <w:highlight w:val="none"/>
                      <w:lang w:eastAsia="zh-CN"/>
                    </w:rPr>
                  </w:pPr>
                  <w:r>
                    <w:rPr>
                      <w:rFonts w:hint="eastAsia"/>
                      <w:color w:val="auto"/>
                      <w:sz w:val="18"/>
                      <w:szCs w:val="18"/>
                      <w:highlight w:val="none"/>
                      <w:lang w:val="en-US" w:eastAsia="zh-CN"/>
                    </w:rPr>
                    <w:t>烘干</w:t>
                  </w:r>
                </w:p>
              </w:tc>
              <w:tc>
                <w:tcPr>
                  <w:tcW w:w="848" w:type="pct"/>
                  <w:noWrap w:val="0"/>
                  <w:vAlign w:val="center"/>
                </w:tcPr>
                <w:p w14:paraId="3DD12343">
                  <w:pPr>
                    <w:pStyle w:val="200"/>
                    <w:spacing w:before="24" w:after="24"/>
                    <w:rPr>
                      <w:rFonts w:hint="eastAsia" w:ascii="Times New Roman"/>
                      <w:color w:val="auto"/>
                      <w:sz w:val="18"/>
                      <w:szCs w:val="18"/>
                      <w:highlight w:val="none"/>
                    </w:rPr>
                  </w:pPr>
                  <w:r>
                    <w:rPr>
                      <w:rFonts w:hint="eastAsia" w:ascii="Times New Roman"/>
                      <w:color w:val="auto"/>
                      <w:sz w:val="18"/>
                      <w:szCs w:val="18"/>
                      <w:highlight w:val="none"/>
                    </w:rPr>
                    <w:t>0.3</w:t>
                  </w:r>
                </w:p>
              </w:tc>
              <w:tc>
                <w:tcPr>
                  <w:tcW w:w="540" w:type="pct"/>
                  <w:noWrap w:val="0"/>
                  <w:vAlign w:val="center"/>
                </w:tcPr>
                <w:p w14:paraId="3C7FAB8F">
                  <w:pPr>
                    <w:pStyle w:val="200"/>
                    <w:spacing w:before="24" w:after="24"/>
                    <w:rPr>
                      <w:rFonts w:hint="eastAsia" w:ascii="Times New Roman" w:eastAsia="宋体"/>
                      <w:color w:val="auto"/>
                      <w:sz w:val="18"/>
                      <w:szCs w:val="18"/>
                      <w:highlight w:val="none"/>
                      <w:lang w:eastAsia="zh-CN"/>
                    </w:rPr>
                  </w:pPr>
                  <w:r>
                    <w:rPr>
                      <w:rFonts w:hint="eastAsia" w:ascii="Times New Roman"/>
                      <w:color w:val="auto"/>
                      <w:sz w:val="18"/>
                      <w:szCs w:val="18"/>
                      <w:highlight w:val="none"/>
                    </w:rPr>
                    <w:t>0.</w:t>
                  </w:r>
                  <w:r>
                    <w:rPr>
                      <w:rFonts w:hint="eastAsia" w:ascii="Times New Roman"/>
                      <w:color w:val="auto"/>
                      <w:sz w:val="18"/>
                      <w:szCs w:val="18"/>
                      <w:highlight w:val="none"/>
                      <w:lang w:val="en-US" w:eastAsia="zh-CN"/>
                    </w:rPr>
                    <w:t>5</w:t>
                  </w:r>
                </w:p>
              </w:tc>
              <w:tc>
                <w:tcPr>
                  <w:tcW w:w="747" w:type="pct"/>
                  <w:noWrap w:val="0"/>
                  <w:vAlign w:val="center"/>
                </w:tcPr>
                <w:p w14:paraId="65E8F4D3">
                  <w:pPr>
                    <w:pStyle w:val="200"/>
                    <w:spacing w:before="24" w:after="24"/>
                    <w:rPr>
                      <w:rFonts w:ascii="Times New Roman"/>
                      <w:color w:val="auto"/>
                      <w:sz w:val="18"/>
                      <w:szCs w:val="18"/>
                      <w:highlight w:val="none"/>
                    </w:rPr>
                  </w:pPr>
                  <w:r>
                    <w:rPr>
                      <w:rFonts w:hint="eastAsia" w:ascii="Times New Roman"/>
                      <w:color w:val="auto"/>
                      <w:sz w:val="18"/>
                      <w:szCs w:val="18"/>
                      <w:highlight w:val="none"/>
                    </w:rPr>
                    <w:t>0.3</w:t>
                  </w:r>
                </w:p>
              </w:tc>
              <w:tc>
                <w:tcPr>
                  <w:tcW w:w="540" w:type="pct"/>
                  <w:noWrap w:val="0"/>
                  <w:vAlign w:val="center"/>
                </w:tcPr>
                <w:p w14:paraId="6E23FE7E">
                  <w:pPr>
                    <w:pStyle w:val="200"/>
                    <w:spacing w:before="24" w:after="24"/>
                    <w:rPr>
                      <w:rFonts w:hint="default" w:ascii="Times New Roman" w:eastAsia="宋体"/>
                      <w:color w:val="auto"/>
                      <w:sz w:val="18"/>
                      <w:szCs w:val="18"/>
                      <w:highlight w:val="none"/>
                      <w:lang w:val="en-US" w:eastAsia="zh-CN"/>
                    </w:rPr>
                  </w:pPr>
                  <w:r>
                    <w:rPr>
                      <w:rFonts w:hint="eastAsia" w:ascii="Times New Roman"/>
                      <w:color w:val="auto"/>
                      <w:sz w:val="18"/>
                      <w:szCs w:val="18"/>
                      <w:highlight w:val="none"/>
                    </w:rPr>
                    <w:t>0.</w:t>
                  </w:r>
                  <w:r>
                    <w:rPr>
                      <w:rFonts w:hint="eastAsia" w:ascii="Times New Roman"/>
                      <w:color w:val="auto"/>
                      <w:sz w:val="18"/>
                      <w:szCs w:val="18"/>
                      <w:highlight w:val="none"/>
                      <w:lang w:val="en-US" w:eastAsia="zh-CN"/>
                    </w:rPr>
                    <w:t>45</w:t>
                  </w:r>
                </w:p>
              </w:tc>
              <w:tc>
                <w:tcPr>
                  <w:tcW w:w="597" w:type="pct"/>
                  <w:noWrap w:val="0"/>
                  <w:vAlign w:val="center"/>
                </w:tcPr>
                <w:p w14:paraId="0DDC8511">
                  <w:pPr>
                    <w:pStyle w:val="200"/>
                    <w:spacing w:before="24" w:after="24"/>
                    <w:rPr>
                      <w:rFonts w:hint="eastAsia" w:ascii="Times New Roman" w:eastAsia="宋体"/>
                      <w:color w:val="auto"/>
                      <w:sz w:val="18"/>
                      <w:szCs w:val="18"/>
                      <w:highlight w:val="none"/>
                      <w:lang w:eastAsia="zh-CN"/>
                    </w:rPr>
                  </w:pPr>
                  <w:r>
                    <w:rPr>
                      <w:rFonts w:hint="eastAsia" w:ascii="Times New Roman"/>
                      <w:color w:val="auto"/>
                      <w:sz w:val="18"/>
                      <w:szCs w:val="18"/>
                      <w:highlight w:val="none"/>
                      <w:lang w:val="en-US" w:eastAsia="zh-CN"/>
                    </w:rPr>
                    <w:t>1</w:t>
                  </w:r>
                </w:p>
              </w:tc>
              <w:tc>
                <w:tcPr>
                  <w:tcW w:w="560" w:type="pct"/>
                  <w:noWrap w:val="0"/>
                  <w:vAlign w:val="center"/>
                </w:tcPr>
                <w:p w14:paraId="037D0150">
                  <w:pPr>
                    <w:pStyle w:val="200"/>
                    <w:spacing w:before="24" w:after="24"/>
                    <w:rPr>
                      <w:rFonts w:hint="default" w:ascii="Times New Roman" w:eastAsia="宋体"/>
                      <w:color w:val="auto"/>
                      <w:sz w:val="18"/>
                      <w:szCs w:val="18"/>
                      <w:highlight w:val="none"/>
                      <w:lang w:val="en-US" w:eastAsia="zh-CN"/>
                    </w:rPr>
                  </w:pPr>
                  <w:r>
                    <w:rPr>
                      <w:rFonts w:hint="eastAsia" w:ascii="Times New Roman" w:eastAsia="等线"/>
                      <w:color w:val="auto"/>
                      <w:sz w:val="18"/>
                      <w:szCs w:val="18"/>
                      <w:highlight w:val="none"/>
                      <w:lang w:val="en-US" w:eastAsia="zh-CN"/>
                    </w:rPr>
                    <w:t>0.45</w:t>
                  </w:r>
                </w:p>
              </w:tc>
              <w:tc>
                <w:tcPr>
                  <w:tcW w:w="625" w:type="pct"/>
                  <w:noWrap w:val="0"/>
                  <w:vAlign w:val="center"/>
                </w:tcPr>
                <w:p w14:paraId="7082B043">
                  <w:pPr>
                    <w:pStyle w:val="200"/>
                    <w:spacing w:before="24" w:after="24"/>
                    <w:rPr>
                      <w:rFonts w:hint="default" w:ascii="Times New Roman" w:eastAsia="宋体"/>
                      <w:color w:val="auto"/>
                      <w:sz w:val="18"/>
                      <w:szCs w:val="18"/>
                      <w:highlight w:val="none"/>
                      <w:lang w:val="en-US" w:eastAsia="zh-CN"/>
                    </w:rPr>
                  </w:pPr>
                  <w:r>
                    <w:rPr>
                      <w:rFonts w:hint="eastAsia" w:ascii="Times New Roman" w:eastAsia="等线"/>
                      <w:color w:val="auto"/>
                      <w:sz w:val="18"/>
                      <w:szCs w:val="18"/>
                      <w:highlight w:val="none"/>
                      <w:lang w:val="en-US" w:eastAsia="zh-CN"/>
                    </w:rPr>
                    <w:t>1620</w:t>
                  </w:r>
                </w:p>
              </w:tc>
            </w:tr>
          </w:tbl>
          <w:p w14:paraId="31E8B11F">
            <w:pPr>
              <w:pStyle w:val="80"/>
              <w:numPr>
                <w:ilvl w:val="0"/>
                <w:numId w:val="0"/>
              </w:numPr>
              <w:spacing w:after="0" w:line="360" w:lineRule="auto"/>
              <w:ind w:firstLine="420" w:firstLineChars="200"/>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经计算，</w:t>
            </w:r>
            <w:r>
              <w:rPr>
                <w:rFonts w:hint="eastAsia" w:cs="Times New Roman"/>
                <w:color w:val="auto"/>
                <w:sz w:val="21"/>
                <w:szCs w:val="21"/>
                <w:highlight w:val="none"/>
                <w:lang w:eastAsia="zh-CN"/>
              </w:rPr>
              <w:t>一期项目</w:t>
            </w:r>
            <w:r>
              <w:rPr>
                <w:rFonts w:hint="default" w:ascii="Times New Roman" w:hAnsi="Times New Roman" w:cs="Times New Roman"/>
                <w:color w:val="auto"/>
                <w:sz w:val="21"/>
                <w:szCs w:val="21"/>
                <w:highlight w:val="none"/>
                <w:lang w:val="en-US" w:eastAsia="zh-CN"/>
              </w:rPr>
              <w:t>DA001排气筒</w:t>
            </w:r>
            <w:r>
              <w:rPr>
                <w:rFonts w:hint="default" w:ascii="Times New Roman" w:hAnsi="Times New Roman" w:cs="Times New Roman"/>
                <w:color w:val="auto"/>
                <w:sz w:val="21"/>
                <w:szCs w:val="21"/>
                <w:highlight w:val="none"/>
              </w:rPr>
              <w:t>布袋除尘器</w:t>
            </w:r>
            <w:r>
              <w:rPr>
                <w:rFonts w:hint="eastAsia" w:ascii="Times New Roman" w:hAnsi="Times New Roman" w:cs="Times New Roman"/>
                <w:color w:val="auto"/>
                <w:sz w:val="21"/>
                <w:szCs w:val="21"/>
                <w:highlight w:val="none"/>
                <w:lang w:val="en-US" w:eastAsia="zh-CN"/>
              </w:rPr>
              <w:t>+水喷淋</w:t>
            </w:r>
            <w:r>
              <w:rPr>
                <w:rFonts w:hint="default" w:ascii="Times New Roman" w:hAnsi="Times New Roman" w:cs="Times New Roman"/>
                <w:color w:val="auto"/>
                <w:sz w:val="21"/>
                <w:szCs w:val="21"/>
                <w:highlight w:val="none"/>
              </w:rPr>
              <w:t>配套风机风量</w:t>
            </w:r>
            <w:r>
              <w:rPr>
                <w:rFonts w:hint="eastAsia" w:cs="Times New Roman"/>
                <w:color w:val="auto"/>
                <w:sz w:val="21"/>
                <w:szCs w:val="21"/>
                <w:highlight w:val="none"/>
                <w:lang w:val="en-US" w:eastAsia="zh-CN"/>
              </w:rPr>
              <w:t>6500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可满足</w:t>
            </w:r>
            <w:r>
              <w:rPr>
                <w:rFonts w:hint="eastAsia" w:ascii="Times New Roman" w:hAnsi="Times New Roman" w:cs="Times New Roman"/>
                <w:color w:val="auto"/>
                <w:sz w:val="21"/>
                <w:szCs w:val="21"/>
                <w:highlight w:val="none"/>
                <w:lang w:val="en-US" w:eastAsia="zh-CN"/>
              </w:rPr>
              <w:t>风机风量</w:t>
            </w:r>
            <w:r>
              <w:rPr>
                <w:rFonts w:hint="default" w:ascii="Times New Roman" w:hAnsi="Times New Roman" w:cs="Times New Roman"/>
                <w:color w:val="auto"/>
                <w:sz w:val="21"/>
                <w:szCs w:val="21"/>
                <w:highlight w:val="none"/>
                <w:lang w:val="en-US" w:eastAsia="zh-CN"/>
              </w:rPr>
              <w:t>要求</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6091.2</w:t>
            </w:r>
            <w:r>
              <w:rPr>
                <w:rFonts w:hint="eastAsia" w:ascii="Times New Roman" w:hAnsi="Times New Roman" w:cs="Times New Roman"/>
                <w:color w:val="auto"/>
                <w:sz w:val="21"/>
                <w:szCs w:val="21"/>
                <w:highlight w:val="none"/>
                <w:lang w:val="en-US" w:eastAsia="zh-CN"/>
              </w:rPr>
              <w:t>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lang w:val="en-US" w:eastAsia="zh-CN"/>
              </w:rPr>
              <w:t>/h）。</w:t>
            </w:r>
          </w:p>
          <w:p w14:paraId="392170B1">
            <w:pPr>
              <w:pStyle w:val="80"/>
              <w:spacing w:after="0" w:line="360" w:lineRule="auto"/>
              <w:ind w:left="0" w:leftChars="0"/>
              <w:rPr>
                <w:rFonts w:hint="default" w:ascii="Times New Roman" w:hAnsi="Times New Roman" w:cs="Times New Roman"/>
                <w:color w:val="auto"/>
                <w:sz w:val="21"/>
                <w:szCs w:val="21"/>
                <w:highlight w:val="none"/>
              </w:rPr>
            </w:pPr>
            <w:r>
              <w:rPr>
                <w:rFonts w:hint="eastAsia" w:cs="Times New Roman"/>
                <w:snapToGrid w:val="0"/>
                <w:color w:val="auto"/>
                <w:kern w:val="0"/>
                <w:sz w:val="21"/>
                <w:szCs w:val="21"/>
                <w:highlight w:val="none"/>
                <w:lang w:val="en-US" w:eastAsia="zh-CN"/>
              </w:rPr>
              <w:t>2</w:t>
            </w:r>
            <w:r>
              <w:rPr>
                <w:rFonts w:hint="default" w:ascii="Times New Roman" w:hAnsi="Times New Roman" w:cs="Times New Roman"/>
                <w:snapToGrid w:val="0"/>
                <w:color w:val="auto"/>
                <w:kern w:val="0"/>
                <w:sz w:val="21"/>
                <w:szCs w:val="21"/>
                <w:highlight w:val="none"/>
              </w:rPr>
              <w:t>）</w:t>
            </w:r>
            <w:r>
              <w:rPr>
                <w:rFonts w:hint="eastAsia" w:ascii="Times New Roman" w:hAnsi="Times New Roman" w:cs="Times New Roman"/>
                <w:snapToGrid w:val="0"/>
                <w:color w:val="auto"/>
                <w:kern w:val="0"/>
                <w:sz w:val="21"/>
                <w:szCs w:val="21"/>
                <w:highlight w:val="none"/>
                <w:lang w:val="en-US" w:eastAsia="zh-CN"/>
              </w:rPr>
              <w:t>DA00</w:t>
            </w:r>
            <w:r>
              <w:rPr>
                <w:rFonts w:hint="eastAsia" w:cs="Times New Roman"/>
                <w:snapToGrid w:val="0"/>
                <w:color w:val="auto"/>
                <w:kern w:val="0"/>
                <w:sz w:val="21"/>
                <w:szCs w:val="21"/>
                <w:highlight w:val="none"/>
                <w:lang w:val="en-US" w:eastAsia="zh-CN"/>
              </w:rPr>
              <w:t>2</w:t>
            </w:r>
            <w:r>
              <w:rPr>
                <w:rFonts w:hint="eastAsia" w:ascii="Times New Roman" w:hAnsi="Times New Roman" w:cs="Times New Roman"/>
                <w:snapToGrid w:val="0"/>
                <w:color w:val="auto"/>
                <w:kern w:val="0"/>
                <w:sz w:val="21"/>
                <w:szCs w:val="21"/>
                <w:highlight w:val="none"/>
                <w:lang w:val="en-US" w:eastAsia="zh-CN"/>
              </w:rPr>
              <w:t>排气筒</w:t>
            </w:r>
            <w:r>
              <w:rPr>
                <w:rFonts w:hint="default" w:ascii="Times New Roman" w:hAnsi="Times New Roman" w:cs="Times New Roman"/>
                <w:color w:val="auto"/>
                <w:sz w:val="21"/>
                <w:szCs w:val="21"/>
                <w:highlight w:val="none"/>
              </w:rPr>
              <w:t>废气排放量核算：</w:t>
            </w:r>
          </w:p>
          <w:p w14:paraId="6DC04735">
            <w:pPr>
              <w:pStyle w:val="80"/>
              <w:spacing w:after="0" w:line="360" w:lineRule="auto"/>
              <w:ind w:left="0" w:leftChars="0"/>
              <w:rPr>
                <w:rFonts w:hint="eastAsia"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冷却、精筛、入仓、包膜、包装过程</w:t>
            </w:r>
            <w:r>
              <w:rPr>
                <w:rFonts w:hint="default" w:ascii="Times New Roman" w:hAnsi="Times New Roman" w:cs="Times New Roman"/>
                <w:color w:val="auto"/>
                <w:sz w:val="21"/>
                <w:szCs w:val="21"/>
                <w:highlight w:val="none"/>
                <w:lang w:eastAsia="zh-CN"/>
              </w:rPr>
              <w:t>产生的颗粒物经集气罩收集后经1套布袋除尘器处理后通过同一根15m高DA00</w:t>
            </w: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eastAsia="zh-CN"/>
              </w:rPr>
              <w:t>排气筒有组织排放</w:t>
            </w:r>
            <w:r>
              <w:rPr>
                <w:rFonts w:hint="eastAsia" w:cs="Times New Roman"/>
                <w:color w:val="auto"/>
                <w:sz w:val="21"/>
                <w:szCs w:val="21"/>
                <w:highlight w:val="none"/>
                <w:lang w:eastAsia="zh-CN"/>
              </w:rPr>
              <w:t>。</w:t>
            </w:r>
          </w:p>
          <w:p w14:paraId="4EA9D9B7">
            <w:pPr>
              <w:pStyle w:val="80"/>
              <w:spacing w:after="0" w:line="360" w:lineRule="auto"/>
              <w:ind w:left="0" w:leftChars="0"/>
              <w:rPr>
                <w:rFonts w:hint="default" w:ascii="Times New Roman" w:hAnsi="Times New Roman" w:cs="Times New Roman"/>
                <w:snapToGrid w:val="0"/>
                <w:color w:val="auto"/>
                <w:kern w:val="0"/>
                <w:sz w:val="21"/>
                <w:szCs w:val="21"/>
                <w:highlight w:val="none"/>
              </w:rPr>
            </w:pPr>
            <w:r>
              <w:rPr>
                <w:rFonts w:hint="default" w:ascii="Times New Roman" w:hAnsi="Times New Roman" w:cs="Times New Roman"/>
                <w:color w:val="auto"/>
                <w:sz w:val="21"/>
                <w:szCs w:val="21"/>
                <w:highlight w:val="none"/>
              </w:rPr>
              <w:t>集气罩排风量：根据《环境工程设计手册》（主编：魏先勋）中有关集气罩排风量的计算公式，结合</w:t>
            </w:r>
            <w:r>
              <w:rPr>
                <w:rFonts w:hint="eastAsia" w:cs="Times New Roman"/>
                <w:color w:val="auto"/>
                <w:sz w:val="21"/>
                <w:szCs w:val="21"/>
                <w:highlight w:val="none"/>
                <w:lang w:eastAsia="zh-CN"/>
              </w:rPr>
              <w:t>一期项目</w:t>
            </w:r>
            <w:r>
              <w:rPr>
                <w:rFonts w:hint="default" w:ascii="Times New Roman" w:hAnsi="Times New Roman" w:cs="Times New Roman"/>
                <w:color w:val="auto"/>
                <w:sz w:val="21"/>
                <w:szCs w:val="21"/>
                <w:highlight w:val="none"/>
              </w:rPr>
              <w:t>拟建设有边集气罩，</w:t>
            </w:r>
            <w:r>
              <w:rPr>
                <w:rFonts w:hint="eastAsia" w:cs="Times New Roman"/>
                <w:color w:val="auto"/>
                <w:sz w:val="21"/>
                <w:szCs w:val="21"/>
                <w:highlight w:val="none"/>
                <w:lang w:eastAsia="zh-CN"/>
              </w:rPr>
              <w:t>一期项目</w:t>
            </w:r>
            <w:r>
              <w:rPr>
                <w:rFonts w:hint="default" w:ascii="Times New Roman" w:hAnsi="Times New Roman" w:cs="Times New Roman"/>
                <w:color w:val="auto"/>
                <w:sz w:val="21"/>
                <w:szCs w:val="21"/>
                <w:highlight w:val="none"/>
              </w:rPr>
              <w:t>集气罩所需的排风量L（m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/h）计算公式如下。</w:t>
            </w:r>
          </w:p>
          <w:p w14:paraId="54B3CCE1">
            <w:pPr>
              <w:pStyle w:val="1389"/>
              <w:ind w:firstLine="4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L=3600×0.75×（10X</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+A）×Vx</w:t>
            </w:r>
          </w:p>
          <w:p w14:paraId="200CD0A2">
            <w:pPr>
              <w:pStyle w:val="1389"/>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式中：L——集气罩的排风量，m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w:t>
            </w:r>
          </w:p>
          <w:p w14:paraId="7037454F">
            <w:pPr>
              <w:pStyle w:val="1389"/>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X——污染物产生点至罩口的距离，m。</w:t>
            </w:r>
            <w:r>
              <w:rPr>
                <w:rFonts w:hint="eastAsia" w:cs="Times New Roman"/>
                <w:color w:val="auto"/>
                <w:sz w:val="21"/>
                <w:szCs w:val="21"/>
                <w:highlight w:val="none"/>
                <w:lang w:eastAsia="zh-CN"/>
              </w:rPr>
              <w:t>一期项目</w:t>
            </w:r>
            <w:r>
              <w:rPr>
                <w:rFonts w:hint="default" w:ascii="Times New Roman" w:hAnsi="Times New Roman" w:cs="Times New Roman"/>
                <w:color w:val="auto"/>
                <w:sz w:val="21"/>
                <w:szCs w:val="21"/>
                <w:highlight w:val="none"/>
              </w:rPr>
              <w:t>取0.</w:t>
            </w:r>
            <w:r>
              <w:rPr>
                <w:rFonts w:hint="eastAsia"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m；</w:t>
            </w:r>
          </w:p>
          <w:p w14:paraId="18A7EB54">
            <w:pPr>
              <w:pStyle w:val="1389"/>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A——罩口面积，m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w:t>
            </w:r>
          </w:p>
          <w:p w14:paraId="48110DD1">
            <w:pPr>
              <w:pStyle w:val="1389"/>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Vx——最小控制风速，m/s。集气罩废气风速按照最低风速0.3m/s计算。</w:t>
            </w:r>
          </w:p>
          <w:p w14:paraId="61D8A651">
            <w:pPr>
              <w:pStyle w:val="1389"/>
              <w:ind w:firstLine="422"/>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表4-</w:t>
            </w:r>
            <w:r>
              <w:rPr>
                <w:rFonts w:hint="eastAsia" w:ascii="Times New Roman" w:hAnsi="Times New Roman" w:cs="Times New Roman"/>
                <w:b/>
                <w:bCs/>
                <w:color w:val="auto"/>
                <w:sz w:val="21"/>
                <w:szCs w:val="21"/>
                <w:highlight w:val="none"/>
                <w:lang w:val="en-US" w:eastAsia="zh-CN"/>
              </w:rPr>
              <w:t>1</w:t>
            </w:r>
            <w:r>
              <w:rPr>
                <w:rFonts w:hint="eastAsia" w:cs="Times New Roman"/>
                <w:b/>
                <w:bCs/>
                <w:color w:val="auto"/>
                <w:sz w:val="21"/>
                <w:szCs w:val="21"/>
                <w:highlight w:val="none"/>
                <w:lang w:val="en-US" w:eastAsia="zh-CN"/>
              </w:rPr>
              <w:t>4</w:t>
            </w:r>
            <w:r>
              <w:rPr>
                <w:rFonts w:hint="default" w:ascii="Times New Roman" w:hAnsi="Times New Roman" w:cs="Times New Roman"/>
                <w:b/>
                <w:bCs/>
                <w:color w:val="auto"/>
                <w:sz w:val="21"/>
                <w:szCs w:val="21"/>
                <w:highlight w:val="none"/>
              </w:rPr>
              <w:t xml:space="preserve">  DA002排气筒布袋除尘器废气收集风量核算</w:t>
            </w:r>
          </w:p>
          <w:tbl>
            <w:tblPr>
              <w:tblStyle w:val="8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722"/>
              <w:gridCol w:w="738"/>
              <w:gridCol w:w="886"/>
              <w:gridCol w:w="1035"/>
              <w:gridCol w:w="737"/>
              <w:gridCol w:w="738"/>
              <w:gridCol w:w="886"/>
              <w:gridCol w:w="581"/>
              <w:gridCol w:w="1047"/>
            </w:tblGrid>
            <w:tr w14:paraId="4CA93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29" w:type="pct"/>
                  <w:noWrap w:val="0"/>
                  <w:vAlign w:val="center"/>
                </w:tcPr>
                <w:p w14:paraId="1465108E">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设备</w:t>
                  </w:r>
                </w:p>
              </w:tc>
              <w:tc>
                <w:tcPr>
                  <w:tcW w:w="441" w:type="pct"/>
                  <w:noWrap w:val="0"/>
                  <w:vAlign w:val="center"/>
                </w:tcPr>
                <w:p w14:paraId="77F1E810">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工作班制</w:t>
                  </w:r>
                </w:p>
              </w:tc>
              <w:tc>
                <w:tcPr>
                  <w:tcW w:w="529" w:type="pct"/>
                  <w:noWrap w:val="0"/>
                  <w:vAlign w:val="center"/>
                </w:tcPr>
                <w:p w14:paraId="4001EFA7">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距离m</w:t>
                  </w:r>
                </w:p>
              </w:tc>
              <w:tc>
                <w:tcPr>
                  <w:tcW w:w="618" w:type="pct"/>
                  <w:noWrap w:val="0"/>
                  <w:vAlign w:val="center"/>
                </w:tcPr>
                <w:p w14:paraId="483F7A60">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集气罩长度m</w:t>
                  </w:r>
                </w:p>
              </w:tc>
              <w:tc>
                <w:tcPr>
                  <w:tcW w:w="440" w:type="pct"/>
                  <w:noWrap w:val="0"/>
                  <w:vAlign w:val="center"/>
                </w:tcPr>
                <w:p w14:paraId="7DF16D7E">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集气罩面积m</w:t>
                  </w:r>
                  <w:r>
                    <w:rPr>
                      <w:rFonts w:hint="default" w:ascii="Times New Roman" w:hAnsi="Times New Roman" w:cs="Times New Roman"/>
                      <w:color w:val="auto"/>
                      <w:sz w:val="18"/>
                      <w:szCs w:val="18"/>
                      <w:highlight w:val="none"/>
                      <w:vertAlign w:val="superscript"/>
                    </w:rPr>
                    <w:t>2</w:t>
                  </w:r>
                </w:p>
              </w:tc>
              <w:tc>
                <w:tcPr>
                  <w:tcW w:w="441" w:type="pct"/>
                  <w:noWrap w:val="0"/>
                  <w:vAlign w:val="center"/>
                </w:tcPr>
                <w:p w14:paraId="360361FF">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风速</w:t>
                  </w:r>
                </w:p>
                <w:p w14:paraId="784151EF">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m/s</w:t>
                  </w:r>
                </w:p>
              </w:tc>
              <w:tc>
                <w:tcPr>
                  <w:tcW w:w="529" w:type="pct"/>
                  <w:noWrap w:val="0"/>
                  <w:vAlign w:val="center"/>
                </w:tcPr>
                <w:p w14:paraId="131C8100">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单集气罩风量m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/h</w:t>
                  </w:r>
                </w:p>
              </w:tc>
              <w:tc>
                <w:tcPr>
                  <w:tcW w:w="345" w:type="pct"/>
                  <w:noWrap w:val="0"/>
                  <w:vAlign w:val="center"/>
                </w:tcPr>
                <w:p w14:paraId="124D2B21">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数量</w:t>
                  </w:r>
                </w:p>
                <w:p w14:paraId="6768BFE2">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台</w:t>
                  </w:r>
                </w:p>
              </w:tc>
              <w:tc>
                <w:tcPr>
                  <w:tcW w:w="625" w:type="pct"/>
                  <w:noWrap w:val="0"/>
                  <w:vAlign w:val="center"/>
                </w:tcPr>
                <w:p w14:paraId="6C83A67D">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总风量</w:t>
                  </w:r>
                </w:p>
                <w:p w14:paraId="7ECCFB91">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/h</w:t>
                  </w:r>
                </w:p>
              </w:tc>
            </w:tr>
            <w:tr w14:paraId="49C83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29" w:type="pct"/>
                  <w:noWrap w:val="0"/>
                  <w:vAlign w:val="center"/>
                </w:tcPr>
                <w:p w14:paraId="4A2EAE83">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冷却机</w:t>
                  </w:r>
                </w:p>
              </w:tc>
              <w:tc>
                <w:tcPr>
                  <w:tcW w:w="441" w:type="pct"/>
                  <w:noWrap w:val="0"/>
                  <w:vAlign w:val="center"/>
                </w:tcPr>
                <w:p w14:paraId="1E54F5D5">
                  <w:pPr>
                    <w:pStyle w:val="200"/>
                    <w:spacing w:before="24" w:after="24"/>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三班倒</w:t>
                  </w:r>
                </w:p>
              </w:tc>
              <w:tc>
                <w:tcPr>
                  <w:tcW w:w="529" w:type="pct"/>
                  <w:noWrap w:val="0"/>
                  <w:vAlign w:val="center"/>
                </w:tcPr>
                <w:p w14:paraId="26447EE7">
                  <w:pPr>
                    <w:spacing w:before="24" w:after="24"/>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w:t>
                  </w:r>
                  <w:r>
                    <w:rPr>
                      <w:rFonts w:hint="eastAsia" w:ascii="Times New Roman" w:hAnsi="Times New Roman" w:cs="Times New Roman"/>
                      <w:color w:val="auto"/>
                      <w:sz w:val="18"/>
                      <w:szCs w:val="18"/>
                      <w:highlight w:val="none"/>
                      <w:lang w:val="en-US" w:eastAsia="zh-CN"/>
                    </w:rPr>
                    <w:t>3</w:t>
                  </w:r>
                </w:p>
              </w:tc>
              <w:tc>
                <w:tcPr>
                  <w:tcW w:w="618" w:type="pct"/>
                  <w:noWrap w:val="0"/>
                  <w:vAlign w:val="center"/>
                </w:tcPr>
                <w:p w14:paraId="0C32D96F">
                  <w:pPr>
                    <w:spacing w:before="24" w:after="24"/>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w:t>
                  </w:r>
                  <w:r>
                    <w:rPr>
                      <w:rFonts w:hint="eastAsia" w:ascii="Times New Roman" w:hAnsi="Times New Roman" w:cs="Times New Roman"/>
                      <w:color w:val="auto"/>
                      <w:sz w:val="18"/>
                      <w:szCs w:val="18"/>
                      <w:highlight w:val="none"/>
                      <w:lang w:val="en-US" w:eastAsia="zh-CN"/>
                    </w:rPr>
                    <w:t>2</w:t>
                  </w:r>
                </w:p>
              </w:tc>
              <w:tc>
                <w:tcPr>
                  <w:tcW w:w="440" w:type="pct"/>
                  <w:noWrap w:val="0"/>
                  <w:vAlign w:val="center"/>
                </w:tcPr>
                <w:p w14:paraId="78F9C88E">
                  <w:pPr>
                    <w:spacing w:before="24" w:after="24"/>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4</w:t>
                  </w:r>
                </w:p>
              </w:tc>
              <w:tc>
                <w:tcPr>
                  <w:tcW w:w="441" w:type="pct"/>
                  <w:noWrap w:val="0"/>
                  <w:vAlign w:val="center"/>
                </w:tcPr>
                <w:p w14:paraId="2D13256A">
                  <w:pPr>
                    <w:pStyle w:val="200"/>
                    <w:spacing w:before="24" w:after="24"/>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0.3</w:t>
                  </w:r>
                </w:p>
              </w:tc>
              <w:tc>
                <w:tcPr>
                  <w:tcW w:w="529" w:type="pct"/>
                  <w:noWrap w:val="0"/>
                  <w:vAlign w:val="center"/>
                </w:tcPr>
                <w:p w14:paraId="4CB84AAA">
                  <w:pPr>
                    <w:spacing w:before="24" w:after="24"/>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3969</w:t>
                  </w:r>
                </w:p>
              </w:tc>
              <w:tc>
                <w:tcPr>
                  <w:tcW w:w="345" w:type="pct"/>
                  <w:noWrap w:val="0"/>
                  <w:vAlign w:val="center"/>
                </w:tcPr>
                <w:p w14:paraId="7CC44D85">
                  <w:pPr>
                    <w:pStyle w:val="200"/>
                    <w:spacing w:before="24" w:after="24"/>
                    <w:rPr>
                      <w:rFonts w:hint="default" w:ascii="Times New Roman" w:hAns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w:t>
                  </w:r>
                </w:p>
              </w:tc>
              <w:tc>
                <w:tcPr>
                  <w:tcW w:w="625" w:type="pct"/>
                  <w:noWrap w:val="0"/>
                  <w:vAlign w:val="center"/>
                </w:tcPr>
                <w:p w14:paraId="75502D3A">
                  <w:pPr>
                    <w:spacing w:before="24" w:after="24"/>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3969</w:t>
                  </w:r>
                </w:p>
              </w:tc>
            </w:tr>
            <w:tr w14:paraId="0FC10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29" w:type="pct"/>
                  <w:noWrap w:val="0"/>
                  <w:vAlign w:val="center"/>
                </w:tcPr>
                <w:p w14:paraId="43C60558">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精筛</w:t>
                  </w:r>
                </w:p>
              </w:tc>
              <w:tc>
                <w:tcPr>
                  <w:tcW w:w="441" w:type="pct"/>
                  <w:noWrap w:val="0"/>
                  <w:vAlign w:val="center"/>
                </w:tcPr>
                <w:p w14:paraId="4C0060BE">
                  <w:pPr>
                    <w:pStyle w:val="200"/>
                    <w:spacing w:before="24" w:after="24"/>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三班倒</w:t>
                  </w:r>
                </w:p>
              </w:tc>
              <w:tc>
                <w:tcPr>
                  <w:tcW w:w="529" w:type="pct"/>
                  <w:noWrap w:val="0"/>
                  <w:vAlign w:val="center"/>
                </w:tcPr>
                <w:p w14:paraId="02582117">
                  <w:pPr>
                    <w:spacing w:before="24" w:after="24"/>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w:t>
                  </w:r>
                  <w:r>
                    <w:rPr>
                      <w:rFonts w:hint="eastAsia" w:ascii="Times New Roman" w:hAnsi="Times New Roman" w:cs="Times New Roman"/>
                      <w:color w:val="auto"/>
                      <w:sz w:val="18"/>
                      <w:szCs w:val="18"/>
                      <w:highlight w:val="none"/>
                      <w:lang w:val="en-US" w:eastAsia="zh-CN"/>
                    </w:rPr>
                    <w:t>3</w:t>
                  </w:r>
                </w:p>
              </w:tc>
              <w:tc>
                <w:tcPr>
                  <w:tcW w:w="618" w:type="pct"/>
                  <w:noWrap w:val="0"/>
                  <w:vAlign w:val="center"/>
                </w:tcPr>
                <w:p w14:paraId="4089F2A3">
                  <w:pPr>
                    <w:spacing w:before="24" w:after="24"/>
                    <w:jc w:val="center"/>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1×</w:t>
                  </w:r>
                  <w:r>
                    <w:rPr>
                      <w:rFonts w:hint="eastAsia" w:ascii="Times New Roman" w:hAnsi="Times New Roman" w:cs="Times New Roman"/>
                      <w:color w:val="auto"/>
                      <w:sz w:val="18"/>
                      <w:szCs w:val="18"/>
                      <w:highlight w:val="none"/>
                      <w:lang w:val="en-US" w:eastAsia="zh-CN"/>
                    </w:rPr>
                    <w:t>1</w:t>
                  </w:r>
                </w:p>
              </w:tc>
              <w:tc>
                <w:tcPr>
                  <w:tcW w:w="440" w:type="pct"/>
                  <w:noWrap w:val="0"/>
                  <w:vAlign w:val="center"/>
                </w:tcPr>
                <w:p w14:paraId="122621D7">
                  <w:pPr>
                    <w:spacing w:before="24" w:after="24"/>
                    <w:jc w:val="center"/>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1</w:t>
                  </w:r>
                </w:p>
              </w:tc>
              <w:tc>
                <w:tcPr>
                  <w:tcW w:w="441" w:type="pct"/>
                  <w:noWrap w:val="0"/>
                  <w:vAlign w:val="center"/>
                </w:tcPr>
                <w:p w14:paraId="0EE61DF4">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0.3</w:t>
                  </w:r>
                </w:p>
              </w:tc>
              <w:tc>
                <w:tcPr>
                  <w:tcW w:w="529" w:type="pct"/>
                  <w:noWrap w:val="0"/>
                  <w:vAlign w:val="center"/>
                </w:tcPr>
                <w:p w14:paraId="5F42CAF6">
                  <w:pPr>
                    <w:spacing w:before="24" w:after="24"/>
                    <w:jc w:val="center"/>
                    <w:rPr>
                      <w:rFonts w:hint="default" w:ascii="Times New Roman" w:hAnsi="Times New Roman" w:cs="Times New Roman"/>
                      <w:color w:val="auto"/>
                      <w:sz w:val="18"/>
                      <w:szCs w:val="18"/>
                      <w:highlight w:val="none"/>
                      <w:lang w:val="en-US" w:eastAsia="zh-CN"/>
                    </w:rPr>
                  </w:pPr>
                  <w:r>
                    <w:rPr>
                      <w:rFonts w:hint="eastAsia" w:ascii="Times New Roman" w:hAnsi="Times New Roman" w:eastAsia="宋体" w:cs="Times New Roman"/>
                      <w:color w:val="auto"/>
                      <w:kern w:val="0"/>
                      <w:sz w:val="18"/>
                      <w:szCs w:val="18"/>
                      <w:highlight w:val="none"/>
                      <w:lang w:val="en-US" w:eastAsia="zh-CN" w:bidi="ar-SA"/>
                    </w:rPr>
                    <w:t>1539</w:t>
                  </w:r>
                </w:p>
              </w:tc>
              <w:tc>
                <w:tcPr>
                  <w:tcW w:w="345" w:type="pct"/>
                  <w:noWrap w:val="0"/>
                  <w:vAlign w:val="center"/>
                </w:tcPr>
                <w:p w14:paraId="40CFBAEB">
                  <w:pPr>
                    <w:pStyle w:val="200"/>
                    <w:spacing w:before="24" w:after="24"/>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w:t>
                  </w:r>
                </w:p>
              </w:tc>
              <w:tc>
                <w:tcPr>
                  <w:tcW w:w="625" w:type="pct"/>
                  <w:noWrap w:val="0"/>
                  <w:vAlign w:val="center"/>
                </w:tcPr>
                <w:p w14:paraId="22BCB91F">
                  <w:pPr>
                    <w:spacing w:before="24" w:after="24"/>
                    <w:jc w:val="center"/>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1539</w:t>
                  </w:r>
                </w:p>
              </w:tc>
            </w:tr>
            <w:tr w14:paraId="14908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29" w:type="pct"/>
                  <w:noWrap w:val="0"/>
                  <w:vAlign w:val="center"/>
                </w:tcPr>
                <w:p w14:paraId="4112C338">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包装机</w:t>
                  </w:r>
                </w:p>
              </w:tc>
              <w:tc>
                <w:tcPr>
                  <w:tcW w:w="441" w:type="pct"/>
                  <w:noWrap w:val="0"/>
                  <w:vAlign w:val="center"/>
                </w:tcPr>
                <w:p w14:paraId="2283F3B7">
                  <w:pPr>
                    <w:pStyle w:val="200"/>
                    <w:spacing w:before="24" w:after="24"/>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三班倒</w:t>
                  </w:r>
                </w:p>
              </w:tc>
              <w:tc>
                <w:tcPr>
                  <w:tcW w:w="529" w:type="pct"/>
                  <w:noWrap w:val="0"/>
                  <w:vAlign w:val="center"/>
                </w:tcPr>
                <w:p w14:paraId="58DF6022">
                  <w:pPr>
                    <w:spacing w:before="24" w:after="24"/>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w:t>
                  </w:r>
                  <w:r>
                    <w:rPr>
                      <w:rFonts w:hint="eastAsia" w:ascii="Times New Roman" w:hAnsi="Times New Roman" w:cs="Times New Roman"/>
                      <w:color w:val="auto"/>
                      <w:sz w:val="18"/>
                      <w:szCs w:val="18"/>
                      <w:highlight w:val="none"/>
                      <w:lang w:val="en-US" w:eastAsia="zh-CN"/>
                    </w:rPr>
                    <w:t>3</w:t>
                  </w:r>
                </w:p>
              </w:tc>
              <w:tc>
                <w:tcPr>
                  <w:tcW w:w="618" w:type="pct"/>
                  <w:noWrap w:val="0"/>
                  <w:vAlign w:val="center"/>
                </w:tcPr>
                <w:p w14:paraId="53E1D8F9">
                  <w:pPr>
                    <w:pStyle w:val="200"/>
                    <w:spacing w:before="24" w:after="24"/>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1×0.5</w:t>
                  </w:r>
                </w:p>
              </w:tc>
              <w:tc>
                <w:tcPr>
                  <w:tcW w:w="440" w:type="pct"/>
                  <w:noWrap w:val="0"/>
                  <w:vAlign w:val="center"/>
                </w:tcPr>
                <w:p w14:paraId="14C0CCBB">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0.5</w:t>
                  </w:r>
                </w:p>
              </w:tc>
              <w:tc>
                <w:tcPr>
                  <w:tcW w:w="441" w:type="pct"/>
                  <w:noWrap w:val="0"/>
                  <w:vAlign w:val="center"/>
                </w:tcPr>
                <w:p w14:paraId="4E52169D">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0.3</w:t>
                  </w:r>
                </w:p>
              </w:tc>
              <w:tc>
                <w:tcPr>
                  <w:tcW w:w="529" w:type="pct"/>
                  <w:noWrap w:val="0"/>
                  <w:vAlign w:val="center"/>
                </w:tcPr>
                <w:p w14:paraId="764B3E84">
                  <w:pPr>
                    <w:pStyle w:val="200"/>
                    <w:spacing w:before="24" w:after="24"/>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1134</w:t>
                  </w:r>
                </w:p>
              </w:tc>
              <w:tc>
                <w:tcPr>
                  <w:tcW w:w="345" w:type="pct"/>
                  <w:noWrap w:val="0"/>
                  <w:vAlign w:val="center"/>
                </w:tcPr>
                <w:p w14:paraId="062F8838">
                  <w:pPr>
                    <w:pStyle w:val="200"/>
                    <w:spacing w:before="24" w:after="24"/>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p>
              </w:tc>
              <w:tc>
                <w:tcPr>
                  <w:tcW w:w="625" w:type="pct"/>
                  <w:noWrap w:val="0"/>
                  <w:vAlign w:val="center"/>
                </w:tcPr>
                <w:p w14:paraId="1E9E77C2">
                  <w:pPr>
                    <w:pStyle w:val="200"/>
                    <w:spacing w:before="24" w:after="24"/>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2268</w:t>
                  </w:r>
                </w:p>
              </w:tc>
            </w:tr>
            <w:tr w14:paraId="777BB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29" w:type="pct"/>
                  <w:noWrap w:val="0"/>
                  <w:vAlign w:val="center"/>
                </w:tcPr>
                <w:p w14:paraId="79457C4F">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kern w:val="2"/>
                      <w:sz w:val="18"/>
                      <w:szCs w:val="18"/>
                      <w:highlight w:val="none"/>
                      <w:lang w:val="en-US" w:eastAsia="zh-CN" w:bidi="ar-SA"/>
                    </w:rPr>
                    <w:t>包膜机</w:t>
                  </w:r>
                </w:p>
              </w:tc>
              <w:tc>
                <w:tcPr>
                  <w:tcW w:w="441" w:type="pct"/>
                  <w:noWrap w:val="0"/>
                  <w:vAlign w:val="center"/>
                </w:tcPr>
                <w:p w14:paraId="19F13987">
                  <w:pPr>
                    <w:pStyle w:val="200"/>
                    <w:spacing w:before="24" w:after="24"/>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三班倒</w:t>
                  </w:r>
                </w:p>
              </w:tc>
              <w:tc>
                <w:tcPr>
                  <w:tcW w:w="529" w:type="pct"/>
                  <w:noWrap w:val="0"/>
                  <w:vAlign w:val="center"/>
                </w:tcPr>
                <w:p w14:paraId="60F6A15C">
                  <w:pPr>
                    <w:spacing w:before="24" w:after="24"/>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0.</w:t>
                  </w:r>
                  <w:r>
                    <w:rPr>
                      <w:rFonts w:hint="eastAsia" w:ascii="Times New Roman" w:hAnsi="Times New Roman" w:cs="Times New Roman"/>
                      <w:color w:val="auto"/>
                      <w:sz w:val="18"/>
                      <w:szCs w:val="18"/>
                      <w:highlight w:val="none"/>
                      <w:lang w:val="en-US" w:eastAsia="zh-CN"/>
                    </w:rPr>
                    <w:t>3</w:t>
                  </w:r>
                </w:p>
              </w:tc>
              <w:tc>
                <w:tcPr>
                  <w:tcW w:w="618" w:type="pct"/>
                  <w:noWrap w:val="0"/>
                  <w:vAlign w:val="center"/>
                </w:tcPr>
                <w:p w14:paraId="0A5796E8">
                  <w:pPr>
                    <w:pStyle w:val="200"/>
                    <w:spacing w:before="24" w:after="24"/>
                    <w:rPr>
                      <w:rFonts w:hint="default" w:ascii="Times New Roman" w:hAnsi="Times New Roman"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rPr>
                    <w:t>1×0.5</w:t>
                  </w:r>
                </w:p>
              </w:tc>
              <w:tc>
                <w:tcPr>
                  <w:tcW w:w="440" w:type="pct"/>
                  <w:noWrap w:val="0"/>
                  <w:vAlign w:val="center"/>
                </w:tcPr>
                <w:p w14:paraId="5A4A974B">
                  <w:pPr>
                    <w:pStyle w:val="200"/>
                    <w:spacing w:before="24" w:after="24"/>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rPr>
                    <w:t>0.5</w:t>
                  </w:r>
                </w:p>
              </w:tc>
              <w:tc>
                <w:tcPr>
                  <w:tcW w:w="441" w:type="pct"/>
                  <w:noWrap w:val="0"/>
                  <w:vAlign w:val="center"/>
                </w:tcPr>
                <w:p w14:paraId="3643A878">
                  <w:pPr>
                    <w:pStyle w:val="200"/>
                    <w:spacing w:before="24" w:after="24"/>
                    <w:rPr>
                      <w:rFonts w:hint="default" w:ascii="Times New Roman" w:hAnsi="Times New Roman"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rPr>
                    <w:t>0.3</w:t>
                  </w:r>
                </w:p>
              </w:tc>
              <w:tc>
                <w:tcPr>
                  <w:tcW w:w="529" w:type="pct"/>
                  <w:noWrap w:val="0"/>
                  <w:vAlign w:val="center"/>
                </w:tcPr>
                <w:p w14:paraId="77152076">
                  <w:pPr>
                    <w:pStyle w:val="200"/>
                    <w:spacing w:before="24" w:after="24"/>
                    <w:rPr>
                      <w:rFonts w:hint="default" w:ascii="Times New Roman" w:hAnsi="Times New Roman" w:cs="Times New Roman"/>
                      <w:color w:val="auto"/>
                      <w:kern w:val="0"/>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1134</w:t>
                  </w:r>
                </w:p>
              </w:tc>
              <w:tc>
                <w:tcPr>
                  <w:tcW w:w="345" w:type="pct"/>
                  <w:noWrap w:val="0"/>
                  <w:vAlign w:val="center"/>
                </w:tcPr>
                <w:p w14:paraId="1BCD4ADE">
                  <w:pPr>
                    <w:pStyle w:val="200"/>
                    <w:spacing w:before="24" w:after="24"/>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1</w:t>
                  </w:r>
                </w:p>
              </w:tc>
              <w:tc>
                <w:tcPr>
                  <w:tcW w:w="625" w:type="pct"/>
                  <w:noWrap w:val="0"/>
                  <w:vAlign w:val="center"/>
                </w:tcPr>
                <w:p w14:paraId="4FF10BA8">
                  <w:pPr>
                    <w:pStyle w:val="200"/>
                    <w:spacing w:before="24" w:after="24"/>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1134</w:t>
                  </w:r>
                </w:p>
              </w:tc>
            </w:tr>
            <w:tr w14:paraId="4CF63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74" w:type="pct"/>
                  <w:gridSpan w:val="8"/>
                  <w:noWrap w:val="0"/>
                  <w:vAlign w:val="center"/>
                </w:tcPr>
                <w:p w14:paraId="29E68296">
                  <w:pPr>
                    <w:pStyle w:val="200"/>
                    <w:spacing w:before="24" w:after="24"/>
                    <w:rPr>
                      <w:rFonts w:hint="default" w:ascii="Times New Roman" w:hAnsi="Times New Roman"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总计</w:t>
                  </w:r>
                </w:p>
              </w:tc>
              <w:tc>
                <w:tcPr>
                  <w:tcW w:w="625" w:type="pct"/>
                  <w:noWrap w:val="0"/>
                  <w:vAlign w:val="center"/>
                </w:tcPr>
                <w:p w14:paraId="36AF817B">
                  <w:pPr>
                    <w:pStyle w:val="200"/>
                    <w:spacing w:before="24" w:after="24"/>
                    <w:rPr>
                      <w:rFonts w:hint="default" w:ascii="Times New Roman" w:hAnsi="Times New Roman" w:cs="Times New Roman"/>
                      <w:color w:val="auto"/>
                      <w:kern w:val="0"/>
                      <w:sz w:val="18"/>
                      <w:szCs w:val="18"/>
                      <w:highlight w:val="none"/>
                      <w:lang w:val="en-US" w:eastAsia="zh-CN" w:bidi="ar-SA"/>
                    </w:rPr>
                  </w:pPr>
                  <w:r>
                    <w:rPr>
                      <w:rFonts w:hint="eastAsia" w:ascii="Times New Roman" w:cs="Times New Roman"/>
                      <w:color w:val="auto"/>
                      <w:kern w:val="0"/>
                      <w:sz w:val="18"/>
                      <w:szCs w:val="18"/>
                      <w:highlight w:val="none"/>
                      <w:lang w:val="en-US" w:eastAsia="zh-CN" w:bidi="ar-SA"/>
                    </w:rPr>
                    <w:t>8610</w:t>
                  </w:r>
                </w:p>
              </w:tc>
            </w:tr>
          </w:tbl>
          <w:p w14:paraId="4664163E">
            <w:pPr>
              <w:pStyle w:val="80"/>
              <w:keepNext w:val="0"/>
              <w:keepLines w:val="0"/>
              <w:pageBreakBefore w:val="0"/>
              <w:widowControl w:val="0"/>
              <w:tabs>
                <w:tab w:val="left" w:pos="420"/>
                <w:tab w:val="left" w:pos="870"/>
                <w:tab w:val="left" w:pos="3150"/>
              </w:tabs>
              <w:kinsoku/>
              <w:wordWrap/>
              <w:overflowPunct/>
              <w:topLinePunct w:val="0"/>
              <w:autoSpaceDE/>
              <w:autoSpaceDN/>
              <w:bidi w:val="0"/>
              <w:adjustRightInd w:val="0"/>
              <w:snapToGrid w:val="0"/>
              <w:spacing w:after="0" w:line="360" w:lineRule="auto"/>
              <w:ind w:left="0" w:leftChars="0"/>
              <w:textAlignment w:val="auto"/>
              <w:rPr>
                <w:rFonts w:ascii="Times New Roman"/>
                <w:snapToGrid w:val="0"/>
                <w:color w:val="auto"/>
                <w:kern w:val="0"/>
                <w:sz w:val="21"/>
                <w:szCs w:val="21"/>
              </w:rPr>
            </w:pPr>
            <w:r>
              <w:rPr>
                <w:rFonts w:ascii="Times New Roman"/>
                <w:color w:val="auto"/>
                <w:sz w:val="21"/>
                <w:szCs w:val="21"/>
              </w:rPr>
              <w:t>内部密闭罩排风量：根据《环境工程设计手册》（主编：魏先勋）中内部密闭罩排风量计算公式如下。</w:t>
            </w:r>
          </w:p>
          <w:p w14:paraId="3384B049">
            <w:pPr>
              <w:pStyle w:val="1389"/>
              <w:ind w:firstLine="420"/>
              <w:jc w:val="center"/>
              <w:rPr>
                <w:color w:val="auto"/>
                <w:highlight w:val="none"/>
              </w:rPr>
            </w:pPr>
            <w:r>
              <w:rPr>
                <w:color w:val="auto"/>
                <w:highlight w:val="none"/>
              </w:rPr>
              <w:t>L=L</w:t>
            </w:r>
            <w:r>
              <w:rPr>
                <w:color w:val="auto"/>
                <w:highlight w:val="none"/>
                <w:vertAlign w:val="subscript"/>
              </w:rPr>
              <w:t>1</w:t>
            </w:r>
            <w:r>
              <w:rPr>
                <w:color w:val="auto"/>
                <w:highlight w:val="none"/>
              </w:rPr>
              <w:t>+VF</w:t>
            </w:r>
          </w:p>
          <w:p w14:paraId="199FEECE">
            <w:pPr>
              <w:pStyle w:val="1389"/>
              <w:ind w:firstLine="420"/>
              <w:rPr>
                <w:color w:val="auto"/>
                <w:highlight w:val="none"/>
              </w:rPr>
            </w:pPr>
            <w:r>
              <w:rPr>
                <w:color w:val="auto"/>
                <w:highlight w:val="none"/>
              </w:rPr>
              <w:t>式中：L——集气罩的排风量，m</w:t>
            </w:r>
            <w:r>
              <w:rPr>
                <w:color w:val="auto"/>
                <w:highlight w:val="none"/>
                <w:vertAlign w:val="superscript"/>
              </w:rPr>
              <w:t>3</w:t>
            </w:r>
            <w:r>
              <w:rPr>
                <w:color w:val="auto"/>
                <w:highlight w:val="none"/>
              </w:rPr>
              <w:t>/h；</w:t>
            </w:r>
          </w:p>
          <w:p w14:paraId="0AF10992">
            <w:pPr>
              <w:pStyle w:val="1389"/>
              <w:ind w:firstLine="1050" w:firstLineChars="500"/>
              <w:rPr>
                <w:color w:val="auto"/>
                <w:highlight w:val="none"/>
              </w:rPr>
            </w:pPr>
            <w:r>
              <w:rPr>
                <w:color w:val="auto"/>
                <w:highlight w:val="none"/>
              </w:rPr>
              <w:t>L</w:t>
            </w:r>
            <w:r>
              <w:rPr>
                <w:color w:val="auto"/>
                <w:highlight w:val="none"/>
                <w:vertAlign w:val="subscript"/>
              </w:rPr>
              <w:t>1</w:t>
            </w:r>
            <w:r>
              <w:rPr>
                <w:color w:val="auto"/>
                <w:highlight w:val="none"/>
              </w:rPr>
              <w:t>——物料或者工艺设备带入罩内的空气量，m</w:t>
            </w:r>
            <w:r>
              <w:rPr>
                <w:color w:val="auto"/>
                <w:highlight w:val="none"/>
                <w:vertAlign w:val="superscript"/>
              </w:rPr>
              <w:t>3</w:t>
            </w:r>
            <w:r>
              <w:rPr>
                <w:color w:val="auto"/>
                <w:highlight w:val="none"/>
              </w:rPr>
              <w:t>/s；</w:t>
            </w:r>
          </w:p>
          <w:p w14:paraId="127AC135">
            <w:pPr>
              <w:pStyle w:val="1389"/>
              <w:ind w:firstLine="1050" w:firstLineChars="500"/>
              <w:rPr>
                <w:color w:val="auto"/>
                <w:highlight w:val="none"/>
              </w:rPr>
            </w:pPr>
            <w:r>
              <w:rPr>
                <w:color w:val="auto"/>
                <w:highlight w:val="none"/>
              </w:rPr>
              <w:t>F——工作孔口和总缝隙面积，m</w:t>
            </w:r>
            <w:r>
              <w:rPr>
                <w:color w:val="auto"/>
                <w:highlight w:val="none"/>
                <w:vertAlign w:val="superscript"/>
              </w:rPr>
              <w:t>2</w:t>
            </w:r>
            <w:r>
              <w:rPr>
                <w:color w:val="auto"/>
                <w:highlight w:val="none"/>
              </w:rPr>
              <w:t>；</w:t>
            </w:r>
          </w:p>
          <w:p w14:paraId="6E07641D">
            <w:pPr>
              <w:pStyle w:val="1389"/>
              <w:ind w:firstLine="1050" w:firstLineChars="500"/>
              <w:rPr>
                <w:color w:val="auto"/>
                <w:highlight w:val="none"/>
              </w:rPr>
            </w:pPr>
            <w:r>
              <w:rPr>
                <w:color w:val="auto"/>
                <w:highlight w:val="none"/>
              </w:rPr>
              <w:t>V——工作孔口和缝隙上吸入气流速，m/s；为防止把过多的物料吸入通风系统，粉状物料抽风口上流速应≤0.7m/s。</w:t>
            </w:r>
          </w:p>
          <w:p w14:paraId="245F2E35">
            <w:pPr>
              <w:pStyle w:val="1389"/>
              <w:ind w:firstLine="422"/>
              <w:jc w:val="center"/>
              <w:rPr>
                <w:b/>
                <w:bCs/>
                <w:color w:val="auto"/>
                <w:highlight w:val="none"/>
              </w:rPr>
            </w:pPr>
            <w:r>
              <w:rPr>
                <w:b/>
                <w:bCs/>
                <w:color w:val="auto"/>
                <w:highlight w:val="none"/>
              </w:rPr>
              <w:t>表4-1</w:t>
            </w:r>
            <w:r>
              <w:rPr>
                <w:rFonts w:hint="eastAsia"/>
                <w:b/>
                <w:bCs/>
                <w:color w:val="auto"/>
                <w:highlight w:val="none"/>
                <w:lang w:val="en-US" w:eastAsia="zh-CN"/>
              </w:rPr>
              <w:t>5</w:t>
            </w:r>
            <w:r>
              <w:rPr>
                <w:b/>
                <w:bCs/>
                <w:color w:val="auto"/>
                <w:highlight w:val="none"/>
              </w:rPr>
              <w:t>料仓废气收集风量核算</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02"/>
              <w:gridCol w:w="1421"/>
              <w:gridCol w:w="903"/>
              <w:gridCol w:w="1252"/>
              <w:gridCol w:w="903"/>
              <w:gridCol w:w="999"/>
              <w:gridCol w:w="945"/>
              <w:gridCol w:w="1047"/>
            </w:tblGrid>
            <w:tr w14:paraId="522A1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38" w:type="pct"/>
                  <w:noWrap w:val="0"/>
                  <w:vAlign w:val="center"/>
                </w:tcPr>
                <w:p w14:paraId="70990DE1">
                  <w:pPr>
                    <w:pStyle w:val="200"/>
                    <w:spacing w:before="24" w:after="24"/>
                    <w:rPr>
                      <w:rFonts w:ascii="Times New Roman"/>
                      <w:color w:val="auto"/>
                      <w:sz w:val="18"/>
                      <w:szCs w:val="18"/>
                      <w:highlight w:val="none"/>
                    </w:rPr>
                  </w:pPr>
                  <w:r>
                    <w:rPr>
                      <w:rFonts w:ascii="Times New Roman"/>
                      <w:color w:val="auto"/>
                      <w:sz w:val="18"/>
                      <w:szCs w:val="18"/>
                      <w:highlight w:val="none"/>
                    </w:rPr>
                    <w:t>设备</w:t>
                  </w:r>
                </w:p>
              </w:tc>
              <w:tc>
                <w:tcPr>
                  <w:tcW w:w="848" w:type="pct"/>
                  <w:noWrap w:val="0"/>
                  <w:vAlign w:val="center"/>
                </w:tcPr>
                <w:p w14:paraId="43027797">
                  <w:pPr>
                    <w:pStyle w:val="200"/>
                    <w:spacing w:before="24" w:after="24"/>
                    <w:rPr>
                      <w:rFonts w:ascii="Times New Roman"/>
                      <w:color w:val="auto"/>
                      <w:sz w:val="18"/>
                      <w:szCs w:val="18"/>
                      <w:highlight w:val="none"/>
                    </w:rPr>
                  </w:pPr>
                  <w:r>
                    <w:rPr>
                      <w:rFonts w:ascii="Times New Roman"/>
                      <w:color w:val="auto"/>
                      <w:sz w:val="18"/>
                      <w:szCs w:val="16"/>
                      <w:highlight w:val="none"/>
                    </w:rPr>
                    <w:t>物料或者工艺设备带入罩内的空气量，m</w:t>
                  </w:r>
                  <w:r>
                    <w:rPr>
                      <w:rFonts w:ascii="Times New Roman"/>
                      <w:color w:val="auto"/>
                      <w:sz w:val="18"/>
                      <w:szCs w:val="16"/>
                      <w:highlight w:val="none"/>
                      <w:vertAlign w:val="superscript"/>
                    </w:rPr>
                    <w:t>3</w:t>
                  </w:r>
                  <w:r>
                    <w:rPr>
                      <w:rFonts w:ascii="Times New Roman"/>
                      <w:color w:val="auto"/>
                      <w:sz w:val="18"/>
                      <w:szCs w:val="16"/>
                      <w:highlight w:val="none"/>
                    </w:rPr>
                    <w:t>/s</w:t>
                  </w:r>
                </w:p>
              </w:tc>
              <w:tc>
                <w:tcPr>
                  <w:tcW w:w="539" w:type="pct"/>
                  <w:noWrap w:val="0"/>
                  <w:vAlign w:val="center"/>
                </w:tcPr>
                <w:p w14:paraId="70C5CA8E">
                  <w:pPr>
                    <w:pStyle w:val="200"/>
                    <w:spacing w:before="24" w:after="24"/>
                    <w:rPr>
                      <w:rFonts w:ascii="Times New Roman"/>
                      <w:color w:val="auto"/>
                      <w:sz w:val="18"/>
                      <w:szCs w:val="18"/>
                      <w:highlight w:val="none"/>
                    </w:rPr>
                  </w:pPr>
                  <w:r>
                    <w:rPr>
                      <w:rFonts w:ascii="Times New Roman"/>
                      <w:color w:val="auto"/>
                      <w:sz w:val="18"/>
                      <w:szCs w:val="18"/>
                      <w:highlight w:val="none"/>
                    </w:rPr>
                    <w:t>总缝隙面积，m</w:t>
                  </w:r>
                  <w:r>
                    <w:rPr>
                      <w:rFonts w:ascii="Times New Roman"/>
                      <w:color w:val="auto"/>
                      <w:sz w:val="18"/>
                      <w:szCs w:val="18"/>
                      <w:highlight w:val="none"/>
                      <w:vertAlign w:val="superscript"/>
                    </w:rPr>
                    <w:t>2</w:t>
                  </w:r>
                </w:p>
              </w:tc>
              <w:tc>
                <w:tcPr>
                  <w:tcW w:w="747" w:type="pct"/>
                  <w:noWrap w:val="0"/>
                  <w:vAlign w:val="center"/>
                </w:tcPr>
                <w:p w14:paraId="771A6B90">
                  <w:pPr>
                    <w:pStyle w:val="200"/>
                    <w:spacing w:before="24" w:after="24"/>
                    <w:rPr>
                      <w:rFonts w:ascii="Times New Roman"/>
                      <w:color w:val="auto"/>
                      <w:sz w:val="18"/>
                      <w:szCs w:val="18"/>
                      <w:highlight w:val="none"/>
                    </w:rPr>
                  </w:pPr>
                  <w:r>
                    <w:rPr>
                      <w:rFonts w:ascii="Times New Roman"/>
                      <w:color w:val="auto"/>
                      <w:sz w:val="18"/>
                      <w:szCs w:val="18"/>
                      <w:highlight w:val="none"/>
                    </w:rPr>
                    <w:t>工作孔口和缝隙上吸入气流速，m/s</w:t>
                  </w:r>
                </w:p>
              </w:tc>
              <w:tc>
                <w:tcPr>
                  <w:tcW w:w="539" w:type="pct"/>
                  <w:noWrap w:val="0"/>
                  <w:vAlign w:val="center"/>
                </w:tcPr>
                <w:p w14:paraId="59532D6A">
                  <w:pPr>
                    <w:pStyle w:val="200"/>
                    <w:spacing w:before="24" w:after="24"/>
                    <w:rPr>
                      <w:rFonts w:ascii="Times New Roman"/>
                      <w:color w:val="auto"/>
                      <w:sz w:val="18"/>
                      <w:szCs w:val="18"/>
                      <w:highlight w:val="none"/>
                    </w:rPr>
                  </w:pPr>
                  <w:r>
                    <w:rPr>
                      <w:rFonts w:ascii="Times New Roman"/>
                      <w:color w:val="auto"/>
                      <w:sz w:val="18"/>
                      <w:szCs w:val="18"/>
                      <w:highlight w:val="none"/>
                    </w:rPr>
                    <w:t>单设备总风量（</w:t>
                  </w:r>
                  <w:r>
                    <w:rPr>
                      <w:rFonts w:ascii="Times New Roman"/>
                      <w:color w:val="auto"/>
                      <w:sz w:val="18"/>
                      <w:szCs w:val="16"/>
                      <w:highlight w:val="none"/>
                    </w:rPr>
                    <w:t>m</w:t>
                  </w:r>
                  <w:r>
                    <w:rPr>
                      <w:rFonts w:ascii="Times New Roman"/>
                      <w:color w:val="auto"/>
                      <w:sz w:val="18"/>
                      <w:szCs w:val="16"/>
                      <w:highlight w:val="none"/>
                      <w:vertAlign w:val="superscript"/>
                    </w:rPr>
                    <w:t>3</w:t>
                  </w:r>
                  <w:r>
                    <w:rPr>
                      <w:rFonts w:ascii="Times New Roman"/>
                      <w:color w:val="auto"/>
                      <w:sz w:val="18"/>
                      <w:szCs w:val="16"/>
                      <w:highlight w:val="none"/>
                    </w:rPr>
                    <w:t>/s</w:t>
                  </w:r>
                  <w:r>
                    <w:rPr>
                      <w:rFonts w:ascii="Times New Roman"/>
                      <w:color w:val="auto"/>
                      <w:sz w:val="18"/>
                      <w:szCs w:val="18"/>
                      <w:highlight w:val="none"/>
                    </w:rPr>
                    <w:t>）</w:t>
                  </w:r>
                </w:p>
              </w:tc>
              <w:tc>
                <w:tcPr>
                  <w:tcW w:w="596" w:type="pct"/>
                  <w:noWrap w:val="0"/>
                  <w:vAlign w:val="center"/>
                </w:tcPr>
                <w:p w14:paraId="11A1DE7F">
                  <w:pPr>
                    <w:jc w:val="center"/>
                    <w:rPr>
                      <w:color w:val="auto"/>
                      <w:sz w:val="18"/>
                      <w:szCs w:val="18"/>
                      <w:highlight w:val="none"/>
                    </w:rPr>
                  </w:pPr>
                  <w:r>
                    <w:rPr>
                      <w:color w:val="auto"/>
                      <w:sz w:val="18"/>
                      <w:szCs w:val="18"/>
                      <w:highlight w:val="none"/>
                    </w:rPr>
                    <w:t>设备数量（台）</w:t>
                  </w:r>
                </w:p>
              </w:tc>
              <w:tc>
                <w:tcPr>
                  <w:tcW w:w="564" w:type="pct"/>
                  <w:noWrap w:val="0"/>
                  <w:vAlign w:val="center"/>
                </w:tcPr>
                <w:p w14:paraId="28456354">
                  <w:pPr>
                    <w:jc w:val="center"/>
                    <w:rPr>
                      <w:color w:val="auto"/>
                      <w:sz w:val="18"/>
                      <w:szCs w:val="18"/>
                      <w:highlight w:val="none"/>
                    </w:rPr>
                  </w:pPr>
                  <w:r>
                    <w:rPr>
                      <w:color w:val="auto"/>
                      <w:sz w:val="18"/>
                      <w:szCs w:val="18"/>
                      <w:highlight w:val="none"/>
                    </w:rPr>
                    <w:t>总风机风量（</w:t>
                  </w:r>
                  <w:r>
                    <w:rPr>
                      <w:color w:val="auto"/>
                      <w:sz w:val="18"/>
                      <w:szCs w:val="16"/>
                      <w:highlight w:val="none"/>
                    </w:rPr>
                    <w:t>m</w:t>
                  </w:r>
                  <w:r>
                    <w:rPr>
                      <w:color w:val="auto"/>
                      <w:sz w:val="18"/>
                      <w:szCs w:val="16"/>
                      <w:highlight w:val="none"/>
                      <w:vertAlign w:val="superscript"/>
                    </w:rPr>
                    <w:t>3</w:t>
                  </w:r>
                  <w:r>
                    <w:rPr>
                      <w:color w:val="auto"/>
                      <w:sz w:val="18"/>
                      <w:szCs w:val="16"/>
                      <w:highlight w:val="none"/>
                    </w:rPr>
                    <w:t>/s</w:t>
                  </w:r>
                  <w:r>
                    <w:rPr>
                      <w:color w:val="auto"/>
                      <w:sz w:val="18"/>
                      <w:szCs w:val="18"/>
                      <w:highlight w:val="none"/>
                    </w:rPr>
                    <w:t>）</w:t>
                  </w:r>
                </w:p>
              </w:tc>
              <w:tc>
                <w:tcPr>
                  <w:tcW w:w="625" w:type="pct"/>
                  <w:noWrap w:val="0"/>
                  <w:vAlign w:val="center"/>
                </w:tcPr>
                <w:p w14:paraId="2D06BD3A">
                  <w:pPr>
                    <w:pStyle w:val="200"/>
                    <w:spacing w:before="24" w:after="24"/>
                    <w:rPr>
                      <w:rFonts w:ascii="Times New Roman"/>
                      <w:color w:val="auto"/>
                      <w:sz w:val="18"/>
                      <w:szCs w:val="18"/>
                      <w:highlight w:val="none"/>
                    </w:rPr>
                  </w:pPr>
                  <w:r>
                    <w:rPr>
                      <w:rFonts w:ascii="Times New Roman"/>
                      <w:color w:val="auto"/>
                      <w:sz w:val="18"/>
                      <w:szCs w:val="18"/>
                      <w:highlight w:val="none"/>
                    </w:rPr>
                    <w:t>总风量</w:t>
                  </w:r>
                </w:p>
                <w:p w14:paraId="57ED58F3">
                  <w:pPr>
                    <w:jc w:val="center"/>
                    <w:rPr>
                      <w:color w:val="auto"/>
                      <w:sz w:val="18"/>
                      <w:szCs w:val="18"/>
                      <w:highlight w:val="none"/>
                    </w:rPr>
                  </w:pPr>
                  <w:r>
                    <w:rPr>
                      <w:color w:val="auto"/>
                      <w:sz w:val="18"/>
                      <w:szCs w:val="18"/>
                      <w:highlight w:val="none"/>
                    </w:rPr>
                    <w:t>m</w:t>
                  </w:r>
                  <w:r>
                    <w:rPr>
                      <w:color w:val="auto"/>
                      <w:sz w:val="18"/>
                      <w:szCs w:val="18"/>
                      <w:highlight w:val="none"/>
                      <w:vertAlign w:val="superscript"/>
                    </w:rPr>
                    <w:t>3</w:t>
                  </w:r>
                  <w:r>
                    <w:rPr>
                      <w:color w:val="auto"/>
                      <w:sz w:val="18"/>
                      <w:szCs w:val="18"/>
                      <w:highlight w:val="none"/>
                    </w:rPr>
                    <w:t>/h</w:t>
                  </w:r>
                </w:p>
              </w:tc>
            </w:tr>
            <w:tr w14:paraId="55C1C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38" w:type="pct"/>
                  <w:noWrap w:val="0"/>
                  <w:vAlign w:val="center"/>
                </w:tcPr>
                <w:p w14:paraId="563EECDB">
                  <w:pPr>
                    <w:pStyle w:val="200"/>
                    <w:spacing w:before="24" w:after="24"/>
                    <w:rPr>
                      <w:rFonts w:ascii="Times New Roman"/>
                      <w:color w:val="auto"/>
                      <w:sz w:val="18"/>
                      <w:szCs w:val="18"/>
                      <w:highlight w:val="none"/>
                    </w:rPr>
                  </w:pPr>
                  <w:r>
                    <w:rPr>
                      <w:rFonts w:ascii="Times New Roman"/>
                      <w:color w:val="auto"/>
                      <w:sz w:val="18"/>
                      <w:szCs w:val="18"/>
                      <w:highlight w:val="none"/>
                    </w:rPr>
                    <w:t>料仓</w:t>
                  </w:r>
                </w:p>
              </w:tc>
              <w:tc>
                <w:tcPr>
                  <w:tcW w:w="848" w:type="pct"/>
                  <w:noWrap w:val="0"/>
                  <w:vAlign w:val="center"/>
                </w:tcPr>
                <w:p w14:paraId="193A98AB">
                  <w:pPr>
                    <w:pStyle w:val="200"/>
                    <w:spacing w:before="24" w:after="24"/>
                    <w:rPr>
                      <w:rFonts w:hint="eastAsia" w:ascii="Times New Roman" w:eastAsia="宋体"/>
                      <w:color w:val="auto"/>
                      <w:sz w:val="18"/>
                      <w:szCs w:val="18"/>
                      <w:highlight w:val="none"/>
                      <w:lang w:eastAsia="zh-CN"/>
                    </w:rPr>
                  </w:pPr>
                  <w:r>
                    <w:rPr>
                      <w:rFonts w:ascii="Times New Roman"/>
                      <w:color w:val="auto"/>
                      <w:sz w:val="18"/>
                      <w:szCs w:val="18"/>
                      <w:highlight w:val="none"/>
                    </w:rPr>
                    <w:t>0.</w:t>
                  </w:r>
                  <w:r>
                    <w:rPr>
                      <w:rFonts w:hint="eastAsia" w:ascii="Times New Roman"/>
                      <w:color w:val="auto"/>
                      <w:sz w:val="18"/>
                      <w:szCs w:val="18"/>
                      <w:highlight w:val="none"/>
                      <w:lang w:val="en-US" w:eastAsia="zh-CN"/>
                    </w:rPr>
                    <w:t>3</w:t>
                  </w:r>
                </w:p>
              </w:tc>
              <w:tc>
                <w:tcPr>
                  <w:tcW w:w="539" w:type="pct"/>
                  <w:noWrap w:val="0"/>
                  <w:vAlign w:val="center"/>
                </w:tcPr>
                <w:p w14:paraId="0451EB93">
                  <w:pPr>
                    <w:pStyle w:val="200"/>
                    <w:spacing w:before="24" w:after="24"/>
                    <w:rPr>
                      <w:rFonts w:hint="default" w:ascii="Times New Roman" w:eastAsia="宋体"/>
                      <w:color w:val="auto"/>
                      <w:sz w:val="18"/>
                      <w:szCs w:val="18"/>
                      <w:highlight w:val="none"/>
                      <w:lang w:val="en-US" w:eastAsia="zh-CN"/>
                    </w:rPr>
                  </w:pPr>
                  <w:r>
                    <w:rPr>
                      <w:rFonts w:hint="eastAsia" w:ascii="Times New Roman"/>
                      <w:color w:val="auto"/>
                      <w:sz w:val="18"/>
                      <w:szCs w:val="18"/>
                      <w:highlight w:val="none"/>
                      <w:lang w:val="en-US" w:eastAsia="zh-CN"/>
                    </w:rPr>
                    <w:t>0.5</w:t>
                  </w:r>
                </w:p>
              </w:tc>
              <w:tc>
                <w:tcPr>
                  <w:tcW w:w="747" w:type="pct"/>
                  <w:noWrap w:val="0"/>
                  <w:vAlign w:val="center"/>
                </w:tcPr>
                <w:p w14:paraId="3215FFE1">
                  <w:pPr>
                    <w:pStyle w:val="200"/>
                    <w:spacing w:before="24" w:after="24"/>
                    <w:rPr>
                      <w:rFonts w:hint="eastAsia" w:ascii="Times New Roman" w:eastAsia="宋体"/>
                      <w:color w:val="auto"/>
                      <w:sz w:val="18"/>
                      <w:szCs w:val="18"/>
                      <w:highlight w:val="none"/>
                      <w:lang w:eastAsia="zh-CN"/>
                    </w:rPr>
                  </w:pPr>
                  <w:r>
                    <w:rPr>
                      <w:rFonts w:ascii="Times New Roman"/>
                      <w:color w:val="auto"/>
                      <w:sz w:val="18"/>
                      <w:szCs w:val="18"/>
                      <w:highlight w:val="none"/>
                    </w:rPr>
                    <w:t>0.</w:t>
                  </w:r>
                  <w:r>
                    <w:rPr>
                      <w:rFonts w:hint="eastAsia" w:ascii="Times New Roman"/>
                      <w:color w:val="auto"/>
                      <w:sz w:val="18"/>
                      <w:szCs w:val="18"/>
                      <w:highlight w:val="none"/>
                      <w:lang w:val="en-US" w:eastAsia="zh-CN"/>
                    </w:rPr>
                    <w:t>3</w:t>
                  </w:r>
                </w:p>
              </w:tc>
              <w:tc>
                <w:tcPr>
                  <w:tcW w:w="539" w:type="pct"/>
                  <w:noWrap w:val="0"/>
                  <w:vAlign w:val="center"/>
                </w:tcPr>
                <w:p w14:paraId="47D1D085">
                  <w:pPr>
                    <w:pStyle w:val="200"/>
                    <w:spacing w:before="24" w:after="24"/>
                    <w:rPr>
                      <w:rFonts w:hint="default" w:ascii="Times New Roman" w:eastAsia="宋体"/>
                      <w:color w:val="auto"/>
                      <w:sz w:val="18"/>
                      <w:szCs w:val="18"/>
                      <w:highlight w:val="none"/>
                      <w:lang w:val="en-US" w:eastAsia="zh-CN"/>
                    </w:rPr>
                  </w:pPr>
                  <w:r>
                    <w:rPr>
                      <w:rFonts w:hint="eastAsia" w:ascii="Times New Roman"/>
                      <w:color w:val="auto"/>
                      <w:sz w:val="18"/>
                      <w:szCs w:val="18"/>
                      <w:highlight w:val="none"/>
                      <w:lang w:val="en-US" w:eastAsia="zh-CN"/>
                    </w:rPr>
                    <w:t>0.45</w:t>
                  </w:r>
                </w:p>
              </w:tc>
              <w:tc>
                <w:tcPr>
                  <w:tcW w:w="596" w:type="pct"/>
                  <w:noWrap w:val="0"/>
                  <w:vAlign w:val="center"/>
                </w:tcPr>
                <w:p w14:paraId="0B91C49B">
                  <w:pPr>
                    <w:pStyle w:val="200"/>
                    <w:spacing w:before="24" w:after="24"/>
                    <w:rPr>
                      <w:rFonts w:hint="eastAsia" w:ascii="Times New Roman" w:eastAsia="宋体"/>
                      <w:color w:val="auto"/>
                      <w:sz w:val="18"/>
                      <w:szCs w:val="18"/>
                      <w:highlight w:val="none"/>
                      <w:lang w:eastAsia="zh-CN"/>
                    </w:rPr>
                  </w:pPr>
                  <w:r>
                    <w:rPr>
                      <w:rFonts w:hint="eastAsia" w:ascii="Times New Roman"/>
                      <w:color w:val="auto"/>
                      <w:sz w:val="18"/>
                      <w:szCs w:val="18"/>
                      <w:highlight w:val="none"/>
                      <w:lang w:val="en-US" w:eastAsia="zh-CN"/>
                    </w:rPr>
                    <w:t>2</w:t>
                  </w:r>
                </w:p>
              </w:tc>
              <w:tc>
                <w:tcPr>
                  <w:tcW w:w="564" w:type="pct"/>
                  <w:noWrap w:val="0"/>
                  <w:vAlign w:val="center"/>
                </w:tcPr>
                <w:p w14:paraId="1003C0C2">
                  <w:pPr>
                    <w:pStyle w:val="200"/>
                    <w:spacing w:before="24" w:after="24"/>
                    <w:rPr>
                      <w:rFonts w:hint="default" w:ascii="Times New Roman" w:eastAsia="宋体"/>
                      <w:color w:val="auto"/>
                      <w:sz w:val="18"/>
                      <w:szCs w:val="18"/>
                      <w:highlight w:val="none"/>
                      <w:lang w:val="en-US" w:eastAsia="zh-CN"/>
                    </w:rPr>
                  </w:pPr>
                  <w:r>
                    <w:rPr>
                      <w:rFonts w:hint="eastAsia" w:ascii="Times New Roman"/>
                      <w:color w:val="auto"/>
                      <w:sz w:val="18"/>
                      <w:szCs w:val="18"/>
                      <w:highlight w:val="none"/>
                      <w:lang w:val="en-US" w:eastAsia="zh-CN"/>
                    </w:rPr>
                    <w:t>0.9</w:t>
                  </w:r>
                </w:p>
              </w:tc>
              <w:tc>
                <w:tcPr>
                  <w:tcW w:w="625" w:type="pct"/>
                  <w:noWrap w:val="0"/>
                  <w:vAlign w:val="center"/>
                </w:tcPr>
                <w:p w14:paraId="2DAD4AE9">
                  <w:pPr>
                    <w:pStyle w:val="200"/>
                    <w:spacing w:before="24" w:after="24"/>
                    <w:rPr>
                      <w:rFonts w:hint="default" w:ascii="Times New Roman" w:eastAsia="宋体"/>
                      <w:color w:val="auto"/>
                      <w:sz w:val="18"/>
                      <w:szCs w:val="18"/>
                      <w:highlight w:val="none"/>
                      <w:lang w:val="en-US" w:eastAsia="zh-CN"/>
                    </w:rPr>
                  </w:pPr>
                  <w:r>
                    <w:rPr>
                      <w:rFonts w:hint="eastAsia" w:ascii="Times New Roman"/>
                      <w:color w:val="auto"/>
                      <w:sz w:val="18"/>
                      <w:szCs w:val="18"/>
                      <w:highlight w:val="none"/>
                      <w:lang w:val="en-US" w:eastAsia="zh-CN"/>
                    </w:rPr>
                    <w:t>3240</w:t>
                  </w:r>
                </w:p>
              </w:tc>
            </w:tr>
          </w:tbl>
          <w:p w14:paraId="4AB02783">
            <w:pPr>
              <w:pStyle w:val="80"/>
              <w:numPr>
                <w:ilvl w:val="0"/>
                <w:numId w:val="0"/>
              </w:numPr>
              <w:spacing w:after="0" w:line="360" w:lineRule="auto"/>
              <w:ind w:firstLine="420" w:firstLineChars="200"/>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经计算，</w:t>
            </w:r>
            <w:r>
              <w:rPr>
                <w:rFonts w:hint="eastAsia" w:cs="Times New Roman"/>
                <w:color w:val="auto"/>
                <w:sz w:val="21"/>
                <w:szCs w:val="21"/>
                <w:highlight w:val="none"/>
                <w:lang w:eastAsia="zh-CN"/>
              </w:rPr>
              <w:t>一期项目</w:t>
            </w:r>
            <w:r>
              <w:rPr>
                <w:rFonts w:hint="default" w:ascii="Times New Roman" w:hAnsi="Times New Roman" w:cs="Times New Roman"/>
                <w:color w:val="auto"/>
                <w:sz w:val="21"/>
                <w:szCs w:val="21"/>
                <w:highlight w:val="none"/>
              </w:rPr>
              <w:t>DA002排气筒布袋除尘器配套风机风量</w:t>
            </w:r>
            <w:r>
              <w:rPr>
                <w:rFonts w:hint="eastAsia" w:cs="Times New Roman"/>
                <w:color w:val="auto"/>
                <w:sz w:val="21"/>
                <w:szCs w:val="21"/>
                <w:highlight w:val="none"/>
                <w:lang w:val="en-US" w:eastAsia="zh-CN"/>
              </w:rPr>
              <w:t>12</w:t>
            </w:r>
            <w:r>
              <w:rPr>
                <w:rFonts w:hint="default" w:ascii="Times New Roman" w:hAnsi="Times New Roman" w:cs="Times New Roman"/>
                <w:color w:val="auto"/>
                <w:sz w:val="21"/>
                <w:szCs w:val="21"/>
                <w:highlight w:val="none"/>
              </w:rPr>
              <w:t>000m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可满足</w:t>
            </w:r>
            <w:r>
              <w:rPr>
                <w:rFonts w:hint="eastAsia" w:ascii="Times New Roman" w:hAnsi="Times New Roman" w:cs="Times New Roman"/>
                <w:color w:val="auto"/>
                <w:sz w:val="21"/>
                <w:szCs w:val="21"/>
                <w:highlight w:val="none"/>
                <w:lang w:val="en-US" w:eastAsia="zh-CN"/>
              </w:rPr>
              <w:t>风机风量</w:t>
            </w:r>
            <w:r>
              <w:rPr>
                <w:rFonts w:hint="default" w:ascii="Times New Roman" w:hAnsi="Times New Roman" w:cs="Times New Roman"/>
                <w:color w:val="auto"/>
                <w:sz w:val="21"/>
                <w:szCs w:val="21"/>
                <w:highlight w:val="none"/>
                <w:lang w:val="en-US" w:eastAsia="zh-CN"/>
              </w:rPr>
              <w:t>要求</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11850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w:t>
            </w:r>
            <w:r>
              <w:rPr>
                <w:rFonts w:hint="eastAsia" w:ascii="Times New Roman" w:hAnsi="Times New Roman" w:cs="Times New Roman"/>
                <w:color w:val="auto"/>
                <w:sz w:val="21"/>
                <w:szCs w:val="21"/>
                <w:highlight w:val="none"/>
                <w:lang w:val="en-US" w:eastAsia="zh-CN"/>
              </w:rPr>
              <w:t>）。</w:t>
            </w:r>
          </w:p>
          <w:p w14:paraId="68DC8FB7">
            <w:pPr>
              <w:pStyle w:val="80"/>
              <w:spacing w:after="0" w:line="360" w:lineRule="auto"/>
              <w:ind w:left="0" w:leftChars="0"/>
              <w:rPr>
                <w:rFonts w:hint="default" w:ascii="Times New Roman" w:hAnsi="Times New Roman" w:cs="Times New Roman"/>
                <w:color w:val="auto"/>
                <w:sz w:val="21"/>
                <w:szCs w:val="21"/>
                <w:highlight w:val="none"/>
              </w:rPr>
            </w:pPr>
            <w:r>
              <w:rPr>
                <w:rFonts w:hint="eastAsia" w:cs="Times New Roman"/>
                <w:snapToGrid w:val="0"/>
                <w:color w:val="auto"/>
                <w:kern w:val="0"/>
                <w:sz w:val="21"/>
                <w:szCs w:val="21"/>
                <w:highlight w:val="none"/>
                <w:lang w:val="en-US" w:eastAsia="zh-CN"/>
              </w:rPr>
              <w:t>3</w:t>
            </w:r>
            <w:r>
              <w:rPr>
                <w:rFonts w:hint="default" w:ascii="Times New Roman" w:hAnsi="Times New Roman" w:cs="Times New Roman"/>
                <w:snapToGrid w:val="0"/>
                <w:color w:val="auto"/>
                <w:kern w:val="0"/>
                <w:sz w:val="21"/>
                <w:szCs w:val="21"/>
                <w:highlight w:val="none"/>
              </w:rPr>
              <w:t>）</w:t>
            </w:r>
            <w:r>
              <w:rPr>
                <w:rFonts w:hint="eastAsia" w:ascii="Times New Roman" w:hAnsi="Times New Roman" w:cs="Times New Roman"/>
                <w:snapToGrid w:val="0"/>
                <w:color w:val="auto"/>
                <w:kern w:val="0"/>
                <w:sz w:val="21"/>
                <w:szCs w:val="21"/>
                <w:highlight w:val="none"/>
                <w:lang w:val="en-US" w:eastAsia="zh-CN"/>
              </w:rPr>
              <w:t>DA00</w:t>
            </w:r>
            <w:r>
              <w:rPr>
                <w:rFonts w:hint="eastAsia" w:cs="Times New Roman"/>
                <w:snapToGrid w:val="0"/>
                <w:color w:val="auto"/>
                <w:kern w:val="0"/>
                <w:sz w:val="21"/>
                <w:szCs w:val="21"/>
                <w:highlight w:val="none"/>
                <w:lang w:val="en-US" w:eastAsia="zh-CN"/>
              </w:rPr>
              <w:t>3</w:t>
            </w:r>
            <w:r>
              <w:rPr>
                <w:rFonts w:hint="eastAsia" w:ascii="Times New Roman" w:hAnsi="Times New Roman" w:cs="Times New Roman"/>
                <w:snapToGrid w:val="0"/>
                <w:color w:val="auto"/>
                <w:kern w:val="0"/>
                <w:sz w:val="21"/>
                <w:szCs w:val="21"/>
                <w:highlight w:val="none"/>
                <w:lang w:val="en-US" w:eastAsia="zh-CN"/>
              </w:rPr>
              <w:t>排气筒</w:t>
            </w:r>
            <w:r>
              <w:rPr>
                <w:rFonts w:hint="default" w:ascii="Times New Roman" w:hAnsi="Times New Roman" w:cs="Times New Roman"/>
                <w:color w:val="auto"/>
                <w:sz w:val="21"/>
                <w:szCs w:val="21"/>
                <w:highlight w:val="none"/>
              </w:rPr>
              <w:t>废气排放量核算：</w:t>
            </w:r>
          </w:p>
          <w:p w14:paraId="403D71A2">
            <w:pPr>
              <w:pStyle w:val="80"/>
              <w:spacing w:after="0" w:line="360" w:lineRule="auto"/>
              <w:ind w:left="0" w:leftChars="0"/>
              <w:rPr>
                <w:rFonts w:hint="eastAsia" w:cs="Times New Roman"/>
                <w:color w:val="auto"/>
                <w:sz w:val="21"/>
                <w:szCs w:val="21"/>
                <w:highlight w:val="none"/>
                <w:lang w:eastAsia="zh-CN"/>
              </w:rPr>
            </w:pPr>
            <w:r>
              <w:rPr>
                <w:rFonts w:hint="eastAsia" w:cs="Times New Roman"/>
                <w:color w:val="auto"/>
                <w:sz w:val="21"/>
                <w:szCs w:val="21"/>
                <w:highlight w:val="none"/>
                <w:lang w:eastAsia="zh-CN"/>
              </w:rPr>
              <w:t>原料破碎、筛分、配料、部分筛分、混合、粗筛、整形过程产生的颗粒物经集气罩收集后经1套布袋除尘器处理后通过同一根15m高DA003排气筒有组织排放。</w:t>
            </w:r>
          </w:p>
          <w:p w14:paraId="1FA2D9EA">
            <w:pPr>
              <w:pStyle w:val="80"/>
              <w:spacing w:after="0" w:line="360" w:lineRule="auto"/>
              <w:ind w:left="0" w:leftChars="0"/>
              <w:rPr>
                <w:rFonts w:hint="default" w:ascii="Times New Roman" w:hAnsi="Times New Roman" w:cs="Times New Roman"/>
                <w:snapToGrid w:val="0"/>
                <w:color w:val="auto"/>
                <w:kern w:val="0"/>
                <w:sz w:val="21"/>
                <w:szCs w:val="21"/>
                <w:highlight w:val="none"/>
              </w:rPr>
            </w:pPr>
            <w:r>
              <w:rPr>
                <w:rFonts w:hint="default" w:ascii="Times New Roman" w:hAnsi="Times New Roman" w:cs="Times New Roman"/>
                <w:color w:val="auto"/>
                <w:sz w:val="21"/>
                <w:szCs w:val="21"/>
                <w:highlight w:val="none"/>
              </w:rPr>
              <w:t>集气罩排风量：根据《环境工程设计手册》（主编：魏先勋）中有关集气罩排风量的计算公式，结合</w:t>
            </w:r>
            <w:r>
              <w:rPr>
                <w:rFonts w:hint="eastAsia" w:cs="Times New Roman"/>
                <w:color w:val="auto"/>
                <w:sz w:val="21"/>
                <w:szCs w:val="21"/>
                <w:highlight w:val="none"/>
                <w:lang w:eastAsia="zh-CN"/>
              </w:rPr>
              <w:t>一期项目</w:t>
            </w:r>
            <w:r>
              <w:rPr>
                <w:rFonts w:hint="default" w:ascii="Times New Roman" w:hAnsi="Times New Roman" w:cs="Times New Roman"/>
                <w:color w:val="auto"/>
                <w:sz w:val="21"/>
                <w:szCs w:val="21"/>
                <w:highlight w:val="none"/>
              </w:rPr>
              <w:t>拟建设有边集气罩，</w:t>
            </w:r>
            <w:r>
              <w:rPr>
                <w:rFonts w:hint="eastAsia" w:cs="Times New Roman"/>
                <w:color w:val="auto"/>
                <w:sz w:val="21"/>
                <w:szCs w:val="21"/>
                <w:highlight w:val="none"/>
                <w:lang w:eastAsia="zh-CN"/>
              </w:rPr>
              <w:t>一期项目</w:t>
            </w:r>
            <w:r>
              <w:rPr>
                <w:rFonts w:hint="default" w:ascii="Times New Roman" w:hAnsi="Times New Roman" w:cs="Times New Roman"/>
                <w:color w:val="auto"/>
                <w:sz w:val="21"/>
                <w:szCs w:val="21"/>
                <w:highlight w:val="none"/>
              </w:rPr>
              <w:t>集气罩所需的排风量L（m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/h）计算公式如下。</w:t>
            </w:r>
          </w:p>
          <w:p w14:paraId="7D1EF325">
            <w:pPr>
              <w:pStyle w:val="1389"/>
              <w:ind w:firstLine="42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L=3600×0.75×（10X</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+A）×Vx</w:t>
            </w:r>
          </w:p>
          <w:p w14:paraId="03853A92">
            <w:pPr>
              <w:pStyle w:val="1389"/>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式中：L——集气罩的排风量，m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w:t>
            </w:r>
          </w:p>
          <w:p w14:paraId="11512B17">
            <w:pPr>
              <w:pStyle w:val="1389"/>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X——污染物产生点至罩口的距离，m。</w:t>
            </w:r>
            <w:r>
              <w:rPr>
                <w:rFonts w:hint="eastAsia" w:cs="Times New Roman"/>
                <w:color w:val="auto"/>
                <w:sz w:val="21"/>
                <w:szCs w:val="21"/>
                <w:highlight w:val="none"/>
                <w:lang w:eastAsia="zh-CN"/>
              </w:rPr>
              <w:t>一期项目</w:t>
            </w:r>
            <w:r>
              <w:rPr>
                <w:rFonts w:hint="default" w:ascii="Times New Roman" w:hAnsi="Times New Roman" w:cs="Times New Roman"/>
                <w:color w:val="auto"/>
                <w:sz w:val="21"/>
                <w:szCs w:val="21"/>
                <w:highlight w:val="none"/>
              </w:rPr>
              <w:t>取0.</w:t>
            </w:r>
            <w:r>
              <w:rPr>
                <w:rFonts w:hint="eastAsia"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m；</w:t>
            </w:r>
          </w:p>
          <w:p w14:paraId="00370AD2">
            <w:pPr>
              <w:pStyle w:val="1389"/>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A——罩口面积，m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w:t>
            </w:r>
          </w:p>
          <w:p w14:paraId="1A5BE6FC">
            <w:pPr>
              <w:pStyle w:val="1389"/>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Vx——最小控制风速，m/s。集气罩废气风速按照最低风速0.3m/s计算。</w:t>
            </w:r>
          </w:p>
          <w:p w14:paraId="18989283">
            <w:pPr>
              <w:pStyle w:val="1389"/>
              <w:ind w:firstLine="422"/>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表4-</w:t>
            </w:r>
            <w:r>
              <w:rPr>
                <w:rFonts w:hint="eastAsia" w:ascii="Times New Roman" w:hAnsi="Times New Roman" w:cs="Times New Roman"/>
                <w:b/>
                <w:bCs/>
                <w:color w:val="auto"/>
                <w:sz w:val="21"/>
                <w:szCs w:val="21"/>
                <w:highlight w:val="none"/>
                <w:lang w:val="en-US" w:eastAsia="zh-CN"/>
              </w:rPr>
              <w:t>1</w:t>
            </w:r>
            <w:r>
              <w:rPr>
                <w:rFonts w:hint="eastAsia" w:cs="Times New Roman"/>
                <w:b/>
                <w:bCs/>
                <w:color w:val="auto"/>
                <w:sz w:val="21"/>
                <w:szCs w:val="21"/>
                <w:highlight w:val="none"/>
                <w:lang w:val="en-US" w:eastAsia="zh-CN"/>
              </w:rPr>
              <w:t>6</w:t>
            </w:r>
            <w:r>
              <w:rPr>
                <w:rFonts w:hint="default" w:ascii="Times New Roman" w:hAnsi="Times New Roman" w:cs="Times New Roman"/>
                <w:b/>
                <w:bCs/>
                <w:color w:val="auto"/>
                <w:sz w:val="21"/>
                <w:szCs w:val="21"/>
                <w:highlight w:val="none"/>
              </w:rPr>
              <w:t xml:space="preserve">  </w:t>
            </w:r>
            <w:r>
              <w:rPr>
                <w:rFonts w:hint="default" w:ascii="Times New Roman" w:hAnsi="Times New Roman" w:cs="Times New Roman"/>
                <w:b/>
                <w:bCs/>
                <w:color w:val="auto"/>
                <w:sz w:val="21"/>
                <w:szCs w:val="21"/>
                <w:highlight w:val="none"/>
                <w:lang w:val="en-US" w:eastAsia="zh-CN"/>
              </w:rPr>
              <w:t>DA003排气筒</w:t>
            </w:r>
            <w:r>
              <w:rPr>
                <w:rFonts w:hint="default" w:ascii="Times New Roman" w:hAnsi="Times New Roman" w:cs="Times New Roman"/>
                <w:b/>
                <w:bCs/>
                <w:color w:val="auto"/>
                <w:sz w:val="21"/>
                <w:szCs w:val="21"/>
                <w:highlight w:val="none"/>
              </w:rPr>
              <w:t>布袋除尘器废气收集风量核算</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653"/>
              <w:gridCol w:w="709"/>
              <w:gridCol w:w="850"/>
              <w:gridCol w:w="993"/>
              <w:gridCol w:w="708"/>
              <w:gridCol w:w="709"/>
              <w:gridCol w:w="851"/>
              <w:gridCol w:w="555"/>
              <w:gridCol w:w="1004"/>
            </w:tblGrid>
            <w:tr w14:paraId="28C4E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653" w:type="dxa"/>
                  <w:noWrap w:val="0"/>
                  <w:vAlign w:val="center"/>
                </w:tcPr>
                <w:p w14:paraId="0D8EA2E9">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设备</w:t>
                  </w:r>
                </w:p>
              </w:tc>
              <w:tc>
                <w:tcPr>
                  <w:tcW w:w="709" w:type="dxa"/>
                  <w:noWrap w:val="0"/>
                  <w:vAlign w:val="center"/>
                </w:tcPr>
                <w:p w14:paraId="276EC1B2">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工作班制</w:t>
                  </w:r>
                </w:p>
              </w:tc>
              <w:tc>
                <w:tcPr>
                  <w:tcW w:w="850" w:type="dxa"/>
                  <w:noWrap w:val="0"/>
                  <w:vAlign w:val="center"/>
                </w:tcPr>
                <w:p w14:paraId="65FAFBDA">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距离m</w:t>
                  </w:r>
                </w:p>
              </w:tc>
              <w:tc>
                <w:tcPr>
                  <w:tcW w:w="993" w:type="dxa"/>
                  <w:noWrap w:val="0"/>
                  <w:vAlign w:val="center"/>
                </w:tcPr>
                <w:p w14:paraId="1621BA31">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集气罩长度m</w:t>
                  </w:r>
                </w:p>
              </w:tc>
              <w:tc>
                <w:tcPr>
                  <w:tcW w:w="708" w:type="dxa"/>
                  <w:noWrap w:val="0"/>
                  <w:vAlign w:val="center"/>
                </w:tcPr>
                <w:p w14:paraId="747AF37D">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集气罩面积m</w:t>
                  </w:r>
                  <w:r>
                    <w:rPr>
                      <w:rFonts w:hint="default" w:ascii="Times New Roman" w:hAnsi="Times New Roman" w:cs="Times New Roman"/>
                      <w:color w:val="auto"/>
                      <w:sz w:val="18"/>
                      <w:szCs w:val="18"/>
                      <w:highlight w:val="none"/>
                      <w:vertAlign w:val="superscript"/>
                    </w:rPr>
                    <w:t>2</w:t>
                  </w:r>
                </w:p>
              </w:tc>
              <w:tc>
                <w:tcPr>
                  <w:tcW w:w="709" w:type="dxa"/>
                  <w:noWrap w:val="0"/>
                  <w:vAlign w:val="center"/>
                </w:tcPr>
                <w:p w14:paraId="4FB83EFE">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风速</w:t>
                  </w:r>
                </w:p>
                <w:p w14:paraId="7BE6A7D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m/s</w:t>
                  </w:r>
                </w:p>
              </w:tc>
              <w:tc>
                <w:tcPr>
                  <w:tcW w:w="851" w:type="dxa"/>
                  <w:noWrap w:val="0"/>
                  <w:vAlign w:val="center"/>
                </w:tcPr>
                <w:p w14:paraId="2E21BFC2">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单集气罩风量m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/h</w:t>
                  </w:r>
                </w:p>
              </w:tc>
              <w:tc>
                <w:tcPr>
                  <w:tcW w:w="555" w:type="dxa"/>
                  <w:noWrap w:val="0"/>
                  <w:vAlign w:val="center"/>
                </w:tcPr>
                <w:p w14:paraId="0ED4CD0E">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数量</w:t>
                  </w:r>
                </w:p>
                <w:p w14:paraId="688D3DA6">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台</w:t>
                  </w:r>
                </w:p>
              </w:tc>
              <w:tc>
                <w:tcPr>
                  <w:tcW w:w="1004" w:type="dxa"/>
                  <w:noWrap w:val="0"/>
                  <w:vAlign w:val="center"/>
                </w:tcPr>
                <w:p w14:paraId="7784CAC9">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总风量</w:t>
                  </w:r>
                </w:p>
                <w:p w14:paraId="16FFF9A4">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/h</w:t>
                  </w:r>
                </w:p>
              </w:tc>
            </w:tr>
            <w:tr w14:paraId="5B7E9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653" w:type="dxa"/>
                  <w:noWrap w:val="0"/>
                  <w:vAlign w:val="center"/>
                </w:tcPr>
                <w:p w14:paraId="19420E5D">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eastAsia="宋体" w:cs="Times New Roman"/>
                      <w:bCs/>
                      <w:color w:val="auto"/>
                      <w:kern w:val="2"/>
                      <w:sz w:val="18"/>
                      <w:szCs w:val="18"/>
                      <w:highlight w:val="none"/>
                      <w:lang w:val="en-US" w:eastAsia="zh-CN" w:bidi="ar-SA"/>
                    </w:rPr>
                    <w:t>破碎机</w:t>
                  </w:r>
                </w:p>
              </w:tc>
              <w:tc>
                <w:tcPr>
                  <w:tcW w:w="709" w:type="dxa"/>
                  <w:noWrap w:val="0"/>
                  <w:vAlign w:val="center"/>
                </w:tcPr>
                <w:p w14:paraId="55D1544E">
                  <w:pPr>
                    <w:pStyle w:val="200"/>
                    <w:spacing w:before="24" w:after="24"/>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三班倒</w:t>
                  </w:r>
                </w:p>
              </w:tc>
              <w:tc>
                <w:tcPr>
                  <w:tcW w:w="850" w:type="dxa"/>
                  <w:noWrap w:val="0"/>
                  <w:vAlign w:val="center"/>
                </w:tcPr>
                <w:p w14:paraId="112A524C">
                  <w:pPr>
                    <w:pStyle w:val="200"/>
                    <w:spacing w:before="24" w:after="24"/>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0.</w:t>
                  </w:r>
                  <w:r>
                    <w:rPr>
                      <w:rFonts w:hint="eastAsia" w:ascii="Times New Roman" w:hAnsi="Times New Roman" w:cs="Times New Roman"/>
                      <w:color w:val="auto"/>
                      <w:sz w:val="18"/>
                      <w:szCs w:val="18"/>
                      <w:highlight w:val="none"/>
                      <w:lang w:val="en-US" w:eastAsia="zh-CN"/>
                    </w:rPr>
                    <w:t>3</w:t>
                  </w:r>
                </w:p>
              </w:tc>
              <w:tc>
                <w:tcPr>
                  <w:tcW w:w="993" w:type="dxa"/>
                  <w:noWrap w:val="0"/>
                  <w:vAlign w:val="center"/>
                </w:tcPr>
                <w:p w14:paraId="7C7E3A31">
                  <w:pPr>
                    <w:pStyle w:val="200"/>
                    <w:spacing w:before="24" w:after="24"/>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w:t>
                  </w:r>
                  <w:r>
                    <w:rPr>
                      <w:rFonts w:hint="eastAsia" w:ascii="Times New Roman" w:hAnsi="Times New Roman" w:cs="Times New Roman"/>
                      <w:color w:val="auto"/>
                      <w:sz w:val="18"/>
                      <w:szCs w:val="18"/>
                      <w:highlight w:val="none"/>
                      <w:lang w:val="en-US" w:eastAsia="zh-CN"/>
                    </w:rPr>
                    <w:t>2</w:t>
                  </w:r>
                </w:p>
              </w:tc>
              <w:tc>
                <w:tcPr>
                  <w:tcW w:w="708" w:type="dxa"/>
                  <w:noWrap w:val="0"/>
                  <w:vAlign w:val="center"/>
                </w:tcPr>
                <w:p w14:paraId="363179E8">
                  <w:pPr>
                    <w:pStyle w:val="200"/>
                    <w:spacing w:before="24" w:after="24"/>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4</w:t>
                  </w:r>
                </w:p>
              </w:tc>
              <w:tc>
                <w:tcPr>
                  <w:tcW w:w="709" w:type="dxa"/>
                  <w:noWrap w:val="0"/>
                  <w:vAlign w:val="center"/>
                </w:tcPr>
                <w:p w14:paraId="370379A7">
                  <w:pPr>
                    <w:pStyle w:val="200"/>
                    <w:spacing w:before="24" w:after="24"/>
                    <w:rPr>
                      <w:rFonts w:hint="default" w:ascii="Times New Roman" w:hAnsi="Times New Roman"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rPr>
                    <w:t>0.3</w:t>
                  </w:r>
                </w:p>
              </w:tc>
              <w:tc>
                <w:tcPr>
                  <w:tcW w:w="851" w:type="dxa"/>
                  <w:noWrap w:val="0"/>
                  <w:vAlign w:val="center"/>
                </w:tcPr>
                <w:p w14:paraId="64777A0D">
                  <w:pPr>
                    <w:jc w:val="center"/>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3969</w:t>
                  </w:r>
                </w:p>
              </w:tc>
              <w:tc>
                <w:tcPr>
                  <w:tcW w:w="555" w:type="dxa"/>
                  <w:noWrap w:val="0"/>
                  <w:vAlign w:val="center"/>
                </w:tcPr>
                <w:p w14:paraId="4F9793D3">
                  <w:pPr>
                    <w:pStyle w:val="200"/>
                    <w:spacing w:before="24" w:after="24"/>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2</w:t>
                  </w:r>
                </w:p>
              </w:tc>
              <w:tc>
                <w:tcPr>
                  <w:tcW w:w="1004" w:type="dxa"/>
                  <w:noWrap w:val="0"/>
                  <w:vAlign w:val="center"/>
                </w:tcPr>
                <w:p w14:paraId="1A5DB109">
                  <w:pPr>
                    <w:pStyle w:val="200"/>
                    <w:spacing w:before="24" w:after="24"/>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cs="Times New Roman"/>
                      <w:color w:val="auto"/>
                      <w:kern w:val="0"/>
                      <w:sz w:val="18"/>
                      <w:szCs w:val="18"/>
                      <w:highlight w:val="none"/>
                      <w:lang w:val="en-US" w:eastAsia="zh-CN" w:bidi="ar-SA"/>
                    </w:rPr>
                    <w:t>7938</w:t>
                  </w:r>
                </w:p>
              </w:tc>
            </w:tr>
            <w:tr w14:paraId="041E4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653" w:type="dxa"/>
                  <w:noWrap w:val="0"/>
                  <w:vAlign w:val="center"/>
                </w:tcPr>
                <w:p w14:paraId="1E331334">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原料筛</w:t>
                  </w:r>
                </w:p>
              </w:tc>
              <w:tc>
                <w:tcPr>
                  <w:tcW w:w="709" w:type="dxa"/>
                  <w:noWrap w:val="0"/>
                  <w:vAlign w:val="center"/>
                </w:tcPr>
                <w:p w14:paraId="0AF843E9">
                  <w:pPr>
                    <w:pStyle w:val="200"/>
                    <w:spacing w:before="24" w:after="24"/>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三班倒</w:t>
                  </w:r>
                </w:p>
              </w:tc>
              <w:tc>
                <w:tcPr>
                  <w:tcW w:w="850" w:type="dxa"/>
                  <w:noWrap w:val="0"/>
                  <w:vAlign w:val="center"/>
                </w:tcPr>
                <w:p w14:paraId="16A6F429">
                  <w:pPr>
                    <w:spacing w:before="24" w:after="24"/>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w:t>
                  </w:r>
                  <w:r>
                    <w:rPr>
                      <w:rFonts w:hint="eastAsia" w:ascii="Times New Roman" w:hAnsi="Times New Roman" w:cs="Times New Roman"/>
                      <w:color w:val="auto"/>
                      <w:sz w:val="18"/>
                      <w:szCs w:val="18"/>
                      <w:highlight w:val="none"/>
                      <w:lang w:val="en-US" w:eastAsia="zh-CN"/>
                    </w:rPr>
                    <w:t>3</w:t>
                  </w:r>
                </w:p>
              </w:tc>
              <w:tc>
                <w:tcPr>
                  <w:tcW w:w="993" w:type="dxa"/>
                  <w:noWrap w:val="0"/>
                  <w:vAlign w:val="center"/>
                </w:tcPr>
                <w:p w14:paraId="2F03C237">
                  <w:pPr>
                    <w:pStyle w:val="200"/>
                    <w:spacing w:before="24" w:after="24"/>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1×</w:t>
                  </w:r>
                  <w:r>
                    <w:rPr>
                      <w:rFonts w:hint="eastAsia" w:ascii="Times New Roman" w:hAnsi="Times New Roman" w:cs="Times New Roman"/>
                      <w:color w:val="auto"/>
                      <w:sz w:val="18"/>
                      <w:szCs w:val="18"/>
                      <w:highlight w:val="none"/>
                      <w:lang w:val="en-US" w:eastAsia="zh-CN"/>
                    </w:rPr>
                    <w:t>1</w:t>
                  </w:r>
                </w:p>
              </w:tc>
              <w:tc>
                <w:tcPr>
                  <w:tcW w:w="708" w:type="dxa"/>
                  <w:noWrap w:val="0"/>
                  <w:vAlign w:val="center"/>
                </w:tcPr>
                <w:p w14:paraId="693E2592">
                  <w:pPr>
                    <w:spacing w:before="24" w:after="24"/>
                    <w:jc w:val="center"/>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1</w:t>
                  </w:r>
                </w:p>
              </w:tc>
              <w:tc>
                <w:tcPr>
                  <w:tcW w:w="709" w:type="dxa"/>
                  <w:noWrap w:val="0"/>
                  <w:vAlign w:val="center"/>
                </w:tcPr>
                <w:p w14:paraId="32A727EB">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0.3</w:t>
                  </w:r>
                </w:p>
              </w:tc>
              <w:tc>
                <w:tcPr>
                  <w:tcW w:w="851" w:type="dxa"/>
                  <w:noWrap w:val="0"/>
                  <w:vAlign w:val="center"/>
                </w:tcPr>
                <w:p w14:paraId="77B7522F">
                  <w:pPr>
                    <w:spacing w:before="24" w:after="24"/>
                    <w:jc w:val="center"/>
                    <w:rPr>
                      <w:rFonts w:hint="eastAsia" w:ascii="Times New Roman" w:hAnsi="Times New Roman" w:eastAsia="宋体" w:cs="Times New Roman"/>
                      <w:color w:val="auto"/>
                      <w:kern w:val="0"/>
                      <w:sz w:val="18"/>
                      <w:szCs w:val="18"/>
                      <w:highlight w:val="none"/>
                      <w:lang w:val="en-US" w:eastAsia="zh-CN"/>
                    </w:rPr>
                  </w:pPr>
                  <w:r>
                    <w:rPr>
                      <w:rFonts w:hint="eastAsia" w:ascii="Times New Roman" w:hAnsi="Times New Roman" w:eastAsia="宋体" w:cs="Times New Roman"/>
                      <w:color w:val="auto"/>
                      <w:kern w:val="0"/>
                      <w:sz w:val="18"/>
                      <w:szCs w:val="18"/>
                      <w:highlight w:val="none"/>
                      <w:lang w:val="en-US" w:eastAsia="zh-CN" w:bidi="ar-SA"/>
                    </w:rPr>
                    <w:t>1539</w:t>
                  </w:r>
                </w:p>
              </w:tc>
              <w:tc>
                <w:tcPr>
                  <w:tcW w:w="555" w:type="dxa"/>
                  <w:noWrap w:val="0"/>
                  <w:vAlign w:val="center"/>
                </w:tcPr>
                <w:p w14:paraId="7B73B086">
                  <w:pPr>
                    <w:pStyle w:val="200"/>
                    <w:spacing w:before="24" w:after="24"/>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p>
              </w:tc>
              <w:tc>
                <w:tcPr>
                  <w:tcW w:w="1004" w:type="dxa"/>
                  <w:noWrap w:val="0"/>
                  <w:vAlign w:val="center"/>
                </w:tcPr>
                <w:p w14:paraId="126F016F">
                  <w:pPr>
                    <w:spacing w:before="24" w:after="24"/>
                    <w:jc w:val="center"/>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3078</w:t>
                  </w:r>
                </w:p>
              </w:tc>
            </w:tr>
            <w:tr w14:paraId="7A250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653" w:type="dxa"/>
                  <w:noWrap w:val="0"/>
                  <w:vAlign w:val="center"/>
                </w:tcPr>
                <w:p w14:paraId="778356E0">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混合机</w:t>
                  </w:r>
                </w:p>
              </w:tc>
              <w:tc>
                <w:tcPr>
                  <w:tcW w:w="709" w:type="dxa"/>
                  <w:noWrap w:val="0"/>
                  <w:vAlign w:val="center"/>
                </w:tcPr>
                <w:p w14:paraId="7E1B7F88">
                  <w:pPr>
                    <w:pStyle w:val="200"/>
                    <w:spacing w:before="24" w:after="24"/>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三班倒</w:t>
                  </w:r>
                </w:p>
              </w:tc>
              <w:tc>
                <w:tcPr>
                  <w:tcW w:w="850" w:type="dxa"/>
                  <w:noWrap w:val="0"/>
                  <w:vAlign w:val="center"/>
                </w:tcPr>
                <w:p w14:paraId="6FE8B3B4">
                  <w:pPr>
                    <w:spacing w:before="24" w:after="24"/>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w:t>
                  </w:r>
                  <w:r>
                    <w:rPr>
                      <w:rFonts w:hint="eastAsia" w:ascii="Times New Roman" w:hAnsi="Times New Roman" w:cs="Times New Roman"/>
                      <w:color w:val="auto"/>
                      <w:sz w:val="18"/>
                      <w:szCs w:val="18"/>
                      <w:highlight w:val="none"/>
                      <w:lang w:val="en-US" w:eastAsia="zh-CN"/>
                    </w:rPr>
                    <w:t>3</w:t>
                  </w:r>
                </w:p>
              </w:tc>
              <w:tc>
                <w:tcPr>
                  <w:tcW w:w="993" w:type="dxa"/>
                  <w:noWrap w:val="0"/>
                  <w:vAlign w:val="center"/>
                </w:tcPr>
                <w:p w14:paraId="3C4DC2AB">
                  <w:pPr>
                    <w:spacing w:before="24" w:after="24"/>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w:t>
                  </w:r>
                  <w:r>
                    <w:rPr>
                      <w:rFonts w:hint="eastAsia" w:ascii="Times New Roman" w:hAnsi="Times New Roman" w:cs="Times New Roman"/>
                      <w:color w:val="auto"/>
                      <w:sz w:val="18"/>
                      <w:szCs w:val="18"/>
                      <w:highlight w:val="none"/>
                      <w:lang w:val="en-US" w:eastAsia="zh-CN"/>
                    </w:rPr>
                    <w:t>1</w:t>
                  </w:r>
                </w:p>
              </w:tc>
              <w:tc>
                <w:tcPr>
                  <w:tcW w:w="708" w:type="dxa"/>
                  <w:noWrap w:val="0"/>
                  <w:vAlign w:val="center"/>
                </w:tcPr>
                <w:p w14:paraId="601FFC73">
                  <w:pPr>
                    <w:spacing w:before="24" w:after="24"/>
                    <w:jc w:val="center"/>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1</w:t>
                  </w:r>
                </w:p>
              </w:tc>
              <w:tc>
                <w:tcPr>
                  <w:tcW w:w="709" w:type="dxa"/>
                  <w:noWrap w:val="0"/>
                  <w:vAlign w:val="center"/>
                </w:tcPr>
                <w:p w14:paraId="7B677722">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0.3</w:t>
                  </w:r>
                </w:p>
              </w:tc>
              <w:tc>
                <w:tcPr>
                  <w:tcW w:w="851" w:type="dxa"/>
                  <w:noWrap w:val="0"/>
                  <w:vAlign w:val="center"/>
                </w:tcPr>
                <w:p w14:paraId="094EFDB6">
                  <w:pPr>
                    <w:spacing w:before="24" w:after="24"/>
                    <w:jc w:val="center"/>
                    <w:rPr>
                      <w:rFonts w:hint="default" w:ascii="Times New Roman" w:hAnsi="Times New Roman" w:cs="Times New Roman"/>
                      <w:color w:val="auto"/>
                      <w:sz w:val="18"/>
                      <w:szCs w:val="18"/>
                      <w:highlight w:val="none"/>
                      <w:lang w:val="en-US" w:eastAsia="zh-CN"/>
                    </w:rPr>
                  </w:pPr>
                  <w:r>
                    <w:rPr>
                      <w:rFonts w:hint="eastAsia" w:ascii="Times New Roman" w:hAnsi="Times New Roman" w:eastAsia="宋体" w:cs="Times New Roman"/>
                      <w:color w:val="auto"/>
                      <w:kern w:val="0"/>
                      <w:sz w:val="18"/>
                      <w:szCs w:val="18"/>
                      <w:highlight w:val="none"/>
                      <w:lang w:val="en-US" w:eastAsia="zh-CN" w:bidi="ar-SA"/>
                    </w:rPr>
                    <w:t>1539</w:t>
                  </w:r>
                </w:p>
              </w:tc>
              <w:tc>
                <w:tcPr>
                  <w:tcW w:w="555" w:type="dxa"/>
                  <w:noWrap w:val="0"/>
                  <w:vAlign w:val="center"/>
                </w:tcPr>
                <w:p w14:paraId="3C0FD09D">
                  <w:pPr>
                    <w:pStyle w:val="200"/>
                    <w:spacing w:before="24" w:after="24"/>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p>
              </w:tc>
              <w:tc>
                <w:tcPr>
                  <w:tcW w:w="1004" w:type="dxa"/>
                  <w:noWrap w:val="0"/>
                  <w:vAlign w:val="center"/>
                </w:tcPr>
                <w:p w14:paraId="628F975F">
                  <w:pPr>
                    <w:spacing w:before="24" w:after="24"/>
                    <w:jc w:val="center"/>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3078</w:t>
                  </w:r>
                </w:p>
              </w:tc>
            </w:tr>
            <w:tr w14:paraId="10405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653" w:type="dxa"/>
                  <w:noWrap w:val="0"/>
                  <w:vAlign w:val="center"/>
                </w:tcPr>
                <w:p w14:paraId="6D21A691">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粗筛</w:t>
                  </w:r>
                </w:p>
              </w:tc>
              <w:tc>
                <w:tcPr>
                  <w:tcW w:w="709" w:type="dxa"/>
                  <w:noWrap w:val="0"/>
                  <w:vAlign w:val="center"/>
                </w:tcPr>
                <w:p w14:paraId="1E78CF1B">
                  <w:pPr>
                    <w:pStyle w:val="200"/>
                    <w:spacing w:before="24" w:after="24"/>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三班倒</w:t>
                  </w:r>
                </w:p>
              </w:tc>
              <w:tc>
                <w:tcPr>
                  <w:tcW w:w="850" w:type="dxa"/>
                  <w:noWrap w:val="0"/>
                  <w:vAlign w:val="center"/>
                </w:tcPr>
                <w:p w14:paraId="161CFDE4">
                  <w:pPr>
                    <w:spacing w:before="24" w:after="24"/>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w:t>
                  </w:r>
                  <w:r>
                    <w:rPr>
                      <w:rFonts w:hint="eastAsia" w:ascii="Times New Roman" w:hAnsi="Times New Roman" w:cs="Times New Roman"/>
                      <w:color w:val="auto"/>
                      <w:sz w:val="18"/>
                      <w:szCs w:val="18"/>
                      <w:highlight w:val="none"/>
                      <w:lang w:val="en-US" w:eastAsia="zh-CN"/>
                    </w:rPr>
                    <w:t>3</w:t>
                  </w:r>
                </w:p>
              </w:tc>
              <w:tc>
                <w:tcPr>
                  <w:tcW w:w="993" w:type="dxa"/>
                  <w:noWrap w:val="0"/>
                  <w:vAlign w:val="center"/>
                </w:tcPr>
                <w:p w14:paraId="7F993333">
                  <w:pPr>
                    <w:spacing w:before="24" w:after="24"/>
                    <w:jc w:val="center"/>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1×</w:t>
                  </w:r>
                  <w:r>
                    <w:rPr>
                      <w:rFonts w:hint="eastAsia" w:ascii="Times New Roman" w:hAnsi="Times New Roman" w:cs="Times New Roman"/>
                      <w:color w:val="auto"/>
                      <w:sz w:val="18"/>
                      <w:szCs w:val="18"/>
                      <w:highlight w:val="none"/>
                      <w:lang w:val="en-US" w:eastAsia="zh-CN"/>
                    </w:rPr>
                    <w:t>1</w:t>
                  </w:r>
                </w:p>
              </w:tc>
              <w:tc>
                <w:tcPr>
                  <w:tcW w:w="708" w:type="dxa"/>
                  <w:noWrap w:val="0"/>
                  <w:vAlign w:val="center"/>
                </w:tcPr>
                <w:p w14:paraId="1EE2A562">
                  <w:pPr>
                    <w:spacing w:before="24" w:after="24"/>
                    <w:jc w:val="center"/>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1</w:t>
                  </w:r>
                </w:p>
              </w:tc>
              <w:tc>
                <w:tcPr>
                  <w:tcW w:w="709" w:type="dxa"/>
                  <w:noWrap w:val="0"/>
                  <w:vAlign w:val="center"/>
                </w:tcPr>
                <w:p w14:paraId="136D8C97">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0.3</w:t>
                  </w:r>
                </w:p>
              </w:tc>
              <w:tc>
                <w:tcPr>
                  <w:tcW w:w="851" w:type="dxa"/>
                  <w:noWrap w:val="0"/>
                  <w:vAlign w:val="center"/>
                </w:tcPr>
                <w:p w14:paraId="79E082AB">
                  <w:pPr>
                    <w:spacing w:before="24" w:after="24"/>
                    <w:jc w:val="center"/>
                    <w:rPr>
                      <w:rFonts w:hint="default" w:ascii="Times New Roman" w:hAnsi="Times New Roman" w:cs="Times New Roman"/>
                      <w:color w:val="auto"/>
                      <w:sz w:val="18"/>
                      <w:szCs w:val="18"/>
                      <w:highlight w:val="none"/>
                      <w:lang w:val="en-US" w:eastAsia="zh-CN"/>
                    </w:rPr>
                  </w:pPr>
                  <w:r>
                    <w:rPr>
                      <w:rFonts w:hint="eastAsia" w:ascii="Times New Roman" w:hAnsi="Times New Roman" w:eastAsia="宋体" w:cs="Times New Roman"/>
                      <w:color w:val="auto"/>
                      <w:kern w:val="0"/>
                      <w:sz w:val="18"/>
                      <w:szCs w:val="18"/>
                      <w:highlight w:val="none"/>
                      <w:lang w:val="en-US" w:eastAsia="zh-CN" w:bidi="ar-SA"/>
                    </w:rPr>
                    <w:t>1539</w:t>
                  </w:r>
                </w:p>
              </w:tc>
              <w:tc>
                <w:tcPr>
                  <w:tcW w:w="555" w:type="dxa"/>
                  <w:noWrap w:val="0"/>
                  <w:vAlign w:val="center"/>
                </w:tcPr>
                <w:p w14:paraId="262B00D3">
                  <w:pPr>
                    <w:pStyle w:val="200"/>
                    <w:spacing w:before="24" w:after="24"/>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w:t>
                  </w:r>
                </w:p>
              </w:tc>
              <w:tc>
                <w:tcPr>
                  <w:tcW w:w="1004" w:type="dxa"/>
                  <w:noWrap w:val="0"/>
                  <w:vAlign w:val="center"/>
                </w:tcPr>
                <w:p w14:paraId="11573F6D">
                  <w:pPr>
                    <w:spacing w:before="24" w:after="24"/>
                    <w:jc w:val="center"/>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1539</w:t>
                  </w:r>
                </w:p>
              </w:tc>
            </w:tr>
            <w:tr w14:paraId="5442B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653" w:type="dxa"/>
                  <w:noWrap w:val="0"/>
                  <w:vAlign w:val="center"/>
                </w:tcPr>
                <w:p w14:paraId="2FEE82CC">
                  <w:pPr>
                    <w:pStyle w:val="43"/>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整形</w:t>
                  </w:r>
                </w:p>
              </w:tc>
              <w:tc>
                <w:tcPr>
                  <w:tcW w:w="709" w:type="dxa"/>
                  <w:noWrap w:val="0"/>
                  <w:vAlign w:val="center"/>
                </w:tcPr>
                <w:p w14:paraId="3DF5A99D">
                  <w:pPr>
                    <w:pStyle w:val="200"/>
                    <w:spacing w:before="24" w:after="24"/>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三班倒</w:t>
                  </w:r>
                </w:p>
              </w:tc>
              <w:tc>
                <w:tcPr>
                  <w:tcW w:w="850" w:type="dxa"/>
                  <w:noWrap w:val="0"/>
                  <w:vAlign w:val="center"/>
                </w:tcPr>
                <w:p w14:paraId="5E611C1A">
                  <w:pPr>
                    <w:spacing w:before="24" w:after="24"/>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w:t>
                  </w:r>
                  <w:r>
                    <w:rPr>
                      <w:rFonts w:hint="eastAsia" w:ascii="Times New Roman" w:hAnsi="Times New Roman" w:cs="Times New Roman"/>
                      <w:color w:val="auto"/>
                      <w:sz w:val="18"/>
                      <w:szCs w:val="18"/>
                      <w:highlight w:val="none"/>
                      <w:lang w:val="en-US" w:eastAsia="zh-CN"/>
                    </w:rPr>
                    <w:t>3</w:t>
                  </w:r>
                </w:p>
              </w:tc>
              <w:tc>
                <w:tcPr>
                  <w:tcW w:w="993" w:type="dxa"/>
                  <w:noWrap w:val="0"/>
                  <w:vAlign w:val="center"/>
                </w:tcPr>
                <w:p w14:paraId="6954C89F">
                  <w:pPr>
                    <w:spacing w:before="24" w:after="24"/>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w:t>
                  </w:r>
                  <w:r>
                    <w:rPr>
                      <w:rFonts w:hint="eastAsia" w:ascii="Times New Roman" w:hAnsi="Times New Roman" w:cs="Times New Roman"/>
                      <w:color w:val="auto"/>
                      <w:sz w:val="18"/>
                      <w:szCs w:val="18"/>
                      <w:highlight w:val="none"/>
                      <w:lang w:val="en-US" w:eastAsia="zh-CN"/>
                    </w:rPr>
                    <w:t>1</w:t>
                  </w:r>
                </w:p>
              </w:tc>
              <w:tc>
                <w:tcPr>
                  <w:tcW w:w="708" w:type="dxa"/>
                  <w:noWrap w:val="0"/>
                  <w:vAlign w:val="center"/>
                </w:tcPr>
                <w:p w14:paraId="1281A797">
                  <w:pPr>
                    <w:spacing w:before="24" w:after="24"/>
                    <w:jc w:val="center"/>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1</w:t>
                  </w:r>
                </w:p>
              </w:tc>
              <w:tc>
                <w:tcPr>
                  <w:tcW w:w="709" w:type="dxa"/>
                  <w:noWrap w:val="0"/>
                  <w:vAlign w:val="center"/>
                </w:tcPr>
                <w:p w14:paraId="5F5783D8">
                  <w:pPr>
                    <w:pStyle w:val="200"/>
                    <w:spacing w:before="24" w:after="24"/>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0.3</w:t>
                  </w:r>
                </w:p>
              </w:tc>
              <w:tc>
                <w:tcPr>
                  <w:tcW w:w="851" w:type="dxa"/>
                  <w:noWrap w:val="0"/>
                  <w:vAlign w:val="center"/>
                </w:tcPr>
                <w:p w14:paraId="4D729C03">
                  <w:pPr>
                    <w:spacing w:before="24" w:after="24"/>
                    <w:jc w:val="center"/>
                    <w:rPr>
                      <w:rFonts w:hint="default" w:ascii="Times New Roman" w:hAnsi="Times New Roman" w:cs="Times New Roman"/>
                      <w:color w:val="auto"/>
                      <w:sz w:val="18"/>
                      <w:szCs w:val="18"/>
                      <w:highlight w:val="none"/>
                      <w:lang w:val="en-US" w:eastAsia="zh-CN"/>
                    </w:rPr>
                  </w:pPr>
                  <w:r>
                    <w:rPr>
                      <w:rFonts w:hint="eastAsia" w:ascii="Times New Roman" w:hAnsi="Times New Roman" w:eastAsia="宋体" w:cs="Times New Roman"/>
                      <w:color w:val="auto"/>
                      <w:kern w:val="0"/>
                      <w:sz w:val="18"/>
                      <w:szCs w:val="18"/>
                      <w:highlight w:val="none"/>
                      <w:lang w:val="en-US" w:eastAsia="zh-CN" w:bidi="ar-SA"/>
                    </w:rPr>
                    <w:t>1539</w:t>
                  </w:r>
                </w:p>
              </w:tc>
              <w:tc>
                <w:tcPr>
                  <w:tcW w:w="555" w:type="dxa"/>
                  <w:noWrap w:val="0"/>
                  <w:vAlign w:val="center"/>
                </w:tcPr>
                <w:p w14:paraId="76B098A1">
                  <w:pPr>
                    <w:pStyle w:val="200"/>
                    <w:spacing w:before="24" w:after="24"/>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w:t>
                  </w:r>
                </w:p>
              </w:tc>
              <w:tc>
                <w:tcPr>
                  <w:tcW w:w="1004" w:type="dxa"/>
                  <w:noWrap w:val="0"/>
                  <w:vAlign w:val="center"/>
                </w:tcPr>
                <w:p w14:paraId="56DF6A70">
                  <w:pPr>
                    <w:spacing w:before="24" w:after="24"/>
                    <w:jc w:val="center"/>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1539</w:t>
                  </w:r>
                </w:p>
              </w:tc>
            </w:tr>
            <w:tr w14:paraId="1BF8A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028" w:type="dxa"/>
                  <w:gridSpan w:val="8"/>
                  <w:noWrap w:val="0"/>
                  <w:vAlign w:val="center"/>
                </w:tcPr>
                <w:p w14:paraId="1433EBD2">
                  <w:pPr>
                    <w:pStyle w:val="200"/>
                    <w:spacing w:before="24" w:after="24"/>
                    <w:rPr>
                      <w:rFonts w:hint="default" w:ascii="Times New Roman" w:hAnsi="Times New Roman"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总计</w:t>
                  </w:r>
                </w:p>
              </w:tc>
              <w:tc>
                <w:tcPr>
                  <w:tcW w:w="1004" w:type="dxa"/>
                  <w:noWrap w:val="0"/>
                  <w:vAlign w:val="center"/>
                </w:tcPr>
                <w:p w14:paraId="056B5582">
                  <w:pPr>
                    <w:pStyle w:val="200"/>
                    <w:spacing w:before="24" w:after="24"/>
                    <w:rPr>
                      <w:rFonts w:hint="default" w:ascii="Times New Roman" w:hAnsi="Times New Roman" w:cs="Times New Roman"/>
                      <w:color w:val="auto"/>
                      <w:kern w:val="0"/>
                      <w:sz w:val="18"/>
                      <w:szCs w:val="18"/>
                      <w:highlight w:val="none"/>
                      <w:lang w:val="en-US" w:eastAsia="zh-CN" w:bidi="ar-SA"/>
                    </w:rPr>
                  </w:pPr>
                  <w:r>
                    <w:rPr>
                      <w:rFonts w:hint="eastAsia" w:ascii="Times New Roman" w:hAnsi="Times New Roman" w:cs="Times New Roman"/>
                      <w:color w:val="auto"/>
                      <w:kern w:val="0"/>
                      <w:sz w:val="18"/>
                      <w:szCs w:val="18"/>
                      <w:highlight w:val="none"/>
                      <w:lang w:val="en-US" w:eastAsia="zh-CN" w:bidi="ar-SA"/>
                    </w:rPr>
                    <w:t>17172</w:t>
                  </w:r>
                </w:p>
              </w:tc>
            </w:tr>
          </w:tbl>
          <w:p w14:paraId="6F777D67">
            <w:pPr>
              <w:pStyle w:val="80"/>
              <w:numPr>
                <w:ilvl w:val="0"/>
                <w:numId w:val="0"/>
              </w:numPr>
              <w:spacing w:after="0" w:line="360" w:lineRule="auto"/>
              <w:ind w:firstLine="420" w:firstLineChars="200"/>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经计算，</w:t>
            </w:r>
            <w:r>
              <w:rPr>
                <w:rFonts w:hint="eastAsia" w:cs="Times New Roman"/>
                <w:color w:val="auto"/>
                <w:sz w:val="21"/>
                <w:szCs w:val="21"/>
                <w:highlight w:val="none"/>
                <w:lang w:eastAsia="zh-CN"/>
              </w:rPr>
              <w:t>一期项目</w:t>
            </w:r>
            <w:r>
              <w:rPr>
                <w:rFonts w:hint="default" w:ascii="Times New Roman" w:hAnsi="Times New Roman" w:cs="Times New Roman"/>
                <w:color w:val="auto"/>
                <w:sz w:val="21"/>
                <w:szCs w:val="21"/>
                <w:highlight w:val="none"/>
                <w:lang w:val="en-US" w:eastAsia="zh-CN"/>
              </w:rPr>
              <w:t>DA003排气筒</w:t>
            </w:r>
            <w:r>
              <w:rPr>
                <w:rFonts w:hint="default" w:ascii="Times New Roman" w:hAnsi="Times New Roman" w:cs="Times New Roman"/>
                <w:color w:val="auto"/>
                <w:sz w:val="21"/>
                <w:szCs w:val="21"/>
                <w:highlight w:val="none"/>
              </w:rPr>
              <w:t>布袋除尘器配套风机风量</w:t>
            </w:r>
            <w:r>
              <w:rPr>
                <w:rFonts w:hint="eastAsia"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000m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可满足</w:t>
            </w:r>
            <w:r>
              <w:rPr>
                <w:rFonts w:hint="eastAsia" w:ascii="Times New Roman" w:hAnsi="Times New Roman" w:cs="Times New Roman"/>
                <w:color w:val="auto"/>
                <w:sz w:val="21"/>
                <w:szCs w:val="21"/>
                <w:highlight w:val="none"/>
                <w:lang w:val="en-US" w:eastAsia="zh-CN"/>
              </w:rPr>
              <w:t>风机风量</w:t>
            </w:r>
            <w:r>
              <w:rPr>
                <w:rFonts w:hint="default" w:ascii="Times New Roman" w:hAnsi="Times New Roman" w:cs="Times New Roman"/>
                <w:color w:val="auto"/>
                <w:sz w:val="21"/>
                <w:szCs w:val="21"/>
                <w:highlight w:val="none"/>
                <w:lang w:val="en-US" w:eastAsia="zh-CN"/>
              </w:rPr>
              <w:t>要求</w:t>
            </w:r>
            <w:r>
              <w:rPr>
                <w:rFonts w:hint="eastAsia" w:ascii="Times New Roman" w:hAnsi="Times New Roman" w:cs="Times New Roman"/>
                <w:color w:val="auto"/>
                <w:sz w:val="21"/>
                <w:szCs w:val="21"/>
                <w:highlight w:val="none"/>
                <w:lang w:val="en-US" w:eastAsia="zh-CN"/>
              </w:rPr>
              <w:t>（17172</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w:t>
            </w:r>
            <w:r>
              <w:rPr>
                <w:rFonts w:hint="eastAsia" w:ascii="Times New Roman" w:hAnsi="Times New Roman" w:cs="Times New Roman"/>
                <w:color w:val="auto"/>
                <w:sz w:val="21"/>
                <w:szCs w:val="21"/>
                <w:highlight w:val="none"/>
                <w:lang w:val="en-US" w:eastAsia="zh-CN"/>
              </w:rPr>
              <w:t>）。</w:t>
            </w:r>
          </w:p>
          <w:p w14:paraId="13A03A4E">
            <w:pPr>
              <w:pStyle w:val="80"/>
              <w:numPr>
                <w:ilvl w:val="0"/>
                <w:numId w:val="0"/>
              </w:numPr>
              <w:spacing w:after="0" w:line="360" w:lineRule="auto"/>
              <w:ind w:leftChars="20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4</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治理措施可行性分析</w:t>
            </w:r>
          </w:p>
          <w:p w14:paraId="499FFFEF">
            <w:pPr>
              <w:keepNext w:val="0"/>
              <w:keepLines w:val="0"/>
              <w:widowControl/>
              <w:suppressLineNumbers w:val="0"/>
              <w:spacing w:line="360" w:lineRule="auto"/>
              <w:ind w:firstLine="420" w:firstLineChars="200"/>
              <w:jc w:val="both"/>
              <w:rPr>
                <w:rFonts w:hint="default" w:cs="Times New Roman"/>
                <w:color w:val="auto"/>
                <w:szCs w:val="21"/>
                <w:highlight w:val="none"/>
                <w:lang w:val="en-US" w:eastAsia="zh-CN"/>
              </w:rPr>
            </w:pPr>
            <w:r>
              <w:rPr>
                <w:rFonts w:hint="eastAsia" w:cs="Times New Roman"/>
                <w:color w:val="auto"/>
                <w:szCs w:val="21"/>
                <w:highlight w:val="none"/>
                <w:lang w:val="en-US" w:eastAsia="zh-CN"/>
              </w:rPr>
              <w:t>一期项目</w:t>
            </w:r>
            <w:r>
              <w:rPr>
                <w:rFonts w:hint="default" w:ascii="Times New Roman" w:hAnsi="Times New Roman" w:cs="Times New Roman"/>
                <w:color w:val="auto"/>
                <w:szCs w:val="21"/>
                <w:highlight w:val="none"/>
                <w:lang w:val="en-US" w:eastAsia="zh-CN"/>
              </w:rPr>
              <w:t>产品为</w:t>
            </w:r>
            <w:r>
              <w:rPr>
                <w:rFonts w:hint="eastAsia" w:cs="Times New Roman"/>
                <w:color w:val="auto"/>
                <w:szCs w:val="21"/>
                <w:highlight w:val="none"/>
                <w:lang w:val="en-US" w:eastAsia="zh-CN"/>
              </w:rPr>
              <w:t>复合肥</w:t>
            </w:r>
            <w:r>
              <w:rPr>
                <w:rFonts w:hint="default" w:ascii="Times New Roman" w:hAnsi="Times New Roman" w:cs="Times New Roman"/>
                <w:color w:val="auto"/>
                <w:szCs w:val="21"/>
                <w:highlight w:val="none"/>
                <w:lang w:val="en-US" w:eastAsia="zh-CN"/>
              </w:rPr>
              <w:t>，</w:t>
            </w:r>
            <w:r>
              <w:rPr>
                <w:rFonts w:hint="eastAsia" w:cs="Times New Roman"/>
                <w:color w:val="auto"/>
                <w:szCs w:val="21"/>
                <w:highlight w:val="none"/>
                <w:lang w:val="en-US" w:eastAsia="zh-CN"/>
              </w:rPr>
              <w:t>参照《</w:t>
            </w:r>
            <w:r>
              <w:rPr>
                <w:rFonts w:hint="eastAsia" w:cs="Times New Roman"/>
                <w:color w:val="auto"/>
                <w:szCs w:val="21"/>
                <w:highlight w:val="none"/>
                <w:lang w:val="en-US" w:eastAsia="zh-CN"/>
              </w:rPr>
              <w:fldChar w:fldCharType="begin"/>
            </w:r>
            <w:r>
              <w:rPr>
                <w:rFonts w:hint="eastAsia" w:cs="Times New Roman"/>
                <w:color w:val="auto"/>
                <w:szCs w:val="21"/>
                <w:highlight w:val="none"/>
                <w:lang w:val="en-US" w:eastAsia="zh-CN"/>
              </w:rPr>
              <w:instrText xml:space="preserve"> HYPERLINK "https://www.mee.gov.cn/ywgz/fgbz/bz/bzwb/pwxk/201809/W020180927570332154369.pdf" </w:instrText>
            </w:r>
            <w:r>
              <w:rPr>
                <w:rFonts w:hint="eastAsia" w:cs="Times New Roman"/>
                <w:color w:val="auto"/>
                <w:szCs w:val="21"/>
                <w:highlight w:val="none"/>
                <w:lang w:val="en-US" w:eastAsia="zh-CN"/>
              </w:rPr>
              <w:fldChar w:fldCharType="separate"/>
            </w:r>
            <w:r>
              <w:rPr>
                <w:rFonts w:hint="eastAsia" w:cs="Times New Roman"/>
                <w:color w:val="auto"/>
                <w:szCs w:val="21"/>
                <w:highlight w:val="none"/>
                <w:lang w:val="en-US" w:eastAsia="zh-CN"/>
              </w:rPr>
              <w:t>排污许可证申请与核发技术规范 磷肥、钾肥、复混钾肥 、有机肥料及微生物肥料工业》（HJ 864.2-2018）</w:t>
            </w:r>
            <w:r>
              <w:rPr>
                <w:rFonts w:hint="eastAsia" w:cs="Times New Roman"/>
                <w:color w:val="auto"/>
                <w:szCs w:val="21"/>
                <w:highlight w:val="none"/>
                <w:lang w:val="en-US" w:eastAsia="zh-CN"/>
              </w:rPr>
              <w:fldChar w:fldCharType="end"/>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表 14 复混肥料（复合肥料）工业排污单位生产单元或设施废气治理可行技术参照表</w:t>
            </w:r>
            <w:r>
              <w:rPr>
                <w:rFonts w:hint="default" w:ascii="Times New Roman" w:hAnsi="Times New Roman" w:cs="Times New Roman"/>
                <w:color w:val="auto"/>
                <w:szCs w:val="21"/>
                <w:highlight w:val="none"/>
              </w:rPr>
              <w:t>”，</w:t>
            </w:r>
            <w:r>
              <w:rPr>
                <w:rFonts w:hint="eastAsia" w:cs="Times New Roman"/>
                <w:color w:val="auto"/>
                <w:szCs w:val="21"/>
                <w:highlight w:val="none"/>
                <w:lang w:val="en-US" w:eastAsia="zh-CN"/>
              </w:rPr>
              <w:t>备料、筛分、破碎、冷却、包装工序</w:t>
            </w:r>
            <w:r>
              <w:rPr>
                <w:rFonts w:hint="default" w:ascii="Times New Roman" w:hAnsi="Times New Roman" w:cs="Times New Roman"/>
                <w:color w:val="auto"/>
                <w:szCs w:val="21"/>
                <w:highlight w:val="none"/>
              </w:rPr>
              <w:t>对</w:t>
            </w:r>
            <w:r>
              <w:rPr>
                <w:rFonts w:hint="eastAsia" w:ascii="Times New Roman" w:hAnsi="Times New Roman" w:cs="Times New Roman"/>
                <w:color w:val="auto"/>
                <w:szCs w:val="21"/>
                <w:highlight w:val="none"/>
                <w:lang w:val="en-US" w:eastAsia="zh-CN"/>
              </w:rPr>
              <w:t>处理</w:t>
            </w:r>
            <w:r>
              <w:rPr>
                <w:rFonts w:hint="default" w:ascii="Times New Roman" w:hAnsi="Times New Roman" w:cs="Times New Roman"/>
                <w:color w:val="auto"/>
                <w:szCs w:val="21"/>
                <w:highlight w:val="none"/>
              </w:rPr>
              <w:t>颗粒物</w:t>
            </w:r>
            <w:r>
              <w:rPr>
                <w:rFonts w:hint="eastAsia" w:cs="Times New Roman"/>
                <w:color w:val="auto"/>
                <w:szCs w:val="21"/>
                <w:highlight w:val="none"/>
                <w:lang w:val="en-US" w:eastAsia="zh-CN"/>
              </w:rPr>
              <w:t>的可行技术为袋式除尘，造粒工序对颗粒物、氨的可行技术为湿式除尘+除雾，干燥工序对</w:t>
            </w:r>
            <w:r>
              <w:rPr>
                <w:rFonts w:hint="eastAsia" w:ascii="Times New Roman" w:hAnsi="Times New Roman" w:cs="Times New Roman"/>
                <w:color w:val="auto"/>
                <w:szCs w:val="21"/>
                <w:highlight w:val="none"/>
                <w:lang w:val="en-US" w:eastAsia="zh-CN"/>
              </w:rPr>
              <w:t>处理</w:t>
            </w:r>
            <w:r>
              <w:rPr>
                <w:rFonts w:hint="eastAsia" w:cs="Times New Roman"/>
                <w:color w:val="auto"/>
                <w:szCs w:val="21"/>
                <w:highlight w:val="none"/>
                <w:lang w:val="en-US" w:eastAsia="zh-CN"/>
              </w:rPr>
              <w:t>颗粒物的可行技术为湿式除尘+除雾、湿电除尘，对处理SO</w:t>
            </w:r>
            <w:r>
              <w:rPr>
                <w:rFonts w:hint="eastAsia" w:cs="Times New Roman"/>
                <w:color w:val="auto"/>
                <w:szCs w:val="21"/>
                <w:highlight w:val="none"/>
                <w:vertAlign w:val="subscript"/>
                <w:lang w:val="en-US" w:eastAsia="zh-CN"/>
              </w:rPr>
              <w:t>2</w:t>
            </w:r>
            <w:r>
              <w:rPr>
                <w:rFonts w:hint="eastAsia" w:cs="Times New Roman"/>
                <w:color w:val="auto"/>
                <w:szCs w:val="21"/>
                <w:highlight w:val="none"/>
                <w:lang w:val="en-US" w:eastAsia="zh-CN"/>
              </w:rPr>
              <w:t>的可行技术为低硫燃料。</w:t>
            </w:r>
          </w:p>
          <w:p w14:paraId="6E13CCC8">
            <w:pPr>
              <w:keepNext w:val="0"/>
              <w:keepLines w:val="0"/>
              <w:widowControl/>
              <w:suppressLineNumbers w:val="0"/>
              <w:spacing w:line="360" w:lineRule="auto"/>
              <w:ind w:firstLine="420" w:firstLineChars="200"/>
              <w:jc w:val="both"/>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因此，</w:t>
            </w:r>
            <w:r>
              <w:rPr>
                <w:rFonts w:hint="eastAsia" w:cs="Times New Roman"/>
                <w:color w:val="auto"/>
                <w:kern w:val="0"/>
                <w:sz w:val="21"/>
                <w:szCs w:val="21"/>
                <w:highlight w:val="none"/>
                <w:lang w:val="en-US" w:eastAsia="zh-CN" w:bidi="ar"/>
              </w:rPr>
              <w:t>一期项目</w:t>
            </w:r>
            <w:r>
              <w:rPr>
                <w:rFonts w:hint="default" w:ascii="Times New Roman" w:hAnsi="Times New Roman" w:cs="Times New Roman"/>
                <w:bCs/>
                <w:color w:val="auto"/>
                <w:highlight w:val="none"/>
                <w:lang w:val="en-US" w:eastAsia="zh-CN"/>
              </w:rPr>
              <w:t>原料</w:t>
            </w:r>
            <w:r>
              <w:rPr>
                <w:rFonts w:hint="eastAsia" w:cs="Times New Roman"/>
                <w:bCs/>
                <w:color w:val="auto"/>
                <w:highlight w:val="none"/>
                <w:lang w:val="en-US" w:eastAsia="zh-CN"/>
              </w:rPr>
              <w:t>破碎、筛分、配料、混合、粗筛、整形</w:t>
            </w:r>
            <w:r>
              <w:rPr>
                <w:rFonts w:hint="default" w:ascii="Times New Roman" w:hAnsi="Times New Roman" w:cs="Times New Roman"/>
                <w:bCs/>
                <w:color w:val="auto"/>
                <w:highlight w:val="none"/>
                <w:lang w:val="en-US" w:eastAsia="zh-CN"/>
              </w:rPr>
              <w:t>、精筛、</w:t>
            </w:r>
            <w:r>
              <w:rPr>
                <w:rFonts w:hint="eastAsia" w:cs="Times New Roman"/>
                <w:bCs/>
                <w:color w:val="auto"/>
                <w:highlight w:val="none"/>
                <w:lang w:val="en-US" w:eastAsia="zh-CN"/>
              </w:rPr>
              <w:t>冷却、入仓、包膜、包装工序使用</w:t>
            </w:r>
            <w:r>
              <w:rPr>
                <w:rFonts w:hint="default" w:ascii="Times New Roman" w:hAnsi="Times New Roman" w:cs="Times New Roman"/>
                <w:bCs/>
                <w:color w:val="auto"/>
                <w:sz w:val="21"/>
                <w:szCs w:val="21"/>
                <w:highlight w:val="none"/>
                <w:lang w:val="en-US" w:eastAsia="zh-CN"/>
              </w:rPr>
              <w:t>布袋除尘器</w:t>
            </w:r>
            <w:r>
              <w:rPr>
                <w:rFonts w:hint="default" w:ascii="Times New Roman" w:hAnsi="Times New Roman" w:cs="Times New Roman"/>
                <w:color w:val="auto"/>
                <w:szCs w:val="21"/>
                <w:highlight w:val="none"/>
              </w:rPr>
              <w:t>是可行技术</w:t>
            </w:r>
            <w:r>
              <w:rPr>
                <w:rFonts w:hint="eastAsia" w:cs="Times New Roman"/>
                <w:color w:val="auto"/>
                <w:szCs w:val="21"/>
                <w:highlight w:val="none"/>
                <w:lang w:eastAsia="zh-CN"/>
              </w:rPr>
              <w:t>；</w:t>
            </w:r>
            <w:r>
              <w:rPr>
                <w:rFonts w:hint="eastAsia" w:cs="Times New Roman"/>
                <w:color w:val="auto"/>
                <w:szCs w:val="21"/>
                <w:highlight w:val="none"/>
                <w:lang w:val="en-US" w:eastAsia="zh-CN"/>
              </w:rPr>
              <w:t>造粒和干燥工序使用布袋除尘器+喷淋塔处理颗粒物和氨是可行技术，一期项目烘干工序使用的燃料为天然气，为低硫燃料，因此处理SO</w:t>
            </w:r>
            <w:r>
              <w:rPr>
                <w:rFonts w:hint="eastAsia" w:cs="Times New Roman"/>
                <w:color w:val="auto"/>
                <w:szCs w:val="21"/>
                <w:highlight w:val="none"/>
                <w:vertAlign w:val="subscript"/>
                <w:lang w:val="en-US" w:eastAsia="zh-CN"/>
              </w:rPr>
              <w:t>2</w:t>
            </w:r>
            <w:r>
              <w:rPr>
                <w:rFonts w:hint="eastAsia" w:cs="Times New Roman"/>
                <w:color w:val="auto"/>
                <w:szCs w:val="21"/>
                <w:highlight w:val="none"/>
                <w:lang w:val="en-US" w:eastAsia="zh-CN"/>
              </w:rPr>
              <w:t>为可行技术</w:t>
            </w:r>
            <w:r>
              <w:rPr>
                <w:rFonts w:hint="default" w:ascii="Times New Roman" w:hAnsi="Times New Roman" w:cs="Times New Roman"/>
                <w:color w:val="auto"/>
                <w:szCs w:val="21"/>
                <w:highlight w:val="none"/>
                <w:lang w:eastAsia="zh-CN"/>
              </w:rPr>
              <w:t>。</w:t>
            </w:r>
          </w:p>
          <w:p w14:paraId="46D083D9">
            <w:pPr>
              <w:keepNext w:val="0"/>
              <w:keepLines w:val="0"/>
              <w:pageBreakBefore w:val="0"/>
              <w:widowControl w:val="0"/>
              <w:kinsoku/>
              <w:overflowPunct/>
              <w:topLinePunct w:val="0"/>
              <w:autoSpaceDE w:val="0"/>
              <w:autoSpaceDN w:val="0"/>
              <w:bidi w:val="0"/>
              <w:adjustRightInd w:val="0"/>
              <w:spacing w:line="360" w:lineRule="auto"/>
              <w:ind w:firstLine="422" w:firstLineChars="200"/>
              <w:jc w:val="left"/>
              <w:textAlignment w:val="auto"/>
              <w:rPr>
                <w:rFonts w:hint="default" w:ascii="Times New Roman" w:hAnsi="Times New Roman" w:cs="Times New Roman"/>
                <w:b/>
                <w:bCs w:val="0"/>
                <w:color w:val="auto"/>
                <w:sz w:val="21"/>
                <w:szCs w:val="21"/>
                <w:highlight w:val="none"/>
              </w:rPr>
            </w:pPr>
            <w:r>
              <w:rPr>
                <w:rFonts w:hint="default" w:ascii="Times New Roman" w:hAnsi="Times New Roman" w:cs="Times New Roman"/>
                <w:b/>
                <w:bCs w:val="0"/>
                <w:color w:val="auto"/>
                <w:sz w:val="21"/>
                <w:szCs w:val="21"/>
                <w:highlight w:val="none"/>
                <w:lang w:val="en-US" w:eastAsia="zh-CN"/>
              </w:rPr>
              <w:t>4、</w:t>
            </w:r>
            <w:r>
              <w:rPr>
                <w:rFonts w:hint="default" w:ascii="Times New Roman" w:hAnsi="Times New Roman" w:cs="Times New Roman"/>
                <w:b/>
                <w:bCs w:val="0"/>
                <w:color w:val="auto"/>
                <w:sz w:val="21"/>
                <w:szCs w:val="21"/>
                <w:highlight w:val="none"/>
              </w:rPr>
              <w:t>排气筒内径</w:t>
            </w:r>
          </w:p>
          <w:p w14:paraId="6B26AAFD">
            <w:pPr>
              <w:pStyle w:val="80"/>
              <w:keepNext w:val="0"/>
              <w:keepLines w:val="0"/>
              <w:pageBreakBefore w:val="0"/>
              <w:widowControl w:val="0"/>
              <w:kinsoku/>
              <w:wordWrap w:val="0"/>
              <w:overflowPunct/>
              <w:topLinePunct w:val="0"/>
              <w:bidi w:val="0"/>
              <w:spacing w:after="0" w:line="360" w:lineRule="auto"/>
              <w:ind w:left="0" w:leftChars="0"/>
              <w:jc w:val="both"/>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根据《大气污染治理工程技术导则》（HJ2000-2010），排气筒的出口直径应根据出口流速确定，流速宜取15m/s</w:t>
            </w:r>
            <w:r>
              <w:rPr>
                <w:rFonts w:hint="default" w:ascii="Times New Roman" w:hAnsi="Times New Roman" w:cs="Times New Roman"/>
                <w:color w:val="auto"/>
                <w:sz w:val="21"/>
                <w:szCs w:val="21"/>
                <w:highlight w:val="none"/>
                <w:lang w:val="en-US" w:eastAsia="zh-CN"/>
              </w:rPr>
              <w:t>~25</w:t>
            </w:r>
            <w:r>
              <w:rPr>
                <w:rFonts w:hint="default" w:ascii="Times New Roman" w:hAnsi="Times New Roman" w:cs="Times New Roman"/>
                <w:color w:val="auto"/>
                <w:sz w:val="21"/>
                <w:szCs w:val="21"/>
                <w:highlight w:val="none"/>
              </w:rPr>
              <w:t>m/s左右</w:t>
            </w:r>
            <w:r>
              <w:rPr>
                <w:rFonts w:hint="default" w:ascii="Times New Roman" w:hAnsi="Times New Roman" w:cs="Times New Roman"/>
                <w:color w:val="auto"/>
                <w:sz w:val="21"/>
                <w:szCs w:val="21"/>
                <w:highlight w:val="none"/>
                <w:lang w:eastAsia="zh-CN"/>
              </w:rPr>
              <w:t>。</w:t>
            </w:r>
          </w:p>
          <w:p w14:paraId="0BF48E78">
            <w:pPr>
              <w:pStyle w:val="80"/>
              <w:keepNext w:val="0"/>
              <w:keepLines w:val="0"/>
              <w:pageBreakBefore w:val="0"/>
              <w:widowControl w:val="0"/>
              <w:kinsoku/>
              <w:wordWrap w:val="0"/>
              <w:overflowPunct/>
              <w:topLinePunct w:val="0"/>
              <w:bidi w:val="0"/>
              <w:spacing w:after="0" w:line="360" w:lineRule="auto"/>
              <w:ind w:left="0" w:left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DA001</w:t>
            </w:r>
            <w:r>
              <w:rPr>
                <w:rFonts w:hint="default" w:ascii="Times New Roman" w:hAnsi="Times New Roman" w:eastAsia="宋体" w:cs="Times New Roman"/>
                <w:color w:val="auto"/>
                <w:sz w:val="21"/>
                <w:szCs w:val="21"/>
                <w:highlight w:val="none"/>
                <w:lang w:val="en-US" w:eastAsia="zh-CN"/>
              </w:rPr>
              <w:t>排气筒配套风机最大风量为</w:t>
            </w:r>
            <w:r>
              <w:rPr>
                <w:rFonts w:hint="eastAsia" w:cs="Times New Roman"/>
                <w:color w:val="auto"/>
                <w:sz w:val="21"/>
                <w:szCs w:val="21"/>
                <w:highlight w:val="none"/>
                <w:lang w:val="en-US" w:eastAsia="zh-CN"/>
              </w:rPr>
              <w:t>65</w:t>
            </w:r>
            <w:r>
              <w:rPr>
                <w:rFonts w:hint="default" w:ascii="Times New Roman" w:hAnsi="Times New Roman" w:cs="Times New Roman"/>
                <w:color w:val="auto"/>
                <w:sz w:val="21"/>
                <w:szCs w:val="21"/>
                <w:highlight w:val="none"/>
                <w:lang w:val="en-US" w:eastAsia="zh-CN"/>
              </w:rPr>
              <w:t>00</w:t>
            </w:r>
            <w:r>
              <w:rPr>
                <w:rFonts w:hint="default" w:ascii="Times New Roman" w:hAnsi="Times New Roman" w:cs="Times New Roman"/>
                <w:b w:val="0"/>
                <w:bCs w:val="0"/>
                <w:color w:val="auto"/>
                <w:sz w:val="21"/>
                <w:szCs w:val="21"/>
                <w:highlight w:val="none"/>
              </w:rPr>
              <w:t>m</w:t>
            </w:r>
            <w:r>
              <w:rPr>
                <w:rFonts w:hint="default" w:ascii="Times New Roman" w:hAnsi="Times New Roman" w:cs="Times New Roman"/>
                <w:b w:val="0"/>
                <w:bCs w:val="0"/>
                <w:color w:val="auto"/>
                <w:sz w:val="21"/>
                <w:szCs w:val="21"/>
                <w:highlight w:val="none"/>
                <w:vertAlign w:val="superscript"/>
              </w:rPr>
              <w:t>3</w:t>
            </w:r>
            <w:r>
              <w:rPr>
                <w:rFonts w:hint="default" w:ascii="Times New Roman" w:hAnsi="Times New Roman" w:cs="Times New Roman"/>
                <w:b w:val="0"/>
                <w:bCs w:val="0"/>
                <w:color w:val="auto"/>
                <w:sz w:val="21"/>
                <w:szCs w:val="21"/>
                <w:highlight w:val="none"/>
              </w:rPr>
              <w:t>/h</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出口流速</w:t>
            </w:r>
            <w:r>
              <w:rPr>
                <w:rFonts w:hint="default" w:ascii="Times New Roman" w:hAnsi="Times New Roman" w:cs="Times New Roman"/>
                <w:color w:val="auto"/>
                <w:sz w:val="21"/>
                <w:szCs w:val="21"/>
                <w:highlight w:val="none"/>
              </w:rPr>
              <w:t>按照</w:t>
            </w:r>
            <w:r>
              <w:rPr>
                <w:rFonts w:hint="eastAsia"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m/s设计，则</w:t>
            </w:r>
            <w:r>
              <w:rPr>
                <w:rFonts w:hint="default" w:ascii="Times New Roman" w:hAnsi="Times New Roman" w:cs="Times New Roman"/>
                <w:color w:val="auto"/>
                <w:sz w:val="21"/>
                <w:szCs w:val="21"/>
                <w:highlight w:val="none"/>
                <w:lang w:val="en-US" w:eastAsia="zh-CN"/>
              </w:rPr>
              <w:t>DA001</w:t>
            </w:r>
            <w:r>
              <w:rPr>
                <w:rFonts w:hint="default" w:ascii="Times New Roman" w:hAnsi="Times New Roman" w:cs="Times New Roman"/>
                <w:color w:val="auto"/>
                <w:sz w:val="21"/>
                <w:szCs w:val="21"/>
                <w:highlight w:val="none"/>
              </w:rPr>
              <w:t>排气筒内径</w:t>
            </w:r>
            <w:r>
              <w:rPr>
                <w:rFonts w:hint="default" w:ascii="Times New Roman" w:hAnsi="Times New Roman" w:eastAsia="宋体" w:cs="Times New Roman"/>
                <w:color w:val="auto"/>
                <w:sz w:val="21"/>
                <w:szCs w:val="21"/>
                <w:highlight w:val="none"/>
                <w:lang w:eastAsia="zh-CN"/>
              </w:rPr>
              <w:t>约</w:t>
            </w:r>
            <w:r>
              <w:rPr>
                <w:rFonts w:hint="default" w:ascii="Times New Roman" w:hAnsi="Times New Roman" w:cs="Times New Roman"/>
                <w:color w:val="auto"/>
                <w:sz w:val="21"/>
                <w:szCs w:val="21"/>
                <w:highlight w:val="none"/>
              </w:rPr>
              <w:t>为0.</w:t>
            </w: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一期项目拟设置排气筒内径为2m，</w:t>
            </w:r>
            <w:r>
              <w:rPr>
                <w:rFonts w:hint="eastAsia" w:ascii="Times New Roman" w:hAnsi="Times New Roman" w:cs="Times New Roman"/>
                <w:color w:val="auto"/>
                <w:sz w:val="21"/>
                <w:szCs w:val="21"/>
                <w:highlight w:val="none"/>
                <w:lang w:val="en-US" w:eastAsia="zh-CN"/>
              </w:rPr>
              <w:t>可满足要求。</w:t>
            </w:r>
          </w:p>
          <w:p w14:paraId="7515358D">
            <w:pPr>
              <w:pStyle w:val="80"/>
              <w:keepNext w:val="0"/>
              <w:keepLines w:val="0"/>
              <w:pageBreakBefore w:val="0"/>
              <w:widowControl w:val="0"/>
              <w:kinsoku/>
              <w:wordWrap w:val="0"/>
              <w:overflowPunct/>
              <w:topLinePunct w:val="0"/>
              <w:bidi w:val="0"/>
              <w:spacing w:after="0" w:line="360" w:lineRule="auto"/>
              <w:ind w:left="0" w:leftChars="0"/>
              <w:jc w:val="both"/>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DA002</w:t>
            </w:r>
            <w:r>
              <w:rPr>
                <w:rFonts w:hint="default" w:ascii="Times New Roman" w:hAnsi="Times New Roman" w:eastAsia="宋体" w:cs="Times New Roman"/>
                <w:color w:val="auto"/>
                <w:sz w:val="21"/>
                <w:szCs w:val="21"/>
                <w:highlight w:val="none"/>
                <w:lang w:val="en-US" w:eastAsia="zh-CN"/>
              </w:rPr>
              <w:t>排气筒配套风机最大风量为</w:t>
            </w:r>
            <w:r>
              <w:rPr>
                <w:rFonts w:hint="eastAsia" w:cs="Times New Roman"/>
                <w:color w:val="auto"/>
                <w:sz w:val="21"/>
                <w:szCs w:val="21"/>
                <w:highlight w:val="none"/>
                <w:lang w:val="en-US" w:eastAsia="zh-CN"/>
              </w:rPr>
              <w:t>12000</w:t>
            </w:r>
            <w:r>
              <w:rPr>
                <w:rFonts w:hint="default" w:ascii="Times New Roman" w:hAnsi="Times New Roman" w:cs="Times New Roman"/>
                <w:b w:val="0"/>
                <w:bCs w:val="0"/>
                <w:color w:val="auto"/>
                <w:sz w:val="21"/>
                <w:szCs w:val="21"/>
                <w:highlight w:val="none"/>
              </w:rPr>
              <w:t>m</w:t>
            </w:r>
            <w:r>
              <w:rPr>
                <w:rFonts w:hint="default" w:ascii="Times New Roman" w:hAnsi="Times New Roman" w:cs="Times New Roman"/>
                <w:b w:val="0"/>
                <w:bCs w:val="0"/>
                <w:color w:val="auto"/>
                <w:sz w:val="21"/>
                <w:szCs w:val="21"/>
                <w:highlight w:val="none"/>
                <w:vertAlign w:val="superscript"/>
              </w:rPr>
              <w:t>3</w:t>
            </w:r>
            <w:r>
              <w:rPr>
                <w:rFonts w:hint="default" w:ascii="Times New Roman" w:hAnsi="Times New Roman" w:cs="Times New Roman"/>
                <w:b w:val="0"/>
                <w:bCs w:val="0"/>
                <w:color w:val="auto"/>
                <w:sz w:val="21"/>
                <w:szCs w:val="21"/>
                <w:highlight w:val="none"/>
              </w:rPr>
              <w:t>/h</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出口流速</w:t>
            </w:r>
            <w:r>
              <w:rPr>
                <w:rFonts w:hint="default" w:ascii="Times New Roman" w:hAnsi="Times New Roman" w:cs="Times New Roman"/>
                <w:color w:val="auto"/>
                <w:sz w:val="21"/>
                <w:szCs w:val="21"/>
                <w:highlight w:val="none"/>
              </w:rPr>
              <w:t>按照</w:t>
            </w:r>
            <w:r>
              <w:rPr>
                <w:rFonts w:hint="default" w:ascii="Times New Roman" w:hAnsi="Times New Roman" w:cs="Times New Roman"/>
                <w:color w:val="auto"/>
                <w:sz w:val="21"/>
                <w:szCs w:val="21"/>
                <w:highlight w:val="none"/>
                <w:lang w:val="en-US" w:eastAsia="zh-CN"/>
              </w:rPr>
              <w:t>15</w:t>
            </w:r>
            <w:r>
              <w:rPr>
                <w:rFonts w:hint="default" w:ascii="Times New Roman" w:hAnsi="Times New Roman" w:cs="Times New Roman"/>
                <w:color w:val="auto"/>
                <w:sz w:val="21"/>
                <w:szCs w:val="21"/>
                <w:highlight w:val="none"/>
              </w:rPr>
              <w:t>m/s设计，则</w:t>
            </w:r>
            <w:r>
              <w:rPr>
                <w:rFonts w:hint="eastAsia" w:cs="Times New Roman"/>
                <w:color w:val="auto"/>
                <w:sz w:val="21"/>
                <w:szCs w:val="21"/>
                <w:highlight w:val="none"/>
                <w:lang w:val="en-US" w:eastAsia="zh-CN"/>
              </w:rPr>
              <w:t>DA002</w:t>
            </w:r>
            <w:r>
              <w:rPr>
                <w:rFonts w:hint="default" w:ascii="Times New Roman" w:hAnsi="Times New Roman" w:cs="Times New Roman"/>
                <w:color w:val="auto"/>
                <w:sz w:val="21"/>
                <w:szCs w:val="21"/>
                <w:highlight w:val="none"/>
              </w:rPr>
              <w:t>排气筒内径</w:t>
            </w:r>
            <w:r>
              <w:rPr>
                <w:rFonts w:hint="default" w:ascii="Times New Roman" w:hAnsi="Times New Roman" w:eastAsia="宋体" w:cs="Times New Roman"/>
                <w:color w:val="auto"/>
                <w:sz w:val="21"/>
                <w:szCs w:val="21"/>
                <w:highlight w:val="none"/>
                <w:lang w:eastAsia="zh-CN"/>
              </w:rPr>
              <w:t>约</w:t>
            </w:r>
            <w:r>
              <w:rPr>
                <w:rFonts w:hint="default" w:ascii="Times New Roman" w:hAnsi="Times New Roman" w:cs="Times New Roman"/>
                <w:color w:val="auto"/>
                <w:sz w:val="21"/>
                <w:szCs w:val="21"/>
                <w:highlight w:val="none"/>
              </w:rPr>
              <w:t>为0.</w:t>
            </w:r>
            <w:r>
              <w:rPr>
                <w:rFonts w:hint="eastAsia" w:cs="Times New Roman"/>
                <w:color w:val="auto"/>
                <w:sz w:val="21"/>
                <w:szCs w:val="21"/>
                <w:highlight w:val="none"/>
                <w:lang w:val="en-US" w:eastAsia="zh-CN"/>
              </w:rPr>
              <w:t>53</w:t>
            </w:r>
            <w:r>
              <w:rPr>
                <w:rFonts w:hint="default"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一期项目拟设置排气筒内径为1m，</w:t>
            </w:r>
            <w:r>
              <w:rPr>
                <w:rFonts w:hint="eastAsia" w:ascii="Times New Roman" w:hAnsi="Times New Roman" w:cs="Times New Roman"/>
                <w:color w:val="auto"/>
                <w:sz w:val="21"/>
                <w:szCs w:val="21"/>
                <w:highlight w:val="none"/>
                <w:lang w:val="en-US" w:eastAsia="zh-CN"/>
              </w:rPr>
              <w:t>可满足要求。</w:t>
            </w:r>
          </w:p>
          <w:p w14:paraId="2FBC60CD">
            <w:pPr>
              <w:pStyle w:val="80"/>
              <w:keepNext w:val="0"/>
              <w:keepLines w:val="0"/>
              <w:pageBreakBefore w:val="0"/>
              <w:widowControl w:val="0"/>
              <w:kinsoku/>
              <w:wordWrap w:val="0"/>
              <w:overflowPunct/>
              <w:topLinePunct w:val="0"/>
              <w:bidi w:val="0"/>
              <w:spacing w:after="0" w:line="360" w:lineRule="auto"/>
              <w:ind w:left="0" w:leftChars="0"/>
              <w:jc w:val="both"/>
              <w:textAlignment w:val="auto"/>
              <w:rPr>
                <w:rFonts w:hint="default" w:ascii="Times New Roman" w:hAnsi="Times New Roman" w:cs="Times New Roman"/>
                <w:color w:val="FF0000"/>
                <w:sz w:val="21"/>
                <w:szCs w:val="21"/>
                <w:highlight w:val="none"/>
                <w:lang w:eastAsia="zh-CN"/>
              </w:rPr>
            </w:pPr>
            <w:r>
              <w:rPr>
                <w:rFonts w:hint="eastAsia" w:cs="Times New Roman"/>
                <w:color w:val="auto"/>
                <w:sz w:val="21"/>
                <w:szCs w:val="21"/>
                <w:highlight w:val="none"/>
                <w:lang w:val="en-US" w:eastAsia="zh-CN"/>
              </w:rPr>
              <w:t>DA003</w:t>
            </w:r>
            <w:r>
              <w:rPr>
                <w:rFonts w:hint="default" w:ascii="Times New Roman" w:hAnsi="Times New Roman" w:eastAsia="宋体" w:cs="Times New Roman"/>
                <w:color w:val="auto"/>
                <w:sz w:val="21"/>
                <w:szCs w:val="21"/>
                <w:highlight w:val="none"/>
                <w:lang w:val="en-US" w:eastAsia="zh-CN"/>
              </w:rPr>
              <w:t>排气筒配套风机最大风量为</w:t>
            </w:r>
            <w:r>
              <w:rPr>
                <w:rFonts w:hint="eastAsia" w:cs="Times New Roman"/>
                <w:color w:val="auto"/>
                <w:sz w:val="21"/>
                <w:szCs w:val="21"/>
                <w:highlight w:val="none"/>
                <w:lang w:val="en-US" w:eastAsia="zh-CN"/>
              </w:rPr>
              <w:t>20000</w:t>
            </w:r>
            <w:r>
              <w:rPr>
                <w:rFonts w:hint="default" w:ascii="Times New Roman" w:hAnsi="Times New Roman" w:cs="Times New Roman"/>
                <w:b w:val="0"/>
                <w:bCs w:val="0"/>
                <w:color w:val="auto"/>
                <w:sz w:val="21"/>
                <w:szCs w:val="21"/>
                <w:highlight w:val="none"/>
              </w:rPr>
              <w:t>m</w:t>
            </w:r>
            <w:r>
              <w:rPr>
                <w:rFonts w:hint="default" w:ascii="Times New Roman" w:hAnsi="Times New Roman" w:cs="Times New Roman"/>
                <w:b w:val="0"/>
                <w:bCs w:val="0"/>
                <w:color w:val="auto"/>
                <w:sz w:val="21"/>
                <w:szCs w:val="21"/>
                <w:highlight w:val="none"/>
                <w:vertAlign w:val="superscript"/>
              </w:rPr>
              <w:t>3</w:t>
            </w:r>
            <w:r>
              <w:rPr>
                <w:rFonts w:hint="default" w:ascii="Times New Roman" w:hAnsi="Times New Roman" w:cs="Times New Roman"/>
                <w:b w:val="0"/>
                <w:bCs w:val="0"/>
                <w:color w:val="auto"/>
                <w:sz w:val="21"/>
                <w:szCs w:val="21"/>
                <w:highlight w:val="none"/>
              </w:rPr>
              <w:t>/h</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出口流速</w:t>
            </w:r>
            <w:r>
              <w:rPr>
                <w:rFonts w:hint="default" w:ascii="Times New Roman" w:hAnsi="Times New Roman" w:cs="Times New Roman"/>
                <w:color w:val="auto"/>
                <w:sz w:val="21"/>
                <w:szCs w:val="21"/>
                <w:highlight w:val="none"/>
              </w:rPr>
              <w:t>按照</w:t>
            </w:r>
            <w:r>
              <w:rPr>
                <w:rFonts w:hint="default" w:ascii="Times New Roman" w:hAnsi="Times New Roman" w:cs="Times New Roman"/>
                <w:color w:val="auto"/>
                <w:sz w:val="21"/>
                <w:szCs w:val="21"/>
                <w:highlight w:val="none"/>
                <w:lang w:val="en-US" w:eastAsia="zh-CN"/>
              </w:rPr>
              <w:t>15</w:t>
            </w:r>
            <w:r>
              <w:rPr>
                <w:rFonts w:hint="default" w:ascii="Times New Roman" w:hAnsi="Times New Roman" w:cs="Times New Roman"/>
                <w:color w:val="auto"/>
                <w:sz w:val="21"/>
                <w:szCs w:val="21"/>
                <w:highlight w:val="none"/>
              </w:rPr>
              <w:t>m/s设计，则</w:t>
            </w:r>
            <w:r>
              <w:rPr>
                <w:rFonts w:hint="eastAsia" w:cs="Times New Roman"/>
                <w:color w:val="auto"/>
                <w:sz w:val="21"/>
                <w:szCs w:val="21"/>
                <w:highlight w:val="none"/>
                <w:lang w:val="en-US" w:eastAsia="zh-CN"/>
              </w:rPr>
              <w:t>DA003</w:t>
            </w:r>
            <w:r>
              <w:rPr>
                <w:rFonts w:hint="default" w:ascii="Times New Roman" w:hAnsi="Times New Roman" w:cs="Times New Roman"/>
                <w:color w:val="auto"/>
                <w:sz w:val="21"/>
                <w:szCs w:val="21"/>
                <w:highlight w:val="none"/>
              </w:rPr>
              <w:t>排气筒内径</w:t>
            </w:r>
            <w:r>
              <w:rPr>
                <w:rFonts w:hint="default" w:ascii="Times New Roman" w:hAnsi="Times New Roman" w:eastAsia="宋体" w:cs="Times New Roman"/>
                <w:color w:val="auto"/>
                <w:sz w:val="21"/>
                <w:szCs w:val="21"/>
                <w:highlight w:val="none"/>
                <w:lang w:eastAsia="zh-CN"/>
              </w:rPr>
              <w:t>约</w:t>
            </w:r>
            <w:r>
              <w:rPr>
                <w:rFonts w:hint="default" w:ascii="Times New Roman" w:hAnsi="Times New Roman" w:cs="Times New Roman"/>
                <w:color w:val="auto"/>
                <w:sz w:val="21"/>
                <w:szCs w:val="21"/>
                <w:highlight w:val="none"/>
              </w:rPr>
              <w:t>为0.</w:t>
            </w:r>
            <w:r>
              <w:rPr>
                <w:rFonts w:hint="eastAsia" w:cs="Times New Roman"/>
                <w:color w:val="auto"/>
                <w:sz w:val="21"/>
                <w:szCs w:val="21"/>
                <w:highlight w:val="none"/>
                <w:lang w:val="en-US" w:eastAsia="zh-CN"/>
              </w:rPr>
              <w:t>7</w:t>
            </w:r>
            <w:r>
              <w:rPr>
                <w:rFonts w:hint="default"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一期项目拟设置排气筒内径为1m，</w:t>
            </w:r>
            <w:r>
              <w:rPr>
                <w:rFonts w:hint="eastAsia" w:ascii="Times New Roman" w:hAnsi="Times New Roman" w:cs="Times New Roman"/>
                <w:color w:val="auto"/>
                <w:sz w:val="21"/>
                <w:szCs w:val="21"/>
                <w:highlight w:val="none"/>
                <w:lang w:val="en-US" w:eastAsia="zh-CN"/>
              </w:rPr>
              <w:t>可满足要求</w:t>
            </w:r>
            <w:r>
              <w:rPr>
                <w:rFonts w:hint="eastAsia" w:cs="Times New Roman"/>
                <w:color w:val="auto"/>
                <w:sz w:val="21"/>
                <w:szCs w:val="21"/>
                <w:highlight w:val="none"/>
                <w:lang w:val="en-US" w:eastAsia="zh-CN"/>
              </w:rPr>
              <w:t>。</w:t>
            </w:r>
          </w:p>
          <w:p w14:paraId="05ABA34F">
            <w:pPr>
              <w:spacing w:line="360" w:lineRule="auto"/>
              <w:ind w:firstLine="422" w:firstLineChars="200"/>
              <w:rPr>
                <w:rFonts w:hint="default" w:ascii="Times New Roman" w:hAnsi="Times New Roman" w:cs="Times New Roman"/>
                <w:b/>
                <w:bCs/>
                <w:color w:val="auto"/>
                <w:highlight w:val="none"/>
              </w:rPr>
            </w:pPr>
            <w:r>
              <w:rPr>
                <w:rFonts w:hint="eastAsia" w:cs="Times New Roman"/>
                <w:b/>
                <w:bCs/>
                <w:color w:val="auto"/>
                <w:highlight w:val="none"/>
                <w:lang w:val="en-US" w:eastAsia="zh-CN"/>
              </w:rPr>
              <w:t>5</w:t>
            </w:r>
            <w:r>
              <w:rPr>
                <w:rFonts w:hint="default" w:ascii="Times New Roman" w:hAnsi="Times New Roman" w:cs="Times New Roman"/>
                <w:b/>
                <w:bCs/>
                <w:color w:val="auto"/>
                <w:highlight w:val="none"/>
              </w:rPr>
              <w:t>、污染物排放估算</w:t>
            </w:r>
          </w:p>
          <w:p w14:paraId="710B6B75">
            <w:pPr>
              <w:spacing w:line="360" w:lineRule="auto"/>
              <w:ind w:firstLine="420" w:firstLineChars="200"/>
              <w:rPr>
                <w:rFonts w:hint="default" w:ascii="Times New Roman" w:hAnsi="Times New Roman" w:cs="Times New Roman"/>
                <w:color w:val="auto"/>
                <w:highlight w:val="none"/>
              </w:rPr>
            </w:pPr>
            <w:r>
              <w:rPr>
                <w:rFonts w:hint="eastAsia" w:cs="Times New Roman"/>
                <w:color w:val="auto"/>
                <w:highlight w:val="none"/>
                <w:lang w:eastAsia="zh-CN"/>
              </w:rPr>
              <w:t>一期项目</w:t>
            </w:r>
            <w:r>
              <w:rPr>
                <w:rFonts w:hint="default" w:ascii="Times New Roman" w:hAnsi="Times New Roman" w:cs="Times New Roman"/>
                <w:color w:val="auto"/>
                <w:highlight w:val="none"/>
                <w:lang w:eastAsia="zh-CN"/>
              </w:rPr>
              <w:t>完成后，</w:t>
            </w:r>
            <w:r>
              <w:rPr>
                <w:rFonts w:hint="default" w:ascii="Times New Roman" w:hAnsi="Times New Roman" w:cs="Times New Roman"/>
                <w:color w:val="auto"/>
                <w:highlight w:val="none"/>
              </w:rPr>
              <w:t>废气排放参数见下表。经采用AERSCREEN模式估算，所有污染源的正常排放的污染物的P</w:t>
            </w:r>
            <w:r>
              <w:rPr>
                <w:rFonts w:hint="default" w:ascii="Times New Roman" w:hAnsi="Times New Roman" w:cs="Times New Roman"/>
                <w:color w:val="auto"/>
                <w:highlight w:val="none"/>
                <w:vertAlign w:val="subscript"/>
              </w:rPr>
              <w:t>max</w:t>
            </w:r>
            <w:r>
              <w:rPr>
                <w:rFonts w:hint="default" w:ascii="Times New Roman" w:hAnsi="Times New Roman" w:cs="Times New Roman"/>
                <w:color w:val="auto"/>
                <w:highlight w:val="none"/>
              </w:rPr>
              <w:t>和D</w:t>
            </w:r>
            <w:r>
              <w:rPr>
                <w:rFonts w:hint="default" w:ascii="Times New Roman" w:hAnsi="Times New Roman" w:cs="Times New Roman"/>
                <w:color w:val="auto"/>
                <w:highlight w:val="none"/>
                <w:vertAlign w:val="subscript"/>
              </w:rPr>
              <w:t>10%</w:t>
            </w:r>
            <w:r>
              <w:rPr>
                <w:rFonts w:hint="default" w:ascii="Times New Roman" w:hAnsi="Times New Roman" w:cs="Times New Roman"/>
                <w:color w:val="auto"/>
                <w:highlight w:val="none"/>
              </w:rPr>
              <w:t>估算结果详见下表。</w:t>
            </w:r>
          </w:p>
          <w:p w14:paraId="256E44E5">
            <w:pPr>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表4-</w:t>
            </w:r>
            <w:r>
              <w:rPr>
                <w:rFonts w:hint="eastAsia" w:cs="Times New Roman"/>
                <w:b/>
                <w:color w:val="auto"/>
                <w:highlight w:val="none"/>
                <w:lang w:val="en-US" w:eastAsia="zh-CN"/>
              </w:rPr>
              <w:t>17</w:t>
            </w:r>
            <w:r>
              <w:rPr>
                <w:rFonts w:hint="default" w:ascii="Times New Roman" w:hAnsi="Times New Roman" w:cs="Times New Roman"/>
                <w:b/>
                <w:color w:val="auto"/>
                <w:highlight w:val="none"/>
              </w:rPr>
              <w:t>大气污染源（矩形面源）排放参数一览表</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1271"/>
              <w:gridCol w:w="1259"/>
              <w:gridCol w:w="583"/>
              <w:gridCol w:w="621"/>
              <w:gridCol w:w="508"/>
              <w:gridCol w:w="618"/>
              <w:gridCol w:w="1331"/>
              <w:gridCol w:w="822"/>
              <w:gridCol w:w="630"/>
            </w:tblGrid>
            <w:tr w14:paraId="682A2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vMerge w:val="restart"/>
                  <w:vAlign w:val="center"/>
                </w:tcPr>
                <w:p w14:paraId="2CC33F44">
                  <w:pPr>
                    <w:jc w:val="center"/>
                    <w:rPr>
                      <w:rFonts w:hint="default" w:ascii="Times New Roman" w:hAnsi="Times New Roman" w:cs="Times New Roman"/>
                      <w:b/>
                      <w:color w:val="auto"/>
                      <w:kern w:val="0"/>
                      <w:sz w:val="18"/>
                      <w:szCs w:val="18"/>
                      <w:highlight w:val="none"/>
                    </w:rPr>
                  </w:pPr>
                  <w:r>
                    <w:rPr>
                      <w:rFonts w:hint="default" w:ascii="Times New Roman" w:hAnsi="Times New Roman" w:cs="Times New Roman"/>
                      <w:b/>
                      <w:color w:val="auto"/>
                      <w:kern w:val="0"/>
                      <w:sz w:val="18"/>
                      <w:szCs w:val="18"/>
                      <w:highlight w:val="none"/>
                    </w:rPr>
                    <w:t>污染源名称</w:t>
                  </w:r>
                </w:p>
              </w:tc>
              <w:tc>
                <w:tcPr>
                  <w:tcW w:w="2543" w:type="dxa"/>
                  <w:gridSpan w:val="2"/>
                  <w:vAlign w:val="center"/>
                </w:tcPr>
                <w:p w14:paraId="44059F06">
                  <w:pPr>
                    <w:snapToGrid w:val="0"/>
                    <w:jc w:val="center"/>
                    <w:rPr>
                      <w:rFonts w:hint="default" w:ascii="Times New Roman" w:hAnsi="Times New Roman" w:cs="Times New Roman"/>
                      <w:b/>
                      <w:color w:val="auto"/>
                      <w:kern w:val="0"/>
                      <w:sz w:val="18"/>
                      <w:szCs w:val="18"/>
                      <w:highlight w:val="none"/>
                    </w:rPr>
                  </w:pPr>
                  <w:r>
                    <w:rPr>
                      <w:rFonts w:hint="default" w:ascii="Times New Roman" w:hAnsi="Times New Roman" w:cs="Times New Roman"/>
                      <w:b/>
                      <w:color w:val="auto"/>
                      <w:kern w:val="0"/>
                      <w:sz w:val="18"/>
                      <w:szCs w:val="18"/>
                      <w:highlight w:val="none"/>
                    </w:rPr>
                    <w:t>坐标</w:t>
                  </w:r>
                </w:p>
              </w:tc>
              <w:tc>
                <w:tcPr>
                  <w:tcW w:w="585" w:type="dxa"/>
                  <w:vMerge w:val="restart"/>
                  <w:vAlign w:val="center"/>
                </w:tcPr>
                <w:p w14:paraId="7F056A63">
                  <w:pPr>
                    <w:snapToGrid w:val="0"/>
                    <w:jc w:val="center"/>
                    <w:rPr>
                      <w:rFonts w:hint="default" w:ascii="Times New Roman" w:hAnsi="Times New Roman" w:cs="Times New Roman"/>
                      <w:b/>
                      <w:color w:val="auto"/>
                      <w:kern w:val="0"/>
                      <w:sz w:val="18"/>
                      <w:szCs w:val="18"/>
                      <w:highlight w:val="none"/>
                    </w:rPr>
                  </w:pPr>
                  <w:r>
                    <w:rPr>
                      <w:rFonts w:hint="default" w:ascii="Times New Roman" w:hAnsi="Times New Roman" w:cs="Times New Roman"/>
                      <w:b/>
                      <w:color w:val="auto"/>
                      <w:kern w:val="0"/>
                      <w:sz w:val="18"/>
                      <w:szCs w:val="18"/>
                      <w:highlight w:val="none"/>
                    </w:rPr>
                    <w:t>海拔高度/m</w:t>
                  </w:r>
                </w:p>
              </w:tc>
              <w:tc>
                <w:tcPr>
                  <w:tcW w:w="1660" w:type="dxa"/>
                  <w:gridSpan w:val="3"/>
                  <w:vAlign w:val="center"/>
                </w:tcPr>
                <w:p w14:paraId="24BEB013">
                  <w:pPr>
                    <w:snapToGrid w:val="0"/>
                    <w:jc w:val="center"/>
                    <w:rPr>
                      <w:rFonts w:hint="default" w:ascii="Times New Roman" w:hAnsi="Times New Roman" w:cs="Times New Roman"/>
                      <w:b/>
                      <w:color w:val="auto"/>
                      <w:kern w:val="0"/>
                      <w:sz w:val="18"/>
                      <w:szCs w:val="18"/>
                      <w:highlight w:val="none"/>
                    </w:rPr>
                  </w:pPr>
                  <w:r>
                    <w:rPr>
                      <w:rFonts w:hint="default" w:ascii="Times New Roman" w:hAnsi="Times New Roman" w:cs="Times New Roman"/>
                      <w:b/>
                      <w:color w:val="auto"/>
                      <w:kern w:val="0"/>
                      <w:sz w:val="18"/>
                      <w:szCs w:val="18"/>
                      <w:highlight w:val="none"/>
                    </w:rPr>
                    <w:t>矩形面源</w:t>
                  </w:r>
                </w:p>
              </w:tc>
              <w:tc>
                <w:tcPr>
                  <w:tcW w:w="1369" w:type="dxa"/>
                  <w:vMerge w:val="restart"/>
                  <w:vAlign w:val="center"/>
                </w:tcPr>
                <w:p w14:paraId="038DBB84">
                  <w:pPr>
                    <w:snapToGrid w:val="0"/>
                    <w:jc w:val="center"/>
                    <w:rPr>
                      <w:rFonts w:hint="default" w:ascii="Times New Roman" w:hAnsi="Times New Roman" w:cs="Times New Roman"/>
                      <w:b/>
                      <w:color w:val="auto"/>
                      <w:kern w:val="0"/>
                      <w:sz w:val="18"/>
                      <w:szCs w:val="18"/>
                      <w:highlight w:val="none"/>
                    </w:rPr>
                  </w:pPr>
                  <w:r>
                    <w:rPr>
                      <w:rFonts w:hint="default" w:ascii="Times New Roman" w:hAnsi="Times New Roman" w:cs="Times New Roman"/>
                      <w:b/>
                      <w:color w:val="auto"/>
                      <w:kern w:val="0"/>
                      <w:sz w:val="18"/>
                      <w:szCs w:val="18"/>
                      <w:highlight w:val="none"/>
                    </w:rPr>
                    <w:t>污染物</w:t>
                  </w:r>
                </w:p>
              </w:tc>
              <w:tc>
                <w:tcPr>
                  <w:tcW w:w="830" w:type="dxa"/>
                  <w:vMerge w:val="restart"/>
                  <w:vAlign w:val="center"/>
                </w:tcPr>
                <w:p w14:paraId="21C5B966">
                  <w:pPr>
                    <w:snapToGrid w:val="0"/>
                    <w:jc w:val="center"/>
                    <w:rPr>
                      <w:rFonts w:hint="default" w:ascii="Times New Roman" w:hAnsi="Times New Roman" w:cs="Times New Roman"/>
                      <w:b/>
                      <w:color w:val="auto"/>
                      <w:kern w:val="0"/>
                      <w:sz w:val="18"/>
                      <w:szCs w:val="18"/>
                      <w:highlight w:val="none"/>
                    </w:rPr>
                  </w:pPr>
                  <w:r>
                    <w:rPr>
                      <w:rFonts w:hint="default" w:ascii="Times New Roman" w:hAnsi="Times New Roman" w:cs="Times New Roman"/>
                      <w:b/>
                      <w:color w:val="auto"/>
                      <w:kern w:val="0"/>
                      <w:sz w:val="18"/>
                      <w:szCs w:val="18"/>
                      <w:highlight w:val="none"/>
                    </w:rPr>
                    <w:t>排放速率</w:t>
                  </w:r>
                </w:p>
              </w:tc>
              <w:tc>
                <w:tcPr>
                  <w:tcW w:w="634" w:type="dxa"/>
                  <w:vMerge w:val="restart"/>
                  <w:vAlign w:val="center"/>
                </w:tcPr>
                <w:p w14:paraId="1E042694">
                  <w:pPr>
                    <w:snapToGrid w:val="0"/>
                    <w:jc w:val="center"/>
                    <w:rPr>
                      <w:rFonts w:hint="default" w:ascii="Times New Roman" w:hAnsi="Times New Roman" w:cs="Times New Roman"/>
                      <w:b/>
                      <w:color w:val="auto"/>
                      <w:kern w:val="0"/>
                      <w:sz w:val="18"/>
                      <w:szCs w:val="18"/>
                      <w:highlight w:val="none"/>
                    </w:rPr>
                  </w:pPr>
                  <w:r>
                    <w:rPr>
                      <w:rFonts w:hint="default" w:ascii="Times New Roman" w:hAnsi="Times New Roman" w:cs="Times New Roman"/>
                      <w:b/>
                      <w:color w:val="auto"/>
                      <w:kern w:val="0"/>
                      <w:sz w:val="18"/>
                      <w:szCs w:val="18"/>
                      <w:highlight w:val="none"/>
                    </w:rPr>
                    <w:t>单位</w:t>
                  </w:r>
                </w:p>
              </w:tc>
            </w:tr>
            <w:tr w14:paraId="0AECF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dxa"/>
                  <w:vMerge w:val="continue"/>
                  <w:vAlign w:val="center"/>
                </w:tcPr>
                <w:p w14:paraId="09A9F122">
                  <w:pPr>
                    <w:snapToGrid w:val="0"/>
                    <w:jc w:val="center"/>
                    <w:rPr>
                      <w:rFonts w:hint="default" w:ascii="Times New Roman" w:hAnsi="Times New Roman" w:cs="Times New Roman"/>
                      <w:color w:val="auto"/>
                      <w:kern w:val="0"/>
                      <w:sz w:val="18"/>
                      <w:szCs w:val="18"/>
                      <w:highlight w:val="none"/>
                    </w:rPr>
                  </w:pPr>
                </w:p>
              </w:tc>
              <w:tc>
                <w:tcPr>
                  <w:tcW w:w="1276" w:type="dxa"/>
                  <w:vAlign w:val="center"/>
                </w:tcPr>
                <w:p w14:paraId="1F8FE709">
                  <w:pPr>
                    <w:snapToGrid w:val="0"/>
                    <w:jc w:val="center"/>
                    <w:rPr>
                      <w:rFonts w:hint="default" w:ascii="Times New Roman" w:hAnsi="Times New Roman" w:eastAsia="宋体" w:cs="Times New Roman"/>
                      <w:b/>
                      <w:color w:val="auto"/>
                      <w:kern w:val="0"/>
                      <w:sz w:val="18"/>
                      <w:szCs w:val="18"/>
                      <w:highlight w:val="none"/>
                      <w:lang w:eastAsia="zh-CN"/>
                    </w:rPr>
                  </w:pPr>
                  <w:r>
                    <w:rPr>
                      <w:rFonts w:hint="default" w:ascii="Times New Roman" w:hAnsi="Times New Roman" w:cs="Times New Roman"/>
                      <w:b/>
                      <w:color w:val="auto"/>
                      <w:kern w:val="0"/>
                      <w:sz w:val="18"/>
                      <w:szCs w:val="18"/>
                      <w:highlight w:val="none"/>
                      <w:lang w:eastAsia="zh-CN"/>
                    </w:rPr>
                    <w:t>东经</w:t>
                  </w:r>
                </w:p>
              </w:tc>
              <w:tc>
                <w:tcPr>
                  <w:tcW w:w="1267" w:type="dxa"/>
                  <w:vAlign w:val="center"/>
                </w:tcPr>
                <w:p w14:paraId="270E4ADC">
                  <w:pPr>
                    <w:snapToGrid w:val="0"/>
                    <w:jc w:val="center"/>
                    <w:rPr>
                      <w:rFonts w:hint="default" w:ascii="Times New Roman" w:hAnsi="Times New Roman" w:eastAsia="宋体" w:cs="Times New Roman"/>
                      <w:b/>
                      <w:color w:val="auto"/>
                      <w:kern w:val="0"/>
                      <w:sz w:val="18"/>
                      <w:szCs w:val="18"/>
                      <w:highlight w:val="none"/>
                      <w:lang w:eastAsia="zh-CN"/>
                    </w:rPr>
                  </w:pPr>
                  <w:r>
                    <w:rPr>
                      <w:rFonts w:hint="default" w:ascii="Times New Roman" w:hAnsi="Times New Roman" w:cs="Times New Roman"/>
                      <w:b/>
                      <w:color w:val="auto"/>
                      <w:kern w:val="0"/>
                      <w:sz w:val="18"/>
                      <w:szCs w:val="18"/>
                      <w:highlight w:val="none"/>
                      <w:lang w:eastAsia="zh-CN"/>
                    </w:rPr>
                    <w:t>北纬</w:t>
                  </w:r>
                </w:p>
              </w:tc>
              <w:tc>
                <w:tcPr>
                  <w:tcW w:w="585" w:type="dxa"/>
                  <w:vMerge w:val="continue"/>
                  <w:vAlign w:val="center"/>
                </w:tcPr>
                <w:p w14:paraId="10E96E17">
                  <w:pPr>
                    <w:snapToGrid w:val="0"/>
                    <w:jc w:val="center"/>
                    <w:rPr>
                      <w:rFonts w:hint="default" w:ascii="Times New Roman" w:hAnsi="Times New Roman" w:cs="Times New Roman"/>
                      <w:color w:val="auto"/>
                      <w:kern w:val="0"/>
                      <w:sz w:val="18"/>
                      <w:szCs w:val="18"/>
                      <w:highlight w:val="none"/>
                    </w:rPr>
                  </w:pPr>
                </w:p>
              </w:tc>
              <w:tc>
                <w:tcPr>
                  <w:tcW w:w="524" w:type="dxa"/>
                  <w:vAlign w:val="center"/>
                </w:tcPr>
                <w:p w14:paraId="72A95E38">
                  <w:pPr>
                    <w:snapToGrid w:val="0"/>
                    <w:jc w:val="center"/>
                    <w:rPr>
                      <w:rFonts w:hint="default" w:ascii="Times New Roman" w:hAnsi="Times New Roman" w:cs="Times New Roman"/>
                      <w:b/>
                      <w:color w:val="auto"/>
                      <w:kern w:val="0"/>
                      <w:sz w:val="18"/>
                      <w:szCs w:val="18"/>
                      <w:highlight w:val="none"/>
                    </w:rPr>
                  </w:pPr>
                  <w:r>
                    <w:rPr>
                      <w:rFonts w:hint="default" w:ascii="Times New Roman" w:hAnsi="Times New Roman" w:cs="Times New Roman"/>
                      <w:b/>
                      <w:color w:val="auto"/>
                      <w:kern w:val="0"/>
                      <w:sz w:val="18"/>
                      <w:szCs w:val="18"/>
                      <w:highlight w:val="none"/>
                    </w:rPr>
                    <w:t>长度</w:t>
                  </w:r>
                </w:p>
              </w:tc>
              <w:tc>
                <w:tcPr>
                  <w:tcW w:w="509" w:type="dxa"/>
                  <w:vAlign w:val="center"/>
                </w:tcPr>
                <w:p w14:paraId="37AE5BDB">
                  <w:pPr>
                    <w:snapToGrid w:val="0"/>
                    <w:jc w:val="center"/>
                    <w:rPr>
                      <w:rFonts w:hint="default" w:ascii="Times New Roman" w:hAnsi="Times New Roman" w:cs="Times New Roman"/>
                      <w:b/>
                      <w:color w:val="auto"/>
                      <w:kern w:val="0"/>
                      <w:sz w:val="18"/>
                      <w:szCs w:val="18"/>
                      <w:highlight w:val="none"/>
                    </w:rPr>
                  </w:pPr>
                  <w:r>
                    <w:rPr>
                      <w:rFonts w:hint="default" w:ascii="Times New Roman" w:hAnsi="Times New Roman" w:cs="Times New Roman"/>
                      <w:b/>
                      <w:color w:val="auto"/>
                      <w:kern w:val="0"/>
                      <w:sz w:val="18"/>
                      <w:szCs w:val="18"/>
                      <w:highlight w:val="none"/>
                    </w:rPr>
                    <w:t>宽度</w:t>
                  </w:r>
                </w:p>
              </w:tc>
              <w:tc>
                <w:tcPr>
                  <w:tcW w:w="627" w:type="dxa"/>
                  <w:vAlign w:val="center"/>
                </w:tcPr>
                <w:p w14:paraId="1C182C4B">
                  <w:pPr>
                    <w:snapToGrid w:val="0"/>
                    <w:jc w:val="center"/>
                    <w:rPr>
                      <w:rFonts w:hint="default" w:ascii="Times New Roman" w:hAnsi="Times New Roman" w:cs="Times New Roman"/>
                      <w:b/>
                      <w:color w:val="auto"/>
                      <w:kern w:val="0"/>
                      <w:sz w:val="18"/>
                      <w:szCs w:val="18"/>
                      <w:highlight w:val="none"/>
                    </w:rPr>
                  </w:pPr>
                  <w:r>
                    <w:rPr>
                      <w:rFonts w:hint="default" w:ascii="Times New Roman" w:hAnsi="Times New Roman" w:cs="Times New Roman"/>
                      <w:b/>
                      <w:color w:val="auto"/>
                      <w:kern w:val="0"/>
                      <w:sz w:val="18"/>
                      <w:szCs w:val="18"/>
                      <w:highlight w:val="none"/>
                    </w:rPr>
                    <w:t>有效高度</w:t>
                  </w:r>
                </w:p>
              </w:tc>
              <w:tc>
                <w:tcPr>
                  <w:tcW w:w="1369" w:type="dxa"/>
                  <w:vMerge w:val="continue"/>
                  <w:vAlign w:val="center"/>
                </w:tcPr>
                <w:p w14:paraId="5EC5514C">
                  <w:pPr>
                    <w:snapToGrid w:val="0"/>
                    <w:jc w:val="center"/>
                    <w:rPr>
                      <w:rFonts w:hint="default" w:ascii="Times New Roman" w:hAnsi="Times New Roman" w:cs="Times New Roman"/>
                      <w:color w:val="auto"/>
                      <w:kern w:val="0"/>
                      <w:sz w:val="18"/>
                      <w:szCs w:val="18"/>
                      <w:highlight w:val="none"/>
                    </w:rPr>
                  </w:pPr>
                </w:p>
              </w:tc>
              <w:tc>
                <w:tcPr>
                  <w:tcW w:w="830" w:type="dxa"/>
                  <w:vMerge w:val="continue"/>
                  <w:vAlign w:val="center"/>
                </w:tcPr>
                <w:p w14:paraId="10E6E760">
                  <w:pPr>
                    <w:snapToGrid w:val="0"/>
                    <w:jc w:val="center"/>
                    <w:rPr>
                      <w:rFonts w:hint="default" w:ascii="Times New Roman" w:hAnsi="Times New Roman" w:cs="Times New Roman"/>
                      <w:color w:val="auto"/>
                      <w:kern w:val="0"/>
                      <w:sz w:val="18"/>
                      <w:szCs w:val="18"/>
                      <w:highlight w:val="none"/>
                    </w:rPr>
                  </w:pPr>
                </w:p>
              </w:tc>
              <w:tc>
                <w:tcPr>
                  <w:tcW w:w="634" w:type="dxa"/>
                  <w:vMerge w:val="continue"/>
                  <w:vAlign w:val="center"/>
                </w:tcPr>
                <w:p w14:paraId="52D5C717">
                  <w:pPr>
                    <w:snapToGrid w:val="0"/>
                    <w:jc w:val="center"/>
                    <w:rPr>
                      <w:rFonts w:hint="default" w:ascii="Times New Roman" w:hAnsi="Times New Roman" w:cs="Times New Roman"/>
                      <w:color w:val="auto"/>
                      <w:kern w:val="0"/>
                      <w:sz w:val="18"/>
                      <w:szCs w:val="18"/>
                      <w:highlight w:val="none"/>
                    </w:rPr>
                  </w:pPr>
                </w:p>
              </w:tc>
            </w:tr>
            <w:tr w14:paraId="71547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747" w:type="dxa"/>
                  <w:vMerge w:val="restart"/>
                  <w:vAlign w:val="center"/>
                </w:tcPr>
                <w:p w14:paraId="2365EAAF">
                  <w:pPr>
                    <w:snapToGrid w:val="0"/>
                    <w:jc w:val="center"/>
                    <w:rPr>
                      <w:rFonts w:hint="default" w:ascii="Times New Roman" w:hAnsi="Times New Roman" w:eastAsia="宋体" w:cs="Times New Roman"/>
                      <w:color w:val="auto"/>
                      <w:kern w:val="0"/>
                      <w:sz w:val="18"/>
                      <w:szCs w:val="18"/>
                      <w:highlight w:val="none"/>
                      <w:lang w:eastAsia="zh-CN"/>
                    </w:rPr>
                  </w:pPr>
                  <w:r>
                    <w:rPr>
                      <w:rFonts w:hint="eastAsia" w:cs="Times New Roman"/>
                      <w:color w:val="auto"/>
                      <w:kern w:val="0"/>
                      <w:sz w:val="18"/>
                      <w:szCs w:val="18"/>
                      <w:highlight w:val="none"/>
                      <w:lang w:val="en-US" w:eastAsia="zh-CN"/>
                    </w:rPr>
                    <w:t>全厂</w:t>
                  </w:r>
                </w:p>
              </w:tc>
              <w:tc>
                <w:tcPr>
                  <w:tcW w:w="1276" w:type="dxa"/>
                  <w:vMerge w:val="restart"/>
                  <w:vAlign w:val="center"/>
                </w:tcPr>
                <w:p w14:paraId="19D537BD">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bCs/>
                      <w:color w:val="auto"/>
                      <w:kern w:val="0"/>
                      <w:sz w:val="18"/>
                      <w:szCs w:val="18"/>
                      <w:highlight w:val="none"/>
                      <w:lang w:val="en-US" w:eastAsia="zh-CN"/>
                    </w:rPr>
                  </w:pPr>
                  <w:r>
                    <w:rPr>
                      <w:rFonts w:hint="default" w:ascii="Times New Roman" w:hAnsi="Times New Roman" w:cs="Times New Roman"/>
                      <w:bCs/>
                      <w:color w:val="auto"/>
                      <w:kern w:val="0"/>
                      <w:sz w:val="18"/>
                      <w:szCs w:val="18"/>
                      <w:highlight w:val="none"/>
                    </w:rPr>
                    <w:t>117.999752</w:t>
                  </w:r>
                  <w:r>
                    <w:rPr>
                      <w:rFonts w:hint="default" w:ascii="Times New Roman" w:hAnsi="Times New Roman" w:cs="Times New Roman"/>
                      <w:bCs/>
                      <w:color w:val="auto"/>
                      <w:kern w:val="0"/>
                      <w:sz w:val="18"/>
                      <w:szCs w:val="18"/>
                      <w:highlight w:val="none"/>
                      <w:lang w:val="en-US" w:eastAsia="zh-CN"/>
                    </w:rPr>
                    <w:t>°</w:t>
                  </w:r>
                </w:p>
              </w:tc>
              <w:tc>
                <w:tcPr>
                  <w:tcW w:w="1267" w:type="dxa"/>
                  <w:vMerge w:val="restart"/>
                  <w:vAlign w:val="center"/>
                </w:tcPr>
                <w:p w14:paraId="41CBD6B9">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eastAsia="宋体" w:cs="Times New Roman"/>
                      <w:bCs/>
                      <w:color w:val="auto"/>
                      <w:kern w:val="0"/>
                      <w:sz w:val="18"/>
                      <w:szCs w:val="18"/>
                      <w:highlight w:val="none"/>
                      <w:lang w:val="en-US" w:eastAsia="zh-CN"/>
                    </w:rPr>
                  </w:pPr>
                  <w:r>
                    <w:rPr>
                      <w:rFonts w:hint="default" w:ascii="Times New Roman" w:hAnsi="Times New Roman" w:cs="Times New Roman"/>
                      <w:bCs/>
                      <w:color w:val="auto"/>
                      <w:kern w:val="0"/>
                      <w:sz w:val="18"/>
                      <w:szCs w:val="18"/>
                      <w:highlight w:val="none"/>
                      <w:lang w:val="en-US" w:eastAsia="zh-CN"/>
                    </w:rPr>
                    <w:t>36.706138°</w:t>
                  </w:r>
                </w:p>
              </w:tc>
              <w:tc>
                <w:tcPr>
                  <w:tcW w:w="585" w:type="dxa"/>
                  <w:vMerge w:val="restart"/>
                  <w:vAlign w:val="center"/>
                </w:tcPr>
                <w:p w14:paraId="612276AC">
                  <w:pPr>
                    <w:snapToGrid w:val="0"/>
                    <w:jc w:val="center"/>
                    <w:rPr>
                      <w:rFonts w:hint="default" w:ascii="Times New Roman" w:hAnsi="Times New Roman" w:eastAsia="宋体" w:cs="Times New Roman"/>
                      <w:bCs/>
                      <w:color w:val="auto"/>
                      <w:kern w:val="0"/>
                      <w:sz w:val="18"/>
                      <w:szCs w:val="18"/>
                      <w:highlight w:val="none"/>
                      <w:lang w:val="en-US" w:eastAsia="zh-CN"/>
                    </w:rPr>
                  </w:pPr>
                  <w:r>
                    <w:rPr>
                      <w:rFonts w:hint="eastAsia" w:cs="Times New Roman"/>
                      <w:bCs/>
                      <w:color w:val="auto"/>
                      <w:kern w:val="0"/>
                      <w:sz w:val="18"/>
                      <w:szCs w:val="18"/>
                      <w:highlight w:val="none"/>
                      <w:lang w:val="en-US" w:eastAsia="zh-CN"/>
                    </w:rPr>
                    <w:t>73.2</w:t>
                  </w:r>
                </w:p>
              </w:tc>
              <w:tc>
                <w:tcPr>
                  <w:tcW w:w="524" w:type="dxa"/>
                  <w:vMerge w:val="restart"/>
                  <w:vAlign w:val="center"/>
                </w:tcPr>
                <w:p w14:paraId="31977E0D">
                  <w:pPr>
                    <w:snapToGrid w:val="0"/>
                    <w:jc w:val="center"/>
                    <w:rPr>
                      <w:rFonts w:hint="default" w:ascii="Times New Roman" w:hAnsi="Times New Roman" w:eastAsia="宋体" w:cs="Times New Roman"/>
                      <w:bCs/>
                      <w:color w:val="auto"/>
                      <w:kern w:val="0"/>
                      <w:sz w:val="18"/>
                      <w:szCs w:val="18"/>
                      <w:highlight w:val="none"/>
                      <w:lang w:val="en-US" w:eastAsia="zh-CN"/>
                    </w:rPr>
                  </w:pPr>
                  <w:r>
                    <w:rPr>
                      <w:rFonts w:hint="eastAsia" w:cs="Times New Roman"/>
                      <w:bCs/>
                      <w:color w:val="auto"/>
                      <w:kern w:val="0"/>
                      <w:sz w:val="18"/>
                      <w:szCs w:val="18"/>
                      <w:highlight w:val="none"/>
                      <w:lang w:val="en-US" w:eastAsia="zh-CN"/>
                    </w:rPr>
                    <w:t>288.6</w:t>
                  </w:r>
                </w:p>
              </w:tc>
              <w:tc>
                <w:tcPr>
                  <w:tcW w:w="509" w:type="dxa"/>
                  <w:vMerge w:val="restart"/>
                  <w:vAlign w:val="center"/>
                </w:tcPr>
                <w:p w14:paraId="0BD0EC1C">
                  <w:pPr>
                    <w:snapToGrid w:val="0"/>
                    <w:jc w:val="center"/>
                    <w:rPr>
                      <w:rFonts w:hint="default" w:ascii="Times New Roman" w:hAnsi="Times New Roman" w:eastAsia="宋体" w:cs="Times New Roman"/>
                      <w:bCs/>
                      <w:color w:val="auto"/>
                      <w:kern w:val="0"/>
                      <w:sz w:val="18"/>
                      <w:szCs w:val="18"/>
                      <w:highlight w:val="none"/>
                      <w:lang w:val="en-US" w:eastAsia="zh-CN"/>
                    </w:rPr>
                  </w:pPr>
                  <w:r>
                    <w:rPr>
                      <w:rFonts w:hint="eastAsia" w:cs="Times New Roman"/>
                      <w:bCs/>
                      <w:color w:val="auto"/>
                      <w:kern w:val="0"/>
                      <w:sz w:val="18"/>
                      <w:szCs w:val="18"/>
                      <w:highlight w:val="none"/>
                      <w:lang w:val="en-US" w:eastAsia="zh-CN"/>
                    </w:rPr>
                    <w:t>120</w:t>
                  </w:r>
                </w:p>
              </w:tc>
              <w:tc>
                <w:tcPr>
                  <w:tcW w:w="627" w:type="dxa"/>
                  <w:vMerge w:val="restart"/>
                  <w:vAlign w:val="center"/>
                </w:tcPr>
                <w:p w14:paraId="7D932FD1">
                  <w:pPr>
                    <w:snapToGrid w:val="0"/>
                    <w:jc w:val="center"/>
                    <w:rPr>
                      <w:rFonts w:hint="default" w:ascii="Times New Roman" w:hAnsi="Times New Roman" w:eastAsia="宋体" w:cs="Times New Roman"/>
                      <w:bCs/>
                      <w:color w:val="auto"/>
                      <w:kern w:val="0"/>
                      <w:sz w:val="18"/>
                      <w:szCs w:val="18"/>
                      <w:highlight w:val="none"/>
                      <w:lang w:val="en-US" w:eastAsia="zh-CN"/>
                    </w:rPr>
                  </w:pPr>
                  <w:r>
                    <w:rPr>
                      <w:rFonts w:hint="default" w:ascii="Times New Roman" w:hAnsi="Times New Roman" w:cs="Times New Roman"/>
                      <w:bCs/>
                      <w:color w:val="auto"/>
                      <w:kern w:val="0"/>
                      <w:sz w:val="18"/>
                      <w:szCs w:val="18"/>
                      <w:highlight w:val="none"/>
                      <w:lang w:val="en-US" w:eastAsia="zh-CN"/>
                    </w:rPr>
                    <w:t>10</w:t>
                  </w:r>
                </w:p>
              </w:tc>
              <w:tc>
                <w:tcPr>
                  <w:tcW w:w="1369" w:type="dxa"/>
                  <w:vAlign w:val="center"/>
                </w:tcPr>
                <w:p w14:paraId="5024E9CD">
                  <w:pPr>
                    <w:jc w:val="center"/>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eastAsia="zh-CN"/>
                    </w:rPr>
                    <w:t>颗粒物</w:t>
                  </w:r>
                </w:p>
              </w:tc>
              <w:tc>
                <w:tcPr>
                  <w:tcW w:w="830" w:type="dxa"/>
                  <w:vAlign w:val="center"/>
                </w:tcPr>
                <w:p w14:paraId="2C5A3327">
                  <w:pPr>
                    <w:snapToGrid w:val="0"/>
                    <w:jc w:val="center"/>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0.</w:t>
                  </w:r>
                  <w:r>
                    <w:rPr>
                      <w:rFonts w:hint="eastAsia" w:cs="Times New Roman"/>
                      <w:color w:val="auto"/>
                      <w:kern w:val="0"/>
                      <w:sz w:val="18"/>
                      <w:szCs w:val="18"/>
                      <w:highlight w:val="none"/>
                      <w:lang w:val="en-US" w:eastAsia="zh-CN"/>
                    </w:rPr>
                    <w:t>263</w:t>
                  </w:r>
                </w:p>
              </w:tc>
              <w:tc>
                <w:tcPr>
                  <w:tcW w:w="634" w:type="dxa"/>
                  <w:vAlign w:val="center"/>
                </w:tcPr>
                <w:p w14:paraId="0F46EE74">
                  <w:pPr>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kg/h</w:t>
                  </w:r>
                </w:p>
              </w:tc>
            </w:tr>
            <w:tr w14:paraId="26D52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747" w:type="dxa"/>
                  <w:vMerge w:val="continue"/>
                  <w:vAlign w:val="center"/>
                </w:tcPr>
                <w:p w14:paraId="4D3856F5">
                  <w:pPr>
                    <w:jc w:val="center"/>
                    <w:rPr>
                      <w:color w:val="auto"/>
                      <w:highlight w:val="none"/>
                    </w:rPr>
                  </w:pPr>
                </w:p>
              </w:tc>
              <w:tc>
                <w:tcPr>
                  <w:tcW w:w="1276" w:type="dxa"/>
                  <w:vMerge w:val="continue"/>
                  <w:vAlign w:val="center"/>
                </w:tcPr>
                <w:p w14:paraId="13C47782">
                  <w:pPr>
                    <w:jc w:val="center"/>
                    <w:rPr>
                      <w:color w:val="auto"/>
                      <w:highlight w:val="none"/>
                    </w:rPr>
                  </w:pPr>
                </w:p>
              </w:tc>
              <w:tc>
                <w:tcPr>
                  <w:tcW w:w="1267" w:type="dxa"/>
                  <w:vMerge w:val="continue"/>
                  <w:vAlign w:val="center"/>
                </w:tcPr>
                <w:p w14:paraId="477BA2A4">
                  <w:pPr>
                    <w:jc w:val="center"/>
                    <w:rPr>
                      <w:color w:val="auto"/>
                      <w:highlight w:val="none"/>
                    </w:rPr>
                  </w:pPr>
                </w:p>
              </w:tc>
              <w:tc>
                <w:tcPr>
                  <w:tcW w:w="585" w:type="dxa"/>
                  <w:vMerge w:val="continue"/>
                  <w:vAlign w:val="center"/>
                </w:tcPr>
                <w:p w14:paraId="64FF437B">
                  <w:pPr>
                    <w:jc w:val="center"/>
                    <w:rPr>
                      <w:color w:val="auto"/>
                      <w:highlight w:val="none"/>
                    </w:rPr>
                  </w:pPr>
                </w:p>
              </w:tc>
              <w:tc>
                <w:tcPr>
                  <w:tcW w:w="524" w:type="dxa"/>
                  <w:vMerge w:val="continue"/>
                  <w:vAlign w:val="center"/>
                </w:tcPr>
                <w:p w14:paraId="6E9FCDC0">
                  <w:pPr>
                    <w:jc w:val="center"/>
                    <w:rPr>
                      <w:color w:val="auto"/>
                      <w:highlight w:val="none"/>
                    </w:rPr>
                  </w:pPr>
                </w:p>
              </w:tc>
              <w:tc>
                <w:tcPr>
                  <w:tcW w:w="509" w:type="dxa"/>
                  <w:vMerge w:val="continue"/>
                  <w:vAlign w:val="center"/>
                </w:tcPr>
                <w:p w14:paraId="43A585ED">
                  <w:pPr>
                    <w:jc w:val="center"/>
                    <w:rPr>
                      <w:color w:val="auto"/>
                      <w:highlight w:val="none"/>
                    </w:rPr>
                  </w:pPr>
                </w:p>
              </w:tc>
              <w:tc>
                <w:tcPr>
                  <w:tcW w:w="627" w:type="dxa"/>
                  <w:vMerge w:val="continue"/>
                  <w:vAlign w:val="center"/>
                </w:tcPr>
                <w:p w14:paraId="0C705097">
                  <w:pPr>
                    <w:jc w:val="center"/>
                    <w:rPr>
                      <w:color w:val="auto"/>
                      <w:highlight w:val="none"/>
                    </w:rPr>
                  </w:pPr>
                </w:p>
              </w:tc>
              <w:tc>
                <w:tcPr>
                  <w:tcW w:w="1369" w:type="dxa"/>
                  <w:vAlign w:val="center"/>
                </w:tcPr>
                <w:p w14:paraId="13D94879">
                  <w:pPr>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氨</w:t>
                  </w:r>
                </w:p>
              </w:tc>
              <w:tc>
                <w:tcPr>
                  <w:tcW w:w="830" w:type="dxa"/>
                  <w:vAlign w:val="center"/>
                </w:tcPr>
                <w:p w14:paraId="7C4FEDF2">
                  <w:pPr>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0.08</w:t>
                  </w:r>
                </w:p>
              </w:tc>
              <w:tc>
                <w:tcPr>
                  <w:tcW w:w="634" w:type="dxa"/>
                  <w:vAlign w:val="center"/>
                </w:tcPr>
                <w:p w14:paraId="10BDE17A">
                  <w:pPr>
                    <w:jc w:val="center"/>
                    <w:rPr>
                      <w:rFonts w:hint="default" w:ascii="Times New Roman" w:hAnsi="Times New Roman" w:cs="Times New Roman"/>
                      <w:color w:val="auto"/>
                      <w:kern w:val="0"/>
                      <w:sz w:val="18"/>
                      <w:szCs w:val="18"/>
                      <w:highlight w:val="none"/>
                      <w:lang w:eastAsia="zh-CN"/>
                    </w:rPr>
                  </w:pPr>
                  <w:r>
                    <w:rPr>
                      <w:rFonts w:hint="default" w:ascii="Times New Roman" w:hAnsi="Times New Roman" w:cs="Times New Roman"/>
                      <w:color w:val="auto"/>
                      <w:kern w:val="0"/>
                      <w:sz w:val="18"/>
                      <w:szCs w:val="18"/>
                      <w:highlight w:val="none"/>
                    </w:rPr>
                    <w:t>kg/h</w:t>
                  </w:r>
                </w:p>
              </w:tc>
            </w:tr>
          </w:tbl>
          <w:p w14:paraId="32FCDF2A">
            <w:pPr>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表4-</w:t>
            </w:r>
            <w:r>
              <w:rPr>
                <w:rFonts w:hint="eastAsia" w:cs="Times New Roman"/>
                <w:b/>
                <w:color w:val="auto"/>
                <w:highlight w:val="none"/>
                <w:lang w:val="en-US" w:eastAsia="zh-CN"/>
              </w:rPr>
              <w:t>18</w:t>
            </w:r>
            <w:r>
              <w:rPr>
                <w:rFonts w:hint="default" w:ascii="Times New Roman" w:hAnsi="Times New Roman" w:cs="Times New Roman"/>
                <w:b/>
                <w:color w:val="auto"/>
                <w:highlight w:val="none"/>
              </w:rPr>
              <w:t>大气污染源（点源）排放参数一览表</w:t>
            </w:r>
          </w:p>
          <w:tbl>
            <w:tblPr>
              <w:tblStyle w:val="81"/>
              <w:tblW w:w="4994"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4" w:space="0"/>
              </w:tblBorders>
              <w:tblLayout w:type="autofit"/>
              <w:tblCellMar>
                <w:top w:w="0" w:type="dxa"/>
                <w:left w:w="108" w:type="dxa"/>
                <w:bottom w:w="0" w:type="dxa"/>
                <w:right w:w="108" w:type="dxa"/>
              </w:tblCellMar>
            </w:tblPr>
            <w:tblGrid>
              <w:gridCol w:w="1364"/>
              <w:gridCol w:w="819"/>
              <w:gridCol w:w="634"/>
              <w:gridCol w:w="745"/>
              <w:gridCol w:w="963"/>
              <w:gridCol w:w="826"/>
              <w:gridCol w:w="962"/>
              <w:gridCol w:w="1132"/>
              <w:gridCol w:w="925"/>
            </w:tblGrid>
            <w:tr w14:paraId="2BACE6E3">
              <w:tblPrEx>
                <w:tblBorders>
                  <w:top w:val="single" w:color="auto" w:sz="2" w:space="0"/>
                  <w:left w:val="single" w:color="auto" w:sz="2" w:space="0"/>
                  <w:bottom w:val="single" w:color="auto" w:sz="2" w:space="0"/>
                  <w:right w:val="single" w:color="auto" w:sz="2" w:space="0"/>
                  <w:insideH w:val="single" w:color="auto" w:sz="2" w:space="0"/>
                  <w:insideV w:val="single" w:color="auto" w:sz="4" w:space="0"/>
                </w:tblBorders>
                <w:tblCellMar>
                  <w:top w:w="0" w:type="dxa"/>
                  <w:left w:w="108" w:type="dxa"/>
                  <w:bottom w:w="0" w:type="dxa"/>
                  <w:right w:w="108" w:type="dxa"/>
                </w:tblCellMar>
              </w:tblPrEx>
              <w:trPr>
                <w:trHeight w:val="340" w:hRule="atLeast"/>
                <w:jc w:val="center"/>
              </w:trPr>
              <w:tc>
                <w:tcPr>
                  <w:tcW w:w="1364" w:type="dxa"/>
                  <w:tcMar>
                    <w:left w:w="0" w:type="dxa"/>
                    <w:right w:w="0" w:type="dxa"/>
                  </w:tcMar>
                  <w:vAlign w:val="center"/>
                </w:tcPr>
                <w:p w14:paraId="6ECB57F2">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点源</w:t>
                  </w:r>
                </w:p>
                <w:p w14:paraId="77D112D7">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名称</w:t>
                  </w:r>
                </w:p>
              </w:tc>
              <w:tc>
                <w:tcPr>
                  <w:tcW w:w="819" w:type="dxa"/>
                  <w:tcMar>
                    <w:left w:w="0" w:type="dxa"/>
                    <w:right w:w="0" w:type="dxa"/>
                  </w:tcMar>
                  <w:vAlign w:val="center"/>
                </w:tcPr>
                <w:p w14:paraId="3B30F8BD">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排气筒高度/m</w:t>
                  </w:r>
                </w:p>
              </w:tc>
              <w:tc>
                <w:tcPr>
                  <w:tcW w:w="633" w:type="dxa"/>
                  <w:tcMar>
                    <w:left w:w="0" w:type="dxa"/>
                    <w:right w:w="0" w:type="dxa"/>
                  </w:tcMar>
                  <w:vAlign w:val="center"/>
                </w:tcPr>
                <w:p w14:paraId="058AB57B">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排气筒内径/m</w:t>
                  </w:r>
                </w:p>
              </w:tc>
              <w:tc>
                <w:tcPr>
                  <w:tcW w:w="744" w:type="dxa"/>
                  <w:tcMar>
                    <w:left w:w="0" w:type="dxa"/>
                    <w:right w:w="0" w:type="dxa"/>
                  </w:tcMar>
                  <w:vAlign w:val="center"/>
                </w:tcPr>
                <w:p w14:paraId="32F2A826">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烟气流量/m</w:t>
                  </w:r>
                  <w:r>
                    <w:rPr>
                      <w:rFonts w:hint="default" w:ascii="Times New Roman" w:hAnsi="Times New Roman" w:cs="Times New Roman"/>
                      <w:b/>
                      <w:bCs/>
                      <w:color w:val="auto"/>
                      <w:sz w:val="18"/>
                      <w:szCs w:val="18"/>
                      <w:highlight w:val="none"/>
                      <w:vertAlign w:val="superscript"/>
                    </w:rPr>
                    <w:t>3</w:t>
                  </w:r>
                  <w:r>
                    <w:rPr>
                      <w:rFonts w:hint="default" w:ascii="Times New Roman" w:hAnsi="Times New Roman" w:cs="Times New Roman"/>
                      <w:b/>
                      <w:bCs/>
                      <w:color w:val="auto"/>
                      <w:sz w:val="18"/>
                      <w:szCs w:val="18"/>
                      <w:highlight w:val="none"/>
                    </w:rPr>
                    <w:t>/h</w:t>
                  </w:r>
                </w:p>
              </w:tc>
              <w:tc>
                <w:tcPr>
                  <w:tcW w:w="962" w:type="dxa"/>
                  <w:tcMar>
                    <w:left w:w="0" w:type="dxa"/>
                    <w:right w:w="0" w:type="dxa"/>
                  </w:tcMar>
                  <w:vAlign w:val="center"/>
                </w:tcPr>
                <w:p w14:paraId="519A9AE1">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烟气出口温度/℃</w:t>
                  </w:r>
                </w:p>
              </w:tc>
              <w:tc>
                <w:tcPr>
                  <w:tcW w:w="825" w:type="dxa"/>
                  <w:tcMar>
                    <w:left w:w="0" w:type="dxa"/>
                    <w:right w:w="0" w:type="dxa"/>
                  </w:tcMar>
                  <w:vAlign w:val="center"/>
                </w:tcPr>
                <w:p w14:paraId="13FEFE8A">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年排放小时数/h</w:t>
                  </w:r>
                </w:p>
              </w:tc>
              <w:tc>
                <w:tcPr>
                  <w:tcW w:w="961" w:type="dxa"/>
                  <w:tcMar>
                    <w:left w:w="0" w:type="dxa"/>
                    <w:right w:w="0" w:type="dxa"/>
                  </w:tcMar>
                  <w:vAlign w:val="center"/>
                </w:tcPr>
                <w:p w14:paraId="27C6092D">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w:t>
                  </w:r>
                </w:p>
                <w:p w14:paraId="4ECCB0CD">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工况</w:t>
                  </w:r>
                </w:p>
              </w:tc>
              <w:tc>
                <w:tcPr>
                  <w:tcW w:w="1131" w:type="dxa"/>
                  <w:tcMar>
                    <w:left w:w="0" w:type="dxa"/>
                    <w:right w:w="0" w:type="dxa"/>
                  </w:tcMar>
                  <w:vAlign w:val="center"/>
                </w:tcPr>
                <w:p w14:paraId="3A4F9D57">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w:t>
                  </w:r>
                </w:p>
              </w:tc>
              <w:tc>
                <w:tcPr>
                  <w:tcW w:w="924" w:type="dxa"/>
                  <w:vAlign w:val="center"/>
                </w:tcPr>
                <w:p w14:paraId="338869F3">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排放速率/kg/h</w:t>
                  </w:r>
                </w:p>
              </w:tc>
            </w:tr>
            <w:tr w14:paraId="35C22C19">
              <w:tblPrEx>
                <w:tblBorders>
                  <w:top w:val="single" w:color="auto" w:sz="2" w:space="0"/>
                  <w:left w:val="single" w:color="auto" w:sz="2" w:space="0"/>
                  <w:bottom w:val="single" w:color="auto" w:sz="2" w:space="0"/>
                  <w:right w:val="single" w:color="auto" w:sz="2" w:space="0"/>
                  <w:insideH w:val="single" w:color="auto" w:sz="2" w:space="0"/>
                  <w:insideV w:val="single" w:color="auto" w:sz="4" w:space="0"/>
                </w:tblBorders>
                <w:tblCellMar>
                  <w:top w:w="0" w:type="dxa"/>
                  <w:left w:w="108" w:type="dxa"/>
                  <w:bottom w:w="0" w:type="dxa"/>
                  <w:right w:w="108" w:type="dxa"/>
                </w:tblCellMar>
              </w:tblPrEx>
              <w:trPr>
                <w:trHeight w:val="60" w:hRule="atLeast"/>
                <w:jc w:val="center"/>
              </w:trPr>
              <w:tc>
                <w:tcPr>
                  <w:tcW w:w="1364" w:type="dxa"/>
                  <w:vMerge w:val="restart"/>
                  <w:tcMar>
                    <w:left w:w="0" w:type="dxa"/>
                    <w:right w:w="0" w:type="dxa"/>
                  </w:tcMar>
                  <w:vAlign w:val="center"/>
                </w:tcPr>
                <w:p w14:paraId="7671E0BB">
                  <w:pPr>
                    <w:contextualSpacing/>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DA00</w:t>
                  </w:r>
                  <w:r>
                    <w:rPr>
                      <w:rFonts w:hint="eastAsia"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val="en-US" w:eastAsia="zh-CN"/>
                    </w:rPr>
                    <w:t>排气筒</w:t>
                  </w:r>
                </w:p>
              </w:tc>
              <w:tc>
                <w:tcPr>
                  <w:tcW w:w="819" w:type="dxa"/>
                  <w:vMerge w:val="restart"/>
                  <w:tcMar>
                    <w:left w:w="0" w:type="dxa"/>
                    <w:right w:w="0" w:type="dxa"/>
                  </w:tcMar>
                  <w:vAlign w:val="center"/>
                </w:tcPr>
                <w:p w14:paraId="722F9405">
                  <w:pPr>
                    <w:contextualSpacing/>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15</w:t>
                  </w:r>
                </w:p>
              </w:tc>
              <w:tc>
                <w:tcPr>
                  <w:tcW w:w="633" w:type="dxa"/>
                  <w:vMerge w:val="restart"/>
                  <w:tcMar>
                    <w:left w:w="0" w:type="dxa"/>
                    <w:right w:w="0" w:type="dxa"/>
                  </w:tcMar>
                  <w:vAlign w:val="center"/>
                </w:tcPr>
                <w:p w14:paraId="21D33683">
                  <w:pPr>
                    <w:spacing w:line="240" w:lineRule="exac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744" w:type="dxa"/>
                  <w:vMerge w:val="restart"/>
                  <w:tcMar>
                    <w:left w:w="0" w:type="dxa"/>
                    <w:right w:w="0" w:type="dxa"/>
                  </w:tcMar>
                  <w:vAlign w:val="center"/>
                </w:tcPr>
                <w:p w14:paraId="70710631">
                  <w:pPr>
                    <w:spacing w:line="240" w:lineRule="auto"/>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10000</w:t>
                  </w:r>
                </w:p>
              </w:tc>
              <w:tc>
                <w:tcPr>
                  <w:tcW w:w="962" w:type="dxa"/>
                  <w:vMerge w:val="restart"/>
                  <w:tcMar>
                    <w:left w:w="0" w:type="dxa"/>
                    <w:right w:w="0" w:type="dxa"/>
                  </w:tcMar>
                  <w:vAlign w:val="center"/>
                </w:tcPr>
                <w:p w14:paraId="159E6183">
                  <w:pPr>
                    <w:contextualSpacing/>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50</w:t>
                  </w:r>
                </w:p>
              </w:tc>
              <w:tc>
                <w:tcPr>
                  <w:tcW w:w="825" w:type="dxa"/>
                  <w:vMerge w:val="restart"/>
                  <w:tcMar>
                    <w:left w:w="0" w:type="dxa"/>
                    <w:right w:w="0" w:type="dxa"/>
                  </w:tcMar>
                  <w:vAlign w:val="center"/>
                </w:tcPr>
                <w:p w14:paraId="1B522788">
                  <w:pPr>
                    <w:contextualSpacing/>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72</w:t>
                  </w:r>
                  <w:r>
                    <w:rPr>
                      <w:rFonts w:hint="default" w:ascii="Times New Roman" w:hAnsi="Times New Roman" w:cs="Times New Roman"/>
                      <w:color w:val="auto"/>
                      <w:sz w:val="18"/>
                      <w:szCs w:val="18"/>
                      <w:highlight w:val="none"/>
                      <w:lang w:val="en-US" w:eastAsia="zh-CN"/>
                    </w:rPr>
                    <w:t>00</w:t>
                  </w:r>
                </w:p>
              </w:tc>
              <w:tc>
                <w:tcPr>
                  <w:tcW w:w="961" w:type="dxa"/>
                  <w:vMerge w:val="restart"/>
                  <w:tcMar>
                    <w:left w:w="0" w:type="dxa"/>
                    <w:right w:w="0" w:type="dxa"/>
                  </w:tcMar>
                  <w:vAlign w:val="center"/>
                </w:tcPr>
                <w:p w14:paraId="61D70631">
                  <w:pPr>
                    <w:contextualSpacing/>
                    <w:jc w:val="center"/>
                    <w:rPr>
                      <w:rFonts w:hint="default"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连续</w:t>
                  </w:r>
                </w:p>
              </w:tc>
              <w:tc>
                <w:tcPr>
                  <w:tcW w:w="1131" w:type="dxa"/>
                  <w:tcMar>
                    <w:left w:w="0" w:type="dxa"/>
                    <w:right w:w="0" w:type="dxa"/>
                  </w:tcMar>
                  <w:vAlign w:val="center"/>
                </w:tcPr>
                <w:p w14:paraId="405D6AB7">
                  <w:pPr>
                    <w:jc w:val="center"/>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颗粒物</w:t>
                  </w:r>
                </w:p>
              </w:tc>
              <w:tc>
                <w:tcPr>
                  <w:tcW w:w="924" w:type="dxa"/>
                  <w:tcMar>
                    <w:left w:w="0" w:type="dxa"/>
                    <w:right w:w="0" w:type="dxa"/>
                  </w:tcMar>
                  <w:vAlign w:val="center"/>
                </w:tcPr>
                <w:p w14:paraId="3B0C4665">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0.007</w:t>
                  </w:r>
                </w:p>
              </w:tc>
            </w:tr>
            <w:tr w14:paraId="5FFAD432">
              <w:tblPrEx>
                <w:tblBorders>
                  <w:top w:val="single" w:color="auto" w:sz="2" w:space="0"/>
                  <w:left w:val="single" w:color="auto" w:sz="2" w:space="0"/>
                  <w:bottom w:val="single" w:color="auto" w:sz="2" w:space="0"/>
                  <w:right w:val="single" w:color="auto" w:sz="2" w:space="0"/>
                  <w:insideH w:val="single" w:color="auto" w:sz="2" w:space="0"/>
                  <w:insideV w:val="single" w:color="auto" w:sz="4" w:space="0"/>
                </w:tblBorders>
                <w:tblCellMar>
                  <w:top w:w="0" w:type="dxa"/>
                  <w:left w:w="108" w:type="dxa"/>
                  <w:bottom w:w="0" w:type="dxa"/>
                  <w:right w:w="108" w:type="dxa"/>
                </w:tblCellMar>
              </w:tblPrEx>
              <w:trPr>
                <w:trHeight w:val="60" w:hRule="atLeast"/>
                <w:jc w:val="center"/>
              </w:trPr>
              <w:tc>
                <w:tcPr>
                  <w:tcW w:w="1364" w:type="dxa"/>
                  <w:vMerge w:val="continue"/>
                  <w:tcMar>
                    <w:left w:w="0" w:type="dxa"/>
                    <w:right w:w="0" w:type="dxa"/>
                  </w:tcMar>
                  <w:vAlign w:val="center"/>
                </w:tcPr>
                <w:p w14:paraId="01D54A1A">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auto"/>
                      <w:highlight w:val="none"/>
                    </w:rPr>
                  </w:pPr>
                </w:p>
              </w:tc>
              <w:tc>
                <w:tcPr>
                  <w:tcW w:w="819" w:type="dxa"/>
                  <w:vMerge w:val="continue"/>
                  <w:tcMar>
                    <w:left w:w="0" w:type="dxa"/>
                    <w:right w:w="0" w:type="dxa"/>
                  </w:tcMar>
                  <w:vAlign w:val="center"/>
                </w:tcPr>
                <w:p w14:paraId="7A79D52F">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auto"/>
                      <w:highlight w:val="none"/>
                    </w:rPr>
                  </w:pPr>
                </w:p>
              </w:tc>
              <w:tc>
                <w:tcPr>
                  <w:tcW w:w="633" w:type="dxa"/>
                  <w:vMerge w:val="continue"/>
                  <w:tcMar>
                    <w:left w:w="0" w:type="dxa"/>
                    <w:right w:w="0" w:type="dxa"/>
                  </w:tcMar>
                  <w:vAlign w:val="center"/>
                </w:tcPr>
                <w:p w14:paraId="6D98F9A7">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auto"/>
                      <w:highlight w:val="none"/>
                    </w:rPr>
                  </w:pPr>
                </w:p>
              </w:tc>
              <w:tc>
                <w:tcPr>
                  <w:tcW w:w="744" w:type="dxa"/>
                  <w:vMerge w:val="continue"/>
                  <w:tcMar>
                    <w:left w:w="0" w:type="dxa"/>
                    <w:right w:w="0" w:type="dxa"/>
                  </w:tcMar>
                  <w:vAlign w:val="center"/>
                </w:tcPr>
                <w:p w14:paraId="0310A6CB">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auto"/>
                      <w:highlight w:val="none"/>
                    </w:rPr>
                  </w:pPr>
                </w:p>
              </w:tc>
              <w:tc>
                <w:tcPr>
                  <w:tcW w:w="962" w:type="dxa"/>
                  <w:vMerge w:val="continue"/>
                  <w:tcMar>
                    <w:left w:w="0" w:type="dxa"/>
                    <w:right w:w="0" w:type="dxa"/>
                  </w:tcMar>
                  <w:vAlign w:val="center"/>
                </w:tcPr>
                <w:p w14:paraId="6689A87D">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auto"/>
                      <w:highlight w:val="none"/>
                    </w:rPr>
                  </w:pPr>
                </w:p>
              </w:tc>
              <w:tc>
                <w:tcPr>
                  <w:tcW w:w="825" w:type="dxa"/>
                  <w:vMerge w:val="continue"/>
                  <w:tcMar>
                    <w:left w:w="0" w:type="dxa"/>
                    <w:right w:w="0" w:type="dxa"/>
                  </w:tcMar>
                  <w:vAlign w:val="center"/>
                </w:tcPr>
                <w:p w14:paraId="2D1AC790">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auto"/>
                      <w:highlight w:val="none"/>
                    </w:rPr>
                  </w:pPr>
                </w:p>
              </w:tc>
              <w:tc>
                <w:tcPr>
                  <w:tcW w:w="961" w:type="dxa"/>
                  <w:vMerge w:val="continue"/>
                  <w:tcMar>
                    <w:left w:w="0" w:type="dxa"/>
                    <w:right w:w="0" w:type="dxa"/>
                  </w:tcMar>
                  <w:vAlign w:val="center"/>
                </w:tcPr>
                <w:p w14:paraId="09675A32">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auto"/>
                      <w:highlight w:val="none"/>
                    </w:rPr>
                  </w:pPr>
                </w:p>
              </w:tc>
              <w:tc>
                <w:tcPr>
                  <w:tcW w:w="1131" w:type="dxa"/>
                  <w:tcMar>
                    <w:left w:w="0" w:type="dxa"/>
                    <w:right w:w="0" w:type="dxa"/>
                  </w:tcMar>
                  <w:vAlign w:val="center"/>
                </w:tcPr>
                <w:p w14:paraId="37808EF0">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SO</w:t>
                  </w:r>
                  <w:r>
                    <w:rPr>
                      <w:rFonts w:hint="eastAsia" w:cs="Times New Roman"/>
                      <w:color w:val="auto"/>
                      <w:kern w:val="0"/>
                      <w:sz w:val="18"/>
                      <w:szCs w:val="18"/>
                      <w:highlight w:val="none"/>
                      <w:vertAlign w:val="subscript"/>
                      <w:lang w:val="en-US" w:eastAsia="zh-CN"/>
                    </w:rPr>
                    <w:t>2</w:t>
                  </w:r>
                </w:p>
              </w:tc>
              <w:tc>
                <w:tcPr>
                  <w:tcW w:w="924" w:type="dxa"/>
                  <w:tcMar>
                    <w:left w:w="0" w:type="dxa"/>
                    <w:right w:w="0" w:type="dxa"/>
                  </w:tcMar>
                  <w:vAlign w:val="center"/>
                </w:tcPr>
                <w:p w14:paraId="64C7E132">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0.017</w:t>
                  </w:r>
                </w:p>
              </w:tc>
            </w:tr>
            <w:tr w14:paraId="58A23466">
              <w:tblPrEx>
                <w:tblBorders>
                  <w:top w:val="single" w:color="auto" w:sz="2" w:space="0"/>
                  <w:left w:val="single" w:color="auto" w:sz="2" w:space="0"/>
                  <w:bottom w:val="single" w:color="auto" w:sz="2" w:space="0"/>
                  <w:right w:val="single" w:color="auto" w:sz="2" w:space="0"/>
                  <w:insideH w:val="single" w:color="auto" w:sz="2" w:space="0"/>
                  <w:insideV w:val="single" w:color="auto" w:sz="4" w:space="0"/>
                </w:tblBorders>
                <w:tblCellMar>
                  <w:top w:w="0" w:type="dxa"/>
                  <w:left w:w="108" w:type="dxa"/>
                  <w:bottom w:w="0" w:type="dxa"/>
                  <w:right w:w="108" w:type="dxa"/>
                </w:tblCellMar>
              </w:tblPrEx>
              <w:trPr>
                <w:trHeight w:val="60" w:hRule="atLeast"/>
                <w:jc w:val="center"/>
              </w:trPr>
              <w:tc>
                <w:tcPr>
                  <w:tcW w:w="1364" w:type="dxa"/>
                  <w:vMerge w:val="continue"/>
                  <w:tcMar>
                    <w:left w:w="0" w:type="dxa"/>
                    <w:right w:w="0" w:type="dxa"/>
                  </w:tcMar>
                  <w:vAlign w:val="center"/>
                </w:tcPr>
                <w:p w14:paraId="527AB6FB">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kern w:val="0"/>
                      <w:sz w:val="18"/>
                      <w:szCs w:val="18"/>
                      <w:highlight w:val="none"/>
                      <w:lang w:val="en-US" w:eastAsia="zh-CN"/>
                    </w:rPr>
                  </w:pPr>
                </w:p>
              </w:tc>
              <w:tc>
                <w:tcPr>
                  <w:tcW w:w="819" w:type="dxa"/>
                  <w:vMerge w:val="continue"/>
                  <w:tcMar>
                    <w:left w:w="0" w:type="dxa"/>
                    <w:right w:w="0" w:type="dxa"/>
                  </w:tcMar>
                  <w:vAlign w:val="center"/>
                </w:tcPr>
                <w:p w14:paraId="7D90DC70">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kern w:val="0"/>
                      <w:sz w:val="18"/>
                      <w:szCs w:val="18"/>
                      <w:highlight w:val="none"/>
                      <w:lang w:val="en-US" w:eastAsia="zh-CN"/>
                    </w:rPr>
                  </w:pPr>
                </w:p>
              </w:tc>
              <w:tc>
                <w:tcPr>
                  <w:tcW w:w="633" w:type="dxa"/>
                  <w:vMerge w:val="continue"/>
                  <w:tcMar>
                    <w:left w:w="0" w:type="dxa"/>
                    <w:right w:w="0" w:type="dxa"/>
                  </w:tcMar>
                  <w:vAlign w:val="center"/>
                </w:tcPr>
                <w:p w14:paraId="06B3D62B">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kern w:val="0"/>
                      <w:sz w:val="18"/>
                      <w:szCs w:val="18"/>
                      <w:highlight w:val="none"/>
                      <w:lang w:val="en-US" w:eastAsia="zh-CN"/>
                    </w:rPr>
                  </w:pPr>
                </w:p>
              </w:tc>
              <w:tc>
                <w:tcPr>
                  <w:tcW w:w="744" w:type="dxa"/>
                  <w:vMerge w:val="continue"/>
                  <w:tcMar>
                    <w:left w:w="0" w:type="dxa"/>
                    <w:right w:w="0" w:type="dxa"/>
                  </w:tcMar>
                  <w:vAlign w:val="center"/>
                </w:tcPr>
                <w:p w14:paraId="7D19CC46">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kern w:val="0"/>
                      <w:sz w:val="18"/>
                      <w:szCs w:val="18"/>
                      <w:highlight w:val="none"/>
                      <w:lang w:val="en-US" w:eastAsia="zh-CN"/>
                    </w:rPr>
                  </w:pPr>
                </w:p>
              </w:tc>
              <w:tc>
                <w:tcPr>
                  <w:tcW w:w="962" w:type="dxa"/>
                  <w:vMerge w:val="continue"/>
                  <w:tcMar>
                    <w:left w:w="0" w:type="dxa"/>
                    <w:right w:w="0" w:type="dxa"/>
                  </w:tcMar>
                  <w:vAlign w:val="center"/>
                </w:tcPr>
                <w:p w14:paraId="7107A3FC">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kern w:val="0"/>
                      <w:sz w:val="18"/>
                      <w:szCs w:val="18"/>
                      <w:highlight w:val="none"/>
                      <w:lang w:val="en-US" w:eastAsia="zh-CN"/>
                    </w:rPr>
                  </w:pPr>
                </w:p>
              </w:tc>
              <w:tc>
                <w:tcPr>
                  <w:tcW w:w="825" w:type="dxa"/>
                  <w:vMerge w:val="continue"/>
                  <w:tcMar>
                    <w:left w:w="0" w:type="dxa"/>
                    <w:right w:w="0" w:type="dxa"/>
                  </w:tcMar>
                  <w:vAlign w:val="center"/>
                </w:tcPr>
                <w:p w14:paraId="4213478A">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kern w:val="0"/>
                      <w:sz w:val="18"/>
                      <w:szCs w:val="18"/>
                      <w:highlight w:val="none"/>
                      <w:lang w:val="en-US" w:eastAsia="zh-CN"/>
                    </w:rPr>
                  </w:pPr>
                </w:p>
              </w:tc>
              <w:tc>
                <w:tcPr>
                  <w:tcW w:w="961" w:type="dxa"/>
                  <w:vMerge w:val="continue"/>
                  <w:tcMar>
                    <w:left w:w="0" w:type="dxa"/>
                    <w:right w:w="0" w:type="dxa"/>
                  </w:tcMar>
                  <w:vAlign w:val="center"/>
                </w:tcPr>
                <w:p w14:paraId="59E55294">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kern w:val="0"/>
                      <w:sz w:val="18"/>
                      <w:szCs w:val="18"/>
                      <w:highlight w:val="none"/>
                      <w:lang w:val="en-US" w:eastAsia="zh-CN"/>
                    </w:rPr>
                  </w:pPr>
                </w:p>
              </w:tc>
              <w:tc>
                <w:tcPr>
                  <w:tcW w:w="1131" w:type="dxa"/>
                  <w:tcMar>
                    <w:left w:w="0" w:type="dxa"/>
                    <w:right w:w="0" w:type="dxa"/>
                  </w:tcMar>
                  <w:vAlign w:val="center"/>
                </w:tcPr>
                <w:p w14:paraId="2A41DF5F">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NOx</w:t>
                  </w:r>
                </w:p>
              </w:tc>
              <w:tc>
                <w:tcPr>
                  <w:tcW w:w="924" w:type="dxa"/>
                  <w:tcMar>
                    <w:left w:w="0" w:type="dxa"/>
                    <w:right w:w="0" w:type="dxa"/>
                  </w:tcMar>
                  <w:vAlign w:val="center"/>
                </w:tcPr>
                <w:p w14:paraId="669E624F">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0.058</w:t>
                  </w:r>
                </w:p>
              </w:tc>
            </w:tr>
            <w:tr w14:paraId="000F5ED8">
              <w:tblPrEx>
                <w:tblBorders>
                  <w:top w:val="single" w:color="auto" w:sz="2" w:space="0"/>
                  <w:left w:val="single" w:color="auto" w:sz="2" w:space="0"/>
                  <w:bottom w:val="single" w:color="auto" w:sz="2" w:space="0"/>
                  <w:right w:val="single" w:color="auto" w:sz="2" w:space="0"/>
                  <w:insideH w:val="single" w:color="auto" w:sz="2" w:space="0"/>
                  <w:insideV w:val="single" w:color="auto" w:sz="4" w:space="0"/>
                </w:tblBorders>
                <w:tblCellMar>
                  <w:top w:w="0" w:type="dxa"/>
                  <w:left w:w="108" w:type="dxa"/>
                  <w:bottom w:w="0" w:type="dxa"/>
                  <w:right w:w="108" w:type="dxa"/>
                </w:tblCellMar>
              </w:tblPrEx>
              <w:trPr>
                <w:trHeight w:val="60" w:hRule="atLeast"/>
                <w:jc w:val="center"/>
              </w:trPr>
              <w:tc>
                <w:tcPr>
                  <w:tcW w:w="1364" w:type="dxa"/>
                  <w:vMerge w:val="continue"/>
                  <w:tcMar>
                    <w:left w:w="0" w:type="dxa"/>
                    <w:right w:w="0" w:type="dxa"/>
                  </w:tcMar>
                  <w:vAlign w:val="center"/>
                </w:tcPr>
                <w:p w14:paraId="3865D33D">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kern w:val="0"/>
                      <w:sz w:val="18"/>
                      <w:szCs w:val="18"/>
                      <w:highlight w:val="none"/>
                      <w:lang w:val="en-US" w:eastAsia="zh-CN"/>
                    </w:rPr>
                  </w:pPr>
                </w:p>
              </w:tc>
              <w:tc>
                <w:tcPr>
                  <w:tcW w:w="819" w:type="dxa"/>
                  <w:vMerge w:val="continue"/>
                  <w:tcMar>
                    <w:left w:w="0" w:type="dxa"/>
                    <w:right w:w="0" w:type="dxa"/>
                  </w:tcMar>
                  <w:vAlign w:val="center"/>
                </w:tcPr>
                <w:p w14:paraId="7BC12853">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kern w:val="0"/>
                      <w:sz w:val="18"/>
                      <w:szCs w:val="18"/>
                      <w:highlight w:val="none"/>
                      <w:lang w:val="en-US" w:eastAsia="zh-CN"/>
                    </w:rPr>
                  </w:pPr>
                </w:p>
              </w:tc>
              <w:tc>
                <w:tcPr>
                  <w:tcW w:w="633" w:type="dxa"/>
                  <w:vMerge w:val="continue"/>
                  <w:tcMar>
                    <w:left w:w="0" w:type="dxa"/>
                    <w:right w:w="0" w:type="dxa"/>
                  </w:tcMar>
                  <w:vAlign w:val="center"/>
                </w:tcPr>
                <w:p w14:paraId="4CFD56AC">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kern w:val="0"/>
                      <w:sz w:val="18"/>
                      <w:szCs w:val="18"/>
                      <w:highlight w:val="none"/>
                      <w:lang w:val="en-US" w:eastAsia="zh-CN"/>
                    </w:rPr>
                  </w:pPr>
                </w:p>
              </w:tc>
              <w:tc>
                <w:tcPr>
                  <w:tcW w:w="744" w:type="dxa"/>
                  <w:vMerge w:val="continue"/>
                  <w:tcMar>
                    <w:left w:w="0" w:type="dxa"/>
                    <w:right w:w="0" w:type="dxa"/>
                  </w:tcMar>
                  <w:vAlign w:val="center"/>
                </w:tcPr>
                <w:p w14:paraId="4F3D350F">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kern w:val="0"/>
                      <w:sz w:val="18"/>
                      <w:szCs w:val="18"/>
                      <w:highlight w:val="none"/>
                      <w:lang w:val="en-US" w:eastAsia="zh-CN"/>
                    </w:rPr>
                  </w:pPr>
                </w:p>
              </w:tc>
              <w:tc>
                <w:tcPr>
                  <w:tcW w:w="962" w:type="dxa"/>
                  <w:vMerge w:val="continue"/>
                  <w:tcMar>
                    <w:left w:w="0" w:type="dxa"/>
                    <w:right w:w="0" w:type="dxa"/>
                  </w:tcMar>
                  <w:vAlign w:val="center"/>
                </w:tcPr>
                <w:p w14:paraId="4E24CF16">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kern w:val="0"/>
                      <w:sz w:val="18"/>
                      <w:szCs w:val="18"/>
                      <w:highlight w:val="none"/>
                      <w:lang w:val="en-US" w:eastAsia="zh-CN"/>
                    </w:rPr>
                  </w:pPr>
                </w:p>
              </w:tc>
              <w:tc>
                <w:tcPr>
                  <w:tcW w:w="825" w:type="dxa"/>
                  <w:vMerge w:val="continue"/>
                  <w:tcMar>
                    <w:left w:w="0" w:type="dxa"/>
                    <w:right w:w="0" w:type="dxa"/>
                  </w:tcMar>
                  <w:vAlign w:val="center"/>
                </w:tcPr>
                <w:p w14:paraId="220AB3D7">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kern w:val="0"/>
                      <w:sz w:val="18"/>
                      <w:szCs w:val="18"/>
                      <w:highlight w:val="none"/>
                      <w:lang w:val="en-US" w:eastAsia="zh-CN"/>
                    </w:rPr>
                  </w:pPr>
                </w:p>
              </w:tc>
              <w:tc>
                <w:tcPr>
                  <w:tcW w:w="961" w:type="dxa"/>
                  <w:vMerge w:val="continue"/>
                  <w:tcMar>
                    <w:left w:w="0" w:type="dxa"/>
                    <w:right w:w="0" w:type="dxa"/>
                  </w:tcMar>
                  <w:vAlign w:val="center"/>
                </w:tcPr>
                <w:p w14:paraId="04B4A33B">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kern w:val="0"/>
                      <w:sz w:val="18"/>
                      <w:szCs w:val="18"/>
                      <w:highlight w:val="none"/>
                      <w:lang w:val="en-US" w:eastAsia="zh-CN"/>
                    </w:rPr>
                  </w:pPr>
                </w:p>
              </w:tc>
              <w:tc>
                <w:tcPr>
                  <w:tcW w:w="1131" w:type="dxa"/>
                  <w:tcMar>
                    <w:left w:w="0" w:type="dxa"/>
                    <w:right w:w="0" w:type="dxa"/>
                  </w:tcMar>
                  <w:vAlign w:val="center"/>
                </w:tcPr>
                <w:p w14:paraId="3E0482D9">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氨</w:t>
                  </w:r>
                </w:p>
              </w:tc>
              <w:tc>
                <w:tcPr>
                  <w:tcW w:w="924" w:type="dxa"/>
                  <w:tcMar>
                    <w:left w:w="0" w:type="dxa"/>
                    <w:right w:w="0" w:type="dxa"/>
                  </w:tcMar>
                  <w:vAlign w:val="center"/>
                </w:tcPr>
                <w:p w14:paraId="020A4B85">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0.111</w:t>
                  </w:r>
                </w:p>
              </w:tc>
            </w:tr>
            <w:tr w14:paraId="64BE7681">
              <w:tblPrEx>
                <w:tblBorders>
                  <w:top w:val="single" w:color="auto" w:sz="2" w:space="0"/>
                  <w:left w:val="single" w:color="auto" w:sz="2" w:space="0"/>
                  <w:bottom w:val="single" w:color="auto" w:sz="2" w:space="0"/>
                  <w:right w:val="single" w:color="auto" w:sz="2" w:space="0"/>
                  <w:insideH w:val="single" w:color="auto" w:sz="2" w:space="0"/>
                  <w:insideV w:val="single" w:color="auto" w:sz="4" w:space="0"/>
                </w:tblBorders>
                <w:tblCellMar>
                  <w:top w:w="0" w:type="dxa"/>
                  <w:left w:w="108" w:type="dxa"/>
                  <w:bottom w:w="0" w:type="dxa"/>
                  <w:right w:w="108" w:type="dxa"/>
                </w:tblCellMar>
              </w:tblPrEx>
              <w:trPr>
                <w:trHeight w:val="60" w:hRule="atLeast"/>
                <w:jc w:val="center"/>
              </w:trPr>
              <w:tc>
                <w:tcPr>
                  <w:tcW w:w="1364" w:type="dxa"/>
                  <w:shd w:val="clear" w:color="auto" w:fill="auto"/>
                  <w:tcMar>
                    <w:left w:w="0" w:type="dxa"/>
                    <w:right w:w="0" w:type="dxa"/>
                  </w:tcMar>
                  <w:vAlign w:val="center"/>
                </w:tcPr>
                <w:p w14:paraId="70162044">
                  <w:pPr>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DA00</w:t>
                  </w:r>
                  <w:r>
                    <w:rPr>
                      <w:rFonts w:hint="eastAsia"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排气筒</w:t>
                  </w:r>
                </w:p>
              </w:tc>
              <w:tc>
                <w:tcPr>
                  <w:tcW w:w="819" w:type="dxa"/>
                  <w:shd w:val="clear" w:color="auto" w:fill="auto"/>
                  <w:tcMar>
                    <w:left w:w="0" w:type="dxa"/>
                    <w:right w:w="0" w:type="dxa"/>
                  </w:tcMar>
                  <w:vAlign w:val="center"/>
                </w:tcPr>
                <w:p w14:paraId="4442CC99">
                  <w:pPr>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15</w:t>
                  </w:r>
                </w:p>
              </w:tc>
              <w:tc>
                <w:tcPr>
                  <w:tcW w:w="633" w:type="dxa"/>
                  <w:shd w:val="clear" w:color="auto" w:fill="auto"/>
                  <w:tcMar>
                    <w:left w:w="0" w:type="dxa"/>
                    <w:right w:w="0" w:type="dxa"/>
                  </w:tcMar>
                  <w:vAlign w:val="center"/>
                </w:tcPr>
                <w:p w14:paraId="031D5E83">
                  <w:pPr>
                    <w:spacing w:line="240" w:lineRule="exact"/>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1</w:t>
                  </w:r>
                </w:p>
              </w:tc>
              <w:tc>
                <w:tcPr>
                  <w:tcW w:w="744" w:type="dxa"/>
                  <w:shd w:val="clear" w:color="auto" w:fill="auto"/>
                  <w:tcMar>
                    <w:left w:w="0" w:type="dxa"/>
                    <w:right w:w="0" w:type="dxa"/>
                  </w:tcMar>
                  <w:vAlign w:val="center"/>
                </w:tcPr>
                <w:p w14:paraId="29C957E8">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20000</w:t>
                  </w:r>
                </w:p>
              </w:tc>
              <w:tc>
                <w:tcPr>
                  <w:tcW w:w="962" w:type="dxa"/>
                  <w:shd w:val="clear" w:color="auto" w:fill="auto"/>
                  <w:tcMar>
                    <w:left w:w="0" w:type="dxa"/>
                    <w:right w:w="0" w:type="dxa"/>
                  </w:tcMar>
                  <w:vAlign w:val="center"/>
                </w:tcPr>
                <w:p w14:paraId="12CA58CD">
                  <w:pPr>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25</w:t>
                  </w:r>
                </w:p>
              </w:tc>
              <w:tc>
                <w:tcPr>
                  <w:tcW w:w="825" w:type="dxa"/>
                  <w:shd w:val="clear" w:color="auto" w:fill="auto"/>
                  <w:tcMar>
                    <w:left w:w="0" w:type="dxa"/>
                    <w:right w:w="0" w:type="dxa"/>
                  </w:tcMar>
                  <w:vAlign w:val="center"/>
                </w:tcPr>
                <w:p w14:paraId="3526DD3E">
                  <w:pPr>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72</w:t>
                  </w:r>
                  <w:r>
                    <w:rPr>
                      <w:rFonts w:hint="default" w:ascii="Times New Roman" w:hAnsi="Times New Roman" w:cs="Times New Roman"/>
                      <w:color w:val="auto"/>
                      <w:sz w:val="18"/>
                      <w:szCs w:val="18"/>
                      <w:highlight w:val="none"/>
                      <w:lang w:val="en-US" w:eastAsia="zh-CN"/>
                    </w:rPr>
                    <w:t>00</w:t>
                  </w:r>
                </w:p>
              </w:tc>
              <w:tc>
                <w:tcPr>
                  <w:tcW w:w="961" w:type="dxa"/>
                  <w:shd w:val="clear" w:color="auto" w:fill="auto"/>
                  <w:tcMar>
                    <w:left w:w="0" w:type="dxa"/>
                    <w:right w:w="0" w:type="dxa"/>
                  </w:tcMar>
                  <w:vAlign w:val="center"/>
                </w:tcPr>
                <w:p w14:paraId="22164163">
                  <w:pPr>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eastAsia="zh-CN"/>
                    </w:rPr>
                    <w:t>间断</w:t>
                  </w:r>
                </w:p>
              </w:tc>
              <w:tc>
                <w:tcPr>
                  <w:tcW w:w="1131" w:type="dxa"/>
                  <w:shd w:val="clear" w:color="auto" w:fill="auto"/>
                  <w:tcMar>
                    <w:left w:w="0" w:type="dxa"/>
                    <w:right w:w="0" w:type="dxa"/>
                  </w:tcMar>
                  <w:vAlign w:val="center"/>
                </w:tcPr>
                <w:p w14:paraId="32B6CD5B">
                  <w:pPr>
                    <w:jc w:val="center"/>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颗粒物</w:t>
                  </w:r>
                </w:p>
              </w:tc>
              <w:tc>
                <w:tcPr>
                  <w:tcW w:w="924" w:type="dxa"/>
                  <w:shd w:val="clear" w:color="auto" w:fill="auto"/>
                  <w:tcMar>
                    <w:left w:w="0" w:type="dxa"/>
                    <w:right w:w="0" w:type="dxa"/>
                  </w:tcMar>
                  <w:vAlign w:val="center"/>
                </w:tcPr>
                <w:p w14:paraId="06B35BD3">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rPr>
                    <w:t>0.03</w:t>
                  </w:r>
                </w:p>
              </w:tc>
            </w:tr>
            <w:tr w14:paraId="024AB096">
              <w:tblPrEx>
                <w:tblBorders>
                  <w:top w:val="single" w:color="auto" w:sz="2" w:space="0"/>
                  <w:left w:val="single" w:color="auto" w:sz="2" w:space="0"/>
                  <w:bottom w:val="single" w:color="auto" w:sz="2" w:space="0"/>
                  <w:right w:val="single" w:color="auto" w:sz="2" w:space="0"/>
                  <w:insideH w:val="single" w:color="auto" w:sz="2" w:space="0"/>
                  <w:insideV w:val="single" w:color="auto" w:sz="4" w:space="0"/>
                </w:tblBorders>
                <w:tblCellMar>
                  <w:top w:w="0" w:type="dxa"/>
                  <w:left w:w="108" w:type="dxa"/>
                  <w:bottom w:w="0" w:type="dxa"/>
                  <w:right w:w="108" w:type="dxa"/>
                </w:tblCellMar>
              </w:tblPrEx>
              <w:trPr>
                <w:trHeight w:val="60" w:hRule="atLeast"/>
                <w:jc w:val="center"/>
              </w:trPr>
              <w:tc>
                <w:tcPr>
                  <w:tcW w:w="1364" w:type="dxa"/>
                  <w:shd w:val="clear" w:color="auto" w:fill="auto"/>
                  <w:tcMar>
                    <w:left w:w="0" w:type="dxa"/>
                    <w:right w:w="0" w:type="dxa"/>
                  </w:tcMar>
                  <w:vAlign w:val="center"/>
                </w:tcPr>
                <w:p w14:paraId="683352AB">
                  <w:pPr>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DA00</w:t>
                  </w:r>
                  <w:r>
                    <w:rPr>
                      <w:rFonts w:hint="eastAsia" w:ascii="Times New Roman" w:hAnsi="Times New Roman" w:cs="Times New Roman"/>
                      <w:color w:val="auto"/>
                      <w:sz w:val="18"/>
                      <w:szCs w:val="18"/>
                      <w:highlight w:val="none"/>
                      <w:lang w:val="en-US" w:eastAsia="zh-CN"/>
                    </w:rPr>
                    <w:t>3</w:t>
                  </w:r>
                  <w:r>
                    <w:rPr>
                      <w:rFonts w:hint="default" w:ascii="Times New Roman" w:hAnsi="Times New Roman" w:cs="Times New Roman"/>
                      <w:color w:val="auto"/>
                      <w:sz w:val="18"/>
                      <w:szCs w:val="18"/>
                      <w:highlight w:val="none"/>
                    </w:rPr>
                    <w:t>排气筒</w:t>
                  </w:r>
                </w:p>
              </w:tc>
              <w:tc>
                <w:tcPr>
                  <w:tcW w:w="819" w:type="dxa"/>
                  <w:shd w:val="clear" w:color="auto" w:fill="auto"/>
                  <w:tcMar>
                    <w:left w:w="0" w:type="dxa"/>
                    <w:right w:w="0" w:type="dxa"/>
                  </w:tcMar>
                  <w:vAlign w:val="center"/>
                </w:tcPr>
                <w:p w14:paraId="124F2E6D">
                  <w:pPr>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15</w:t>
                  </w:r>
                </w:p>
              </w:tc>
              <w:tc>
                <w:tcPr>
                  <w:tcW w:w="633" w:type="dxa"/>
                  <w:shd w:val="clear" w:color="auto" w:fill="auto"/>
                  <w:tcMar>
                    <w:left w:w="0" w:type="dxa"/>
                    <w:right w:w="0" w:type="dxa"/>
                  </w:tcMar>
                  <w:vAlign w:val="center"/>
                </w:tcPr>
                <w:p w14:paraId="2D810676">
                  <w:pPr>
                    <w:spacing w:line="240" w:lineRule="exact"/>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1</w:t>
                  </w:r>
                </w:p>
              </w:tc>
              <w:tc>
                <w:tcPr>
                  <w:tcW w:w="744" w:type="dxa"/>
                  <w:shd w:val="clear" w:color="auto" w:fill="auto"/>
                  <w:tcMar>
                    <w:left w:w="0" w:type="dxa"/>
                    <w:right w:w="0" w:type="dxa"/>
                  </w:tcMar>
                  <w:vAlign w:val="center"/>
                </w:tcPr>
                <w:p w14:paraId="499D75A0">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20000</w:t>
                  </w:r>
                </w:p>
              </w:tc>
              <w:tc>
                <w:tcPr>
                  <w:tcW w:w="962" w:type="dxa"/>
                  <w:shd w:val="clear" w:color="auto" w:fill="auto"/>
                  <w:tcMar>
                    <w:left w:w="0" w:type="dxa"/>
                    <w:right w:w="0" w:type="dxa"/>
                  </w:tcMar>
                  <w:vAlign w:val="center"/>
                </w:tcPr>
                <w:p w14:paraId="00ACB960">
                  <w:pPr>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25</w:t>
                  </w:r>
                </w:p>
              </w:tc>
              <w:tc>
                <w:tcPr>
                  <w:tcW w:w="825" w:type="dxa"/>
                  <w:shd w:val="clear" w:color="auto" w:fill="auto"/>
                  <w:tcMar>
                    <w:left w:w="0" w:type="dxa"/>
                    <w:right w:w="0" w:type="dxa"/>
                  </w:tcMar>
                  <w:vAlign w:val="center"/>
                </w:tcPr>
                <w:p w14:paraId="20D7BA92">
                  <w:pPr>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72</w:t>
                  </w:r>
                  <w:r>
                    <w:rPr>
                      <w:rFonts w:hint="default" w:ascii="Times New Roman" w:hAnsi="Times New Roman" w:cs="Times New Roman"/>
                      <w:color w:val="auto"/>
                      <w:sz w:val="18"/>
                      <w:szCs w:val="18"/>
                      <w:highlight w:val="none"/>
                      <w:lang w:val="en-US" w:eastAsia="zh-CN"/>
                    </w:rPr>
                    <w:t>00</w:t>
                  </w:r>
                </w:p>
              </w:tc>
              <w:tc>
                <w:tcPr>
                  <w:tcW w:w="961" w:type="dxa"/>
                  <w:shd w:val="clear" w:color="auto" w:fill="auto"/>
                  <w:tcMar>
                    <w:left w:w="0" w:type="dxa"/>
                    <w:right w:w="0" w:type="dxa"/>
                  </w:tcMar>
                  <w:vAlign w:val="center"/>
                </w:tcPr>
                <w:p w14:paraId="55DF7029">
                  <w:pPr>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eastAsia="zh-CN"/>
                    </w:rPr>
                    <w:t>间断</w:t>
                  </w:r>
                </w:p>
              </w:tc>
              <w:tc>
                <w:tcPr>
                  <w:tcW w:w="1131" w:type="dxa"/>
                  <w:shd w:val="clear" w:color="auto" w:fill="auto"/>
                  <w:tcMar>
                    <w:left w:w="0" w:type="dxa"/>
                    <w:right w:w="0" w:type="dxa"/>
                  </w:tcMar>
                  <w:vAlign w:val="center"/>
                </w:tcPr>
                <w:p w14:paraId="35220DD4">
                  <w:pPr>
                    <w:jc w:val="center"/>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颗粒物</w:t>
                  </w:r>
                </w:p>
              </w:tc>
              <w:tc>
                <w:tcPr>
                  <w:tcW w:w="924" w:type="dxa"/>
                  <w:shd w:val="clear" w:color="auto" w:fill="auto"/>
                  <w:tcMar>
                    <w:left w:w="0" w:type="dxa"/>
                    <w:right w:w="0" w:type="dxa"/>
                  </w:tcMar>
                  <w:vAlign w:val="center"/>
                </w:tcPr>
                <w:p w14:paraId="6FF4E3A4">
                  <w:pPr>
                    <w:pStyle w:val="80"/>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0.0</w:t>
                  </w:r>
                  <w:r>
                    <w:rPr>
                      <w:rFonts w:hint="eastAsia" w:cs="Times New Roman"/>
                      <w:color w:val="auto"/>
                      <w:sz w:val="18"/>
                      <w:szCs w:val="18"/>
                      <w:highlight w:val="none"/>
                      <w:lang w:val="en-US" w:eastAsia="zh-CN"/>
                    </w:rPr>
                    <w:t>1</w:t>
                  </w:r>
                </w:p>
              </w:tc>
            </w:tr>
          </w:tbl>
          <w:p w14:paraId="0DC770FB">
            <w:pPr>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表4-</w:t>
            </w:r>
            <w:r>
              <w:rPr>
                <w:rFonts w:hint="eastAsia" w:cs="Times New Roman"/>
                <w:b/>
                <w:color w:val="auto"/>
                <w:highlight w:val="none"/>
                <w:lang w:val="en-US" w:eastAsia="zh-CN"/>
              </w:rPr>
              <w:t>19</w:t>
            </w:r>
            <w:r>
              <w:rPr>
                <w:rFonts w:hint="default" w:ascii="Times New Roman" w:hAnsi="Times New Roman" w:cs="Times New Roman"/>
                <w:b/>
                <w:color w:val="auto"/>
                <w:highlight w:val="none"/>
              </w:rPr>
              <w:t>估算模型参数一览表</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85"/>
              <w:gridCol w:w="2791"/>
              <w:gridCol w:w="2792"/>
            </w:tblGrid>
            <w:tr w14:paraId="66C98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76" w:type="dxa"/>
                  <w:gridSpan w:val="2"/>
                  <w:vAlign w:val="center"/>
                </w:tcPr>
                <w:p w14:paraId="1420ACD7">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参数</w:t>
                  </w:r>
                </w:p>
              </w:tc>
              <w:tc>
                <w:tcPr>
                  <w:tcW w:w="2792" w:type="dxa"/>
                  <w:vAlign w:val="center"/>
                </w:tcPr>
                <w:p w14:paraId="5B1B9527">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取值</w:t>
                  </w:r>
                </w:p>
              </w:tc>
            </w:tr>
            <w:tr w14:paraId="58158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5" w:type="dxa"/>
                  <w:vMerge w:val="restart"/>
                  <w:vAlign w:val="center"/>
                </w:tcPr>
                <w:p w14:paraId="512ED56F">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农村/城市选项</w:t>
                  </w:r>
                </w:p>
              </w:tc>
              <w:tc>
                <w:tcPr>
                  <w:tcW w:w="2791" w:type="dxa"/>
                  <w:vAlign w:val="center"/>
                </w:tcPr>
                <w:p w14:paraId="1FF0BDCC">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城市/农村</w:t>
                  </w:r>
                </w:p>
              </w:tc>
              <w:tc>
                <w:tcPr>
                  <w:tcW w:w="2792" w:type="dxa"/>
                  <w:vAlign w:val="center"/>
                </w:tcPr>
                <w:p w14:paraId="73E70641">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农村</w:t>
                  </w:r>
                </w:p>
              </w:tc>
            </w:tr>
            <w:tr w14:paraId="3E11B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5" w:type="dxa"/>
                  <w:vMerge w:val="continue"/>
                  <w:vAlign w:val="center"/>
                </w:tcPr>
                <w:p w14:paraId="5D2F7721">
                  <w:pPr>
                    <w:contextualSpacing/>
                    <w:jc w:val="center"/>
                    <w:rPr>
                      <w:rFonts w:hint="default" w:ascii="Times New Roman" w:hAnsi="Times New Roman" w:cs="Times New Roman"/>
                      <w:color w:val="auto"/>
                      <w:sz w:val="18"/>
                      <w:szCs w:val="18"/>
                      <w:highlight w:val="none"/>
                    </w:rPr>
                  </w:pPr>
                </w:p>
              </w:tc>
              <w:tc>
                <w:tcPr>
                  <w:tcW w:w="2791" w:type="dxa"/>
                  <w:vAlign w:val="center"/>
                </w:tcPr>
                <w:p w14:paraId="00F63148">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人口数（城市选项时）</w:t>
                  </w:r>
                </w:p>
              </w:tc>
              <w:tc>
                <w:tcPr>
                  <w:tcW w:w="2792" w:type="dxa"/>
                  <w:vAlign w:val="center"/>
                </w:tcPr>
                <w:p w14:paraId="4FAEF6F6">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587ED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76" w:type="dxa"/>
                  <w:gridSpan w:val="2"/>
                  <w:vAlign w:val="center"/>
                </w:tcPr>
                <w:p w14:paraId="008AFE5D">
                  <w:pPr>
                    <w:contextualSpacing/>
                    <w:jc w:val="center"/>
                    <w:rPr>
                      <w:rFonts w:hint="default" w:ascii="Times New Roman" w:hAnsi="Times New Roman" w:cs="Times New Roman"/>
                      <w:color w:val="auto"/>
                      <w:sz w:val="18"/>
                      <w:szCs w:val="18"/>
                      <w:highlight w:val="none"/>
                      <w:lang w:eastAsia="ja-JP"/>
                    </w:rPr>
                  </w:pPr>
                  <w:r>
                    <w:rPr>
                      <w:rFonts w:hint="default" w:ascii="Times New Roman" w:hAnsi="Times New Roman" w:cs="Times New Roman"/>
                      <w:color w:val="auto"/>
                      <w:sz w:val="18"/>
                      <w:szCs w:val="18"/>
                      <w:highlight w:val="none"/>
                    </w:rPr>
                    <w:t>最高环境温度/</w:t>
                  </w:r>
                  <w:r>
                    <w:rPr>
                      <w:rFonts w:hint="default" w:ascii="Times New Roman" w:hAnsi="Times New Roman" w:cs="Times New Roman"/>
                      <w:color w:val="auto"/>
                      <w:sz w:val="18"/>
                      <w:szCs w:val="18"/>
                      <w:highlight w:val="none"/>
                      <w:lang w:eastAsia="ja-JP"/>
                    </w:rPr>
                    <w:t>℃</w:t>
                  </w:r>
                </w:p>
              </w:tc>
              <w:tc>
                <w:tcPr>
                  <w:tcW w:w="2792" w:type="dxa"/>
                  <w:vAlign w:val="center"/>
                </w:tcPr>
                <w:p w14:paraId="4528E72B">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41.0</w:t>
                  </w:r>
                </w:p>
              </w:tc>
            </w:tr>
            <w:tr w14:paraId="2DFE9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576" w:type="dxa"/>
                  <w:gridSpan w:val="2"/>
                  <w:vAlign w:val="center"/>
                </w:tcPr>
                <w:p w14:paraId="69584E80">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最低环境温度/</w:t>
                  </w:r>
                  <w:r>
                    <w:rPr>
                      <w:rFonts w:hint="default" w:ascii="Times New Roman" w:hAnsi="Times New Roman" w:cs="Times New Roman"/>
                      <w:color w:val="auto"/>
                      <w:sz w:val="18"/>
                      <w:szCs w:val="18"/>
                      <w:highlight w:val="none"/>
                      <w:lang w:eastAsia="ja-JP"/>
                    </w:rPr>
                    <w:t>℃</w:t>
                  </w:r>
                </w:p>
              </w:tc>
              <w:tc>
                <w:tcPr>
                  <w:tcW w:w="2792" w:type="dxa"/>
                  <w:vAlign w:val="center"/>
                </w:tcPr>
                <w:p w14:paraId="69C86E39">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-18.5</w:t>
                  </w:r>
                </w:p>
              </w:tc>
            </w:tr>
            <w:tr w14:paraId="77B35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76" w:type="dxa"/>
                  <w:gridSpan w:val="2"/>
                  <w:vAlign w:val="center"/>
                </w:tcPr>
                <w:p w14:paraId="72DADCFC">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土地利用类型</w:t>
                  </w:r>
                </w:p>
              </w:tc>
              <w:tc>
                <w:tcPr>
                  <w:tcW w:w="2792" w:type="dxa"/>
                  <w:vAlign w:val="center"/>
                </w:tcPr>
                <w:p w14:paraId="70576A17">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农作地</w:t>
                  </w:r>
                </w:p>
              </w:tc>
            </w:tr>
            <w:tr w14:paraId="4F7F8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76" w:type="dxa"/>
                  <w:gridSpan w:val="2"/>
                  <w:vAlign w:val="center"/>
                </w:tcPr>
                <w:p w14:paraId="1E1E8EB9">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区域湿度条件</w:t>
                  </w:r>
                </w:p>
              </w:tc>
              <w:tc>
                <w:tcPr>
                  <w:tcW w:w="2792" w:type="dxa"/>
                  <w:vAlign w:val="center"/>
                </w:tcPr>
                <w:p w14:paraId="60AC0E8E">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中等湿度</w:t>
                  </w:r>
                </w:p>
              </w:tc>
            </w:tr>
            <w:tr w14:paraId="6F982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5" w:type="dxa"/>
                  <w:vMerge w:val="restart"/>
                  <w:vAlign w:val="center"/>
                </w:tcPr>
                <w:p w14:paraId="2F86CC3C">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是否考虑地形</w:t>
                  </w:r>
                </w:p>
              </w:tc>
              <w:tc>
                <w:tcPr>
                  <w:tcW w:w="2791" w:type="dxa"/>
                  <w:vAlign w:val="center"/>
                </w:tcPr>
                <w:p w14:paraId="7B7117FD">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考虑地形</w:t>
                  </w:r>
                </w:p>
              </w:tc>
              <w:tc>
                <w:tcPr>
                  <w:tcW w:w="2792" w:type="dxa"/>
                  <w:vAlign w:val="center"/>
                </w:tcPr>
                <w:p w14:paraId="012A1E31">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 xml:space="preserve">是  </w:t>
                  </w:r>
                  <w:r>
                    <w:rPr>
                      <w:rFonts w:hint="default" w:ascii="Times New Roman" w:hAnsi="Times New Roman" w:cs="Times New Roman"/>
                      <w:color w:val="auto"/>
                      <w:kern w:val="0"/>
                      <w:sz w:val="18"/>
                      <w:szCs w:val="18"/>
                      <w:highlight w:val="none"/>
                    </w:rPr>
                    <w:t>√</w:t>
                  </w:r>
                  <w:r>
                    <w:rPr>
                      <w:rFonts w:hint="default" w:ascii="Times New Roman" w:hAnsi="Times New Roman" w:cs="Times New Roman"/>
                      <w:color w:val="auto"/>
                      <w:sz w:val="18"/>
                      <w:szCs w:val="18"/>
                      <w:highlight w:val="none"/>
                    </w:rPr>
                    <w:t>否</w:t>
                  </w:r>
                </w:p>
              </w:tc>
            </w:tr>
            <w:tr w14:paraId="591F2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5" w:type="dxa"/>
                  <w:vMerge w:val="continue"/>
                  <w:vAlign w:val="center"/>
                </w:tcPr>
                <w:p w14:paraId="24FA0CCC">
                  <w:pPr>
                    <w:contextualSpacing/>
                    <w:jc w:val="center"/>
                    <w:rPr>
                      <w:rFonts w:hint="default" w:ascii="Times New Roman" w:hAnsi="Times New Roman" w:cs="Times New Roman"/>
                      <w:color w:val="auto"/>
                      <w:sz w:val="18"/>
                      <w:szCs w:val="18"/>
                      <w:highlight w:val="none"/>
                    </w:rPr>
                  </w:pPr>
                </w:p>
              </w:tc>
              <w:tc>
                <w:tcPr>
                  <w:tcW w:w="2791" w:type="dxa"/>
                  <w:vAlign w:val="center"/>
                </w:tcPr>
                <w:p w14:paraId="49188B5A">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地形数据分辨率/m</w:t>
                  </w:r>
                </w:p>
              </w:tc>
              <w:tc>
                <w:tcPr>
                  <w:tcW w:w="2792" w:type="dxa"/>
                  <w:vAlign w:val="center"/>
                </w:tcPr>
                <w:p w14:paraId="24BBE5DB">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39DA5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5" w:type="dxa"/>
                  <w:vAlign w:val="center"/>
                </w:tcPr>
                <w:p w14:paraId="76E560EE">
                  <w:pPr>
                    <w:contextualSpacing/>
                    <w:jc w:val="center"/>
                    <w:rPr>
                      <w:rFonts w:hint="default" w:ascii="Times New Roman" w:hAnsi="Times New Roman" w:cs="Times New Roman"/>
                      <w:color w:val="auto"/>
                      <w:sz w:val="18"/>
                      <w:szCs w:val="18"/>
                      <w:highlight w:val="none"/>
                    </w:rPr>
                  </w:pPr>
                </w:p>
              </w:tc>
              <w:tc>
                <w:tcPr>
                  <w:tcW w:w="2791" w:type="dxa"/>
                  <w:vAlign w:val="center"/>
                </w:tcPr>
                <w:p w14:paraId="2BF9E365">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考虑岸线熏烟</w:t>
                  </w:r>
                </w:p>
              </w:tc>
              <w:tc>
                <w:tcPr>
                  <w:tcW w:w="2792" w:type="dxa"/>
                  <w:vAlign w:val="center"/>
                </w:tcPr>
                <w:p w14:paraId="198D143E">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 xml:space="preserve">是  </w:t>
                  </w:r>
                  <w:r>
                    <w:rPr>
                      <w:rFonts w:hint="default" w:ascii="Times New Roman" w:hAnsi="Times New Roman" w:cs="Times New Roman"/>
                      <w:color w:val="auto"/>
                      <w:kern w:val="0"/>
                      <w:sz w:val="18"/>
                      <w:szCs w:val="18"/>
                      <w:highlight w:val="none"/>
                    </w:rPr>
                    <w:t>√</w:t>
                  </w:r>
                  <w:r>
                    <w:rPr>
                      <w:rFonts w:hint="default" w:ascii="Times New Roman" w:hAnsi="Times New Roman" w:cs="Times New Roman"/>
                      <w:color w:val="auto"/>
                      <w:sz w:val="18"/>
                      <w:szCs w:val="18"/>
                      <w:highlight w:val="none"/>
                    </w:rPr>
                    <w:t>否</w:t>
                  </w:r>
                </w:p>
              </w:tc>
            </w:tr>
            <w:tr w14:paraId="7EA9F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5" w:type="dxa"/>
                  <w:vAlign w:val="center"/>
                </w:tcPr>
                <w:p w14:paraId="02A7C1FB">
                  <w:pPr>
                    <w:contextualSpacing/>
                    <w:jc w:val="center"/>
                    <w:rPr>
                      <w:rFonts w:hint="default" w:ascii="Times New Roman" w:hAnsi="Times New Roman" w:cs="Times New Roman"/>
                      <w:color w:val="auto"/>
                      <w:sz w:val="18"/>
                      <w:szCs w:val="18"/>
                      <w:highlight w:val="none"/>
                    </w:rPr>
                  </w:pPr>
                </w:p>
              </w:tc>
              <w:tc>
                <w:tcPr>
                  <w:tcW w:w="2791" w:type="dxa"/>
                  <w:vAlign w:val="center"/>
                </w:tcPr>
                <w:p w14:paraId="43E61328">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岸线距离/m</w:t>
                  </w:r>
                </w:p>
              </w:tc>
              <w:tc>
                <w:tcPr>
                  <w:tcW w:w="2792" w:type="dxa"/>
                  <w:vAlign w:val="center"/>
                </w:tcPr>
                <w:p w14:paraId="7435768C">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6894A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5" w:type="dxa"/>
                  <w:vAlign w:val="center"/>
                </w:tcPr>
                <w:p w14:paraId="4DF3EC2B">
                  <w:pPr>
                    <w:contextualSpacing/>
                    <w:jc w:val="center"/>
                    <w:rPr>
                      <w:rFonts w:hint="default" w:ascii="Times New Roman" w:hAnsi="Times New Roman" w:cs="Times New Roman"/>
                      <w:color w:val="auto"/>
                      <w:sz w:val="18"/>
                      <w:szCs w:val="18"/>
                      <w:highlight w:val="none"/>
                    </w:rPr>
                  </w:pPr>
                </w:p>
              </w:tc>
              <w:tc>
                <w:tcPr>
                  <w:tcW w:w="2791" w:type="dxa"/>
                  <w:vAlign w:val="center"/>
                </w:tcPr>
                <w:p w14:paraId="6586D4B1">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岸线方向/°</w:t>
                  </w:r>
                </w:p>
              </w:tc>
              <w:tc>
                <w:tcPr>
                  <w:tcW w:w="2792" w:type="dxa"/>
                  <w:vAlign w:val="center"/>
                </w:tcPr>
                <w:p w14:paraId="5BE48A98">
                  <w:pPr>
                    <w:contextualSpacing/>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bl>
          <w:p w14:paraId="0BA18E6A">
            <w:pPr>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表4-</w:t>
            </w:r>
            <w:r>
              <w:rPr>
                <w:rFonts w:hint="eastAsia" w:cs="Times New Roman"/>
                <w:b/>
                <w:color w:val="auto"/>
                <w:highlight w:val="none"/>
                <w:lang w:val="en-US" w:eastAsia="zh-CN"/>
              </w:rPr>
              <w:t>20</w:t>
            </w:r>
            <w:r>
              <w:rPr>
                <w:rFonts w:hint="default" w:ascii="Times New Roman" w:hAnsi="Times New Roman" w:cs="Times New Roman"/>
                <w:b/>
                <w:color w:val="auto"/>
                <w:highlight w:val="none"/>
              </w:rPr>
              <w:t>所有污染源（面源）的正常排放的污染物的P</w:t>
            </w:r>
            <w:r>
              <w:rPr>
                <w:rFonts w:hint="default" w:ascii="Times New Roman" w:hAnsi="Times New Roman" w:cs="Times New Roman"/>
                <w:b/>
                <w:color w:val="auto"/>
                <w:highlight w:val="none"/>
                <w:vertAlign w:val="subscript"/>
              </w:rPr>
              <w:t>max</w:t>
            </w:r>
            <w:r>
              <w:rPr>
                <w:rFonts w:hint="default" w:ascii="Times New Roman" w:hAnsi="Times New Roman" w:cs="Times New Roman"/>
                <w:b/>
                <w:color w:val="auto"/>
                <w:highlight w:val="none"/>
              </w:rPr>
              <w:t>和D</w:t>
            </w:r>
            <w:r>
              <w:rPr>
                <w:rFonts w:hint="default" w:ascii="Times New Roman" w:hAnsi="Times New Roman" w:cs="Times New Roman"/>
                <w:b/>
                <w:color w:val="auto"/>
                <w:highlight w:val="none"/>
                <w:vertAlign w:val="subscript"/>
              </w:rPr>
              <w:t>10%</w:t>
            </w:r>
            <w:r>
              <w:rPr>
                <w:rFonts w:hint="default" w:ascii="Times New Roman" w:hAnsi="Times New Roman" w:cs="Times New Roman"/>
                <w:b/>
                <w:color w:val="auto"/>
                <w:highlight w:val="none"/>
              </w:rPr>
              <w:t>预测结果一览表</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18"/>
              <w:gridCol w:w="1487"/>
              <w:gridCol w:w="1770"/>
              <w:gridCol w:w="1797"/>
            </w:tblGrid>
            <w:tr w14:paraId="3D0A6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pct"/>
                  <w:vAlign w:val="center"/>
                </w:tcPr>
                <w:p w14:paraId="2943735E">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污染源名称</w:t>
                  </w:r>
                </w:p>
              </w:tc>
              <w:tc>
                <w:tcPr>
                  <w:tcW w:w="888" w:type="pct"/>
                  <w:vAlign w:val="center"/>
                </w:tcPr>
                <w:p w14:paraId="356AFE61">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评价因子</w:t>
                  </w:r>
                </w:p>
              </w:tc>
              <w:tc>
                <w:tcPr>
                  <w:tcW w:w="1057" w:type="pct"/>
                  <w:vAlign w:val="center"/>
                </w:tcPr>
                <w:p w14:paraId="2E6AE34E">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评价标准（mg/m</w:t>
                  </w:r>
                  <w:r>
                    <w:rPr>
                      <w:rFonts w:hint="default" w:ascii="Times New Roman" w:hAnsi="Times New Roman" w:cs="Times New Roman"/>
                      <w:b/>
                      <w:bCs/>
                      <w:color w:val="auto"/>
                      <w:sz w:val="18"/>
                      <w:szCs w:val="18"/>
                      <w:highlight w:val="none"/>
                      <w:vertAlign w:val="superscript"/>
                    </w:rPr>
                    <w:t>3</w:t>
                  </w:r>
                  <w:r>
                    <w:rPr>
                      <w:rFonts w:hint="default" w:ascii="Times New Roman" w:hAnsi="Times New Roman" w:cs="Times New Roman"/>
                      <w:b/>
                      <w:bCs/>
                      <w:color w:val="auto"/>
                      <w:sz w:val="18"/>
                      <w:szCs w:val="18"/>
                      <w:highlight w:val="none"/>
                    </w:rPr>
                    <w:t>）</w:t>
                  </w:r>
                </w:p>
              </w:tc>
              <w:tc>
                <w:tcPr>
                  <w:tcW w:w="1073" w:type="pct"/>
                  <w:vAlign w:val="center"/>
                </w:tcPr>
                <w:p w14:paraId="6329A352">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C</w:t>
                  </w:r>
                  <w:r>
                    <w:rPr>
                      <w:rFonts w:hint="default" w:ascii="Times New Roman" w:hAnsi="Times New Roman" w:cs="Times New Roman"/>
                      <w:b/>
                      <w:bCs/>
                      <w:color w:val="auto"/>
                      <w:sz w:val="18"/>
                      <w:szCs w:val="18"/>
                      <w:highlight w:val="none"/>
                      <w:vertAlign w:val="subscript"/>
                    </w:rPr>
                    <w:t>max</w:t>
                  </w:r>
                </w:p>
                <w:p w14:paraId="14E76712">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（mg/m</w:t>
                  </w:r>
                  <w:r>
                    <w:rPr>
                      <w:rFonts w:hint="default" w:ascii="Times New Roman" w:hAnsi="Times New Roman" w:cs="Times New Roman"/>
                      <w:b/>
                      <w:bCs/>
                      <w:color w:val="auto"/>
                      <w:sz w:val="18"/>
                      <w:szCs w:val="18"/>
                      <w:highlight w:val="none"/>
                      <w:vertAlign w:val="superscript"/>
                    </w:rPr>
                    <w:t>3</w:t>
                  </w:r>
                  <w:r>
                    <w:rPr>
                      <w:rFonts w:hint="default" w:ascii="Times New Roman" w:hAnsi="Times New Roman" w:cs="Times New Roman"/>
                      <w:b/>
                      <w:bCs/>
                      <w:color w:val="auto"/>
                      <w:sz w:val="18"/>
                      <w:szCs w:val="18"/>
                      <w:highlight w:val="none"/>
                    </w:rPr>
                    <w:t>）</w:t>
                  </w:r>
                </w:p>
              </w:tc>
            </w:tr>
            <w:tr w14:paraId="49C59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pct"/>
                  <w:vMerge w:val="restart"/>
                  <w:vAlign w:val="center"/>
                </w:tcPr>
                <w:p w14:paraId="4C88E568">
                  <w:pPr>
                    <w:snapToGrid w:val="0"/>
                    <w:jc w:val="center"/>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cs="Times New Roman"/>
                      <w:color w:val="auto"/>
                      <w:kern w:val="0"/>
                      <w:sz w:val="18"/>
                      <w:szCs w:val="18"/>
                      <w:highlight w:val="none"/>
                      <w:lang w:eastAsia="zh-CN"/>
                    </w:rPr>
                    <w:t>生产车间</w:t>
                  </w:r>
                </w:p>
              </w:tc>
              <w:tc>
                <w:tcPr>
                  <w:tcW w:w="888" w:type="pct"/>
                  <w:vAlign w:val="center"/>
                </w:tcPr>
                <w:p w14:paraId="6546C8A6">
                  <w:pPr>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PM</w:t>
                  </w:r>
                  <w:r>
                    <w:rPr>
                      <w:rFonts w:hint="default" w:ascii="Times New Roman" w:hAnsi="Times New Roman" w:cs="Times New Roman"/>
                      <w:color w:val="auto"/>
                      <w:kern w:val="0"/>
                      <w:sz w:val="18"/>
                      <w:szCs w:val="18"/>
                      <w:highlight w:val="none"/>
                      <w:vertAlign w:val="subscript"/>
                    </w:rPr>
                    <w:t>10</w:t>
                  </w:r>
                </w:p>
              </w:tc>
              <w:tc>
                <w:tcPr>
                  <w:tcW w:w="1057" w:type="pct"/>
                  <w:vAlign w:val="center"/>
                </w:tcPr>
                <w:p w14:paraId="5831ABC3">
                  <w:pPr>
                    <w:contextualSpacing/>
                    <w:jc w:val="center"/>
                    <w:rPr>
                      <w:rFonts w:hint="eastAsia" w:ascii="Times New Roman" w:hAnsi="Times New Roman" w:eastAsia="宋体" w:cs="Times New Roman"/>
                      <w:b/>
                      <w:bCs/>
                      <w:color w:val="auto"/>
                      <w:sz w:val="18"/>
                      <w:szCs w:val="18"/>
                      <w:highlight w:val="none"/>
                      <w:lang w:eastAsia="zh-CN"/>
                    </w:rPr>
                  </w:pPr>
                  <w:r>
                    <w:rPr>
                      <w:rFonts w:hint="default" w:ascii="Times New Roman" w:hAnsi="Times New Roman" w:cs="Times New Roman"/>
                      <w:color w:val="auto"/>
                      <w:sz w:val="18"/>
                      <w:szCs w:val="18"/>
                      <w:highlight w:val="none"/>
                    </w:rPr>
                    <w:t>0.</w:t>
                  </w:r>
                  <w:r>
                    <w:rPr>
                      <w:rFonts w:hint="eastAsia" w:cs="Times New Roman"/>
                      <w:color w:val="auto"/>
                      <w:sz w:val="18"/>
                      <w:szCs w:val="18"/>
                      <w:highlight w:val="none"/>
                      <w:lang w:val="en-US" w:eastAsia="zh-CN"/>
                    </w:rPr>
                    <w:t>9</w:t>
                  </w:r>
                </w:p>
              </w:tc>
              <w:tc>
                <w:tcPr>
                  <w:tcW w:w="1073" w:type="pct"/>
                  <w:vAlign w:val="center"/>
                </w:tcPr>
                <w:p w14:paraId="21FB4E0B">
                  <w:pPr>
                    <w:contextualSpacing/>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0.089</w:t>
                  </w:r>
                </w:p>
              </w:tc>
            </w:tr>
            <w:tr w14:paraId="41815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pct"/>
                  <w:vMerge w:val="continue"/>
                  <w:vAlign w:val="center"/>
                </w:tcPr>
                <w:p w14:paraId="30F1FB5D">
                  <w:pPr>
                    <w:snapToGrid w:val="0"/>
                    <w:jc w:val="center"/>
                    <w:rPr>
                      <w:rFonts w:hint="default" w:ascii="Times New Roman" w:hAnsi="Times New Roman" w:cs="Times New Roman"/>
                      <w:color w:val="auto"/>
                      <w:kern w:val="0"/>
                      <w:sz w:val="18"/>
                      <w:szCs w:val="18"/>
                      <w:highlight w:val="none"/>
                      <w:lang w:eastAsia="zh-CN"/>
                    </w:rPr>
                  </w:pPr>
                </w:p>
              </w:tc>
              <w:tc>
                <w:tcPr>
                  <w:tcW w:w="888" w:type="pct"/>
                  <w:vAlign w:val="center"/>
                </w:tcPr>
                <w:p w14:paraId="7BFB3943">
                  <w:pPr>
                    <w:jc w:val="center"/>
                    <w:rPr>
                      <w:rFonts w:hint="default" w:ascii="Times New Roman" w:hAnsi="Times New Roman" w:cs="Times New Roman"/>
                      <w:color w:val="auto"/>
                      <w:kern w:val="0"/>
                      <w:sz w:val="18"/>
                      <w:szCs w:val="18"/>
                      <w:highlight w:val="none"/>
                    </w:rPr>
                  </w:pPr>
                  <w:r>
                    <w:rPr>
                      <w:rFonts w:hint="eastAsia" w:cs="Times New Roman"/>
                      <w:color w:val="auto"/>
                      <w:kern w:val="0"/>
                      <w:sz w:val="18"/>
                      <w:szCs w:val="18"/>
                      <w:highlight w:val="none"/>
                      <w:lang w:val="en-US" w:eastAsia="zh-CN"/>
                    </w:rPr>
                    <w:t>氨</w:t>
                  </w:r>
                </w:p>
              </w:tc>
              <w:tc>
                <w:tcPr>
                  <w:tcW w:w="1057" w:type="pct"/>
                  <w:vAlign w:val="center"/>
                </w:tcPr>
                <w:p w14:paraId="0ED301D3">
                  <w:pPr>
                    <w:contextualSpacing/>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0.2</w:t>
                  </w:r>
                </w:p>
              </w:tc>
              <w:tc>
                <w:tcPr>
                  <w:tcW w:w="1073" w:type="pct"/>
                  <w:vAlign w:val="center"/>
                </w:tcPr>
                <w:p w14:paraId="7E3352D8">
                  <w:pPr>
                    <w:contextualSpacing/>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0.0135</w:t>
                  </w:r>
                </w:p>
              </w:tc>
            </w:tr>
          </w:tbl>
          <w:p w14:paraId="4E51D813">
            <w:pPr>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表4-</w:t>
            </w:r>
            <w:r>
              <w:rPr>
                <w:rFonts w:hint="eastAsia" w:cs="Times New Roman"/>
                <w:b/>
                <w:color w:val="auto"/>
                <w:highlight w:val="none"/>
                <w:lang w:val="en-US" w:eastAsia="zh-CN"/>
              </w:rPr>
              <w:t>21</w:t>
            </w:r>
            <w:r>
              <w:rPr>
                <w:rFonts w:hint="default" w:ascii="Times New Roman" w:hAnsi="Times New Roman" w:cs="Times New Roman"/>
                <w:b/>
                <w:color w:val="auto"/>
                <w:highlight w:val="none"/>
              </w:rPr>
              <w:t>所有污染源（点源）的正常排放的污染物的P</w:t>
            </w:r>
            <w:r>
              <w:rPr>
                <w:rFonts w:hint="default" w:ascii="Times New Roman" w:hAnsi="Times New Roman" w:cs="Times New Roman"/>
                <w:b/>
                <w:color w:val="auto"/>
                <w:highlight w:val="none"/>
                <w:vertAlign w:val="subscript"/>
              </w:rPr>
              <w:t>max</w:t>
            </w:r>
            <w:r>
              <w:rPr>
                <w:rFonts w:hint="default" w:ascii="Times New Roman" w:hAnsi="Times New Roman" w:cs="Times New Roman"/>
                <w:b/>
                <w:color w:val="auto"/>
                <w:highlight w:val="none"/>
              </w:rPr>
              <w:t>和D</w:t>
            </w:r>
            <w:r>
              <w:rPr>
                <w:rFonts w:hint="default" w:ascii="Times New Roman" w:hAnsi="Times New Roman" w:cs="Times New Roman"/>
                <w:b/>
                <w:color w:val="auto"/>
                <w:highlight w:val="none"/>
                <w:vertAlign w:val="subscript"/>
              </w:rPr>
              <w:t>10%</w:t>
            </w:r>
            <w:r>
              <w:rPr>
                <w:rFonts w:hint="default" w:ascii="Times New Roman" w:hAnsi="Times New Roman" w:cs="Times New Roman"/>
                <w:b/>
                <w:color w:val="auto"/>
                <w:highlight w:val="none"/>
              </w:rPr>
              <w:t>预测结果一览表</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77"/>
              <w:gridCol w:w="1995"/>
              <w:gridCol w:w="1851"/>
              <w:gridCol w:w="1849"/>
            </w:tblGrid>
            <w:tr w14:paraId="455B1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9" w:type="pct"/>
                  <w:vAlign w:val="center"/>
                </w:tcPr>
                <w:p w14:paraId="273E945D">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污染源名称</w:t>
                  </w:r>
                </w:p>
              </w:tc>
              <w:tc>
                <w:tcPr>
                  <w:tcW w:w="1191" w:type="pct"/>
                  <w:vAlign w:val="center"/>
                </w:tcPr>
                <w:p w14:paraId="02127374">
                  <w:pPr>
                    <w:contextualSpacing/>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sz w:val="18"/>
                      <w:szCs w:val="18"/>
                      <w:highlight w:val="none"/>
                    </w:rPr>
                    <w:t>评价因子</w:t>
                  </w:r>
                </w:p>
              </w:tc>
              <w:tc>
                <w:tcPr>
                  <w:tcW w:w="1105" w:type="pct"/>
                  <w:vAlign w:val="center"/>
                </w:tcPr>
                <w:p w14:paraId="1720DBDF">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评价标准（mg/m</w:t>
                  </w:r>
                  <w:r>
                    <w:rPr>
                      <w:rFonts w:hint="default" w:ascii="Times New Roman" w:hAnsi="Times New Roman" w:cs="Times New Roman"/>
                      <w:b/>
                      <w:bCs/>
                      <w:color w:val="auto"/>
                      <w:sz w:val="18"/>
                      <w:szCs w:val="18"/>
                      <w:highlight w:val="none"/>
                      <w:vertAlign w:val="superscript"/>
                    </w:rPr>
                    <w:t>3</w:t>
                  </w:r>
                  <w:r>
                    <w:rPr>
                      <w:rFonts w:hint="default" w:ascii="Times New Roman" w:hAnsi="Times New Roman" w:cs="Times New Roman"/>
                      <w:b/>
                      <w:bCs/>
                      <w:color w:val="auto"/>
                      <w:sz w:val="18"/>
                      <w:szCs w:val="18"/>
                      <w:highlight w:val="none"/>
                    </w:rPr>
                    <w:t>）</w:t>
                  </w:r>
                </w:p>
              </w:tc>
              <w:tc>
                <w:tcPr>
                  <w:tcW w:w="1104" w:type="pct"/>
                  <w:vAlign w:val="center"/>
                </w:tcPr>
                <w:p w14:paraId="48E72D0B">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C</w:t>
                  </w:r>
                  <w:r>
                    <w:rPr>
                      <w:rFonts w:hint="default" w:ascii="Times New Roman" w:hAnsi="Times New Roman" w:cs="Times New Roman"/>
                      <w:b/>
                      <w:bCs/>
                      <w:color w:val="auto"/>
                      <w:sz w:val="18"/>
                      <w:szCs w:val="18"/>
                      <w:highlight w:val="none"/>
                      <w:vertAlign w:val="subscript"/>
                    </w:rPr>
                    <w:t>max</w:t>
                  </w:r>
                </w:p>
                <w:p w14:paraId="5B514B76">
                  <w:pPr>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（mg/m</w:t>
                  </w:r>
                  <w:r>
                    <w:rPr>
                      <w:rFonts w:hint="default" w:ascii="Times New Roman" w:hAnsi="Times New Roman" w:cs="Times New Roman"/>
                      <w:b/>
                      <w:bCs/>
                      <w:color w:val="auto"/>
                      <w:sz w:val="18"/>
                      <w:szCs w:val="18"/>
                      <w:highlight w:val="none"/>
                      <w:vertAlign w:val="superscript"/>
                    </w:rPr>
                    <w:t>3</w:t>
                  </w:r>
                  <w:r>
                    <w:rPr>
                      <w:rFonts w:hint="default" w:ascii="Times New Roman" w:hAnsi="Times New Roman" w:cs="Times New Roman"/>
                      <w:b/>
                      <w:bCs/>
                      <w:color w:val="auto"/>
                      <w:sz w:val="18"/>
                      <w:szCs w:val="18"/>
                      <w:highlight w:val="none"/>
                    </w:rPr>
                    <w:t>）</w:t>
                  </w:r>
                </w:p>
              </w:tc>
            </w:tr>
            <w:tr w14:paraId="7F5C4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9" w:type="pct"/>
                  <w:vMerge w:val="restart"/>
                  <w:vAlign w:val="center"/>
                </w:tcPr>
                <w:p w14:paraId="42D35CA6">
                  <w:pPr>
                    <w:contextualSpacing/>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DA00</w:t>
                  </w:r>
                  <w:r>
                    <w:rPr>
                      <w:rFonts w:hint="eastAsia"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排气筒</w:t>
                  </w:r>
                </w:p>
              </w:tc>
              <w:tc>
                <w:tcPr>
                  <w:tcW w:w="1191" w:type="pct"/>
                  <w:vAlign w:val="center"/>
                </w:tcPr>
                <w:p w14:paraId="57338679">
                  <w:pPr>
                    <w:jc w:val="center"/>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rPr>
                    <w:t>PM</w:t>
                  </w:r>
                  <w:r>
                    <w:rPr>
                      <w:rFonts w:hint="default" w:ascii="Times New Roman" w:hAnsi="Times New Roman" w:cs="Times New Roman"/>
                      <w:color w:val="auto"/>
                      <w:kern w:val="0"/>
                      <w:sz w:val="18"/>
                      <w:szCs w:val="18"/>
                      <w:highlight w:val="none"/>
                      <w:vertAlign w:val="subscript"/>
                    </w:rPr>
                    <w:t>10</w:t>
                  </w:r>
                </w:p>
              </w:tc>
              <w:tc>
                <w:tcPr>
                  <w:tcW w:w="1105" w:type="pct"/>
                  <w:vAlign w:val="center"/>
                </w:tcPr>
                <w:p w14:paraId="4E05B717">
                  <w:pPr>
                    <w:contextualSpacing/>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0.45</w:t>
                  </w:r>
                </w:p>
              </w:tc>
              <w:tc>
                <w:tcPr>
                  <w:tcW w:w="1104" w:type="pct"/>
                  <w:vAlign w:val="center"/>
                </w:tcPr>
                <w:p w14:paraId="53928CAB">
                  <w:pPr>
                    <w:contextualSpacing/>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0.00434</w:t>
                  </w:r>
                </w:p>
              </w:tc>
            </w:tr>
            <w:tr w14:paraId="39AD3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9" w:type="pct"/>
                  <w:vMerge w:val="continue"/>
                  <w:vAlign w:val="center"/>
                </w:tcPr>
                <w:p w14:paraId="214B70D0">
                  <w:pPr>
                    <w:contextualSpacing/>
                    <w:jc w:val="center"/>
                    <w:rPr>
                      <w:rFonts w:hint="default" w:ascii="Times New Roman" w:hAnsi="Times New Roman" w:cs="Times New Roman"/>
                      <w:color w:val="auto"/>
                      <w:sz w:val="18"/>
                      <w:szCs w:val="18"/>
                      <w:highlight w:val="none"/>
                      <w:lang w:val="en-US" w:eastAsia="zh-CN"/>
                    </w:rPr>
                  </w:pPr>
                </w:p>
              </w:tc>
              <w:tc>
                <w:tcPr>
                  <w:tcW w:w="1191" w:type="pct"/>
                  <w:vAlign w:val="center"/>
                </w:tcPr>
                <w:p w14:paraId="311A3DBF">
                  <w:pPr>
                    <w:jc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SO</w:t>
                  </w:r>
                  <w:r>
                    <w:rPr>
                      <w:rFonts w:hint="eastAsia" w:cs="Times New Roman"/>
                      <w:color w:val="auto"/>
                      <w:kern w:val="0"/>
                      <w:sz w:val="18"/>
                      <w:szCs w:val="18"/>
                      <w:highlight w:val="none"/>
                      <w:vertAlign w:val="subscript"/>
                      <w:lang w:val="en-US" w:eastAsia="zh-CN"/>
                    </w:rPr>
                    <w:t>2</w:t>
                  </w:r>
                </w:p>
              </w:tc>
              <w:tc>
                <w:tcPr>
                  <w:tcW w:w="1105" w:type="pct"/>
                  <w:vAlign w:val="center"/>
                </w:tcPr>
                <w:p w14:paraId="7F016EC1">
                  <w:pPr>
                    <w:contextualSpacing/>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0.5</w:t>
                  </w:r>
                </w:p>
              </w:tc>
              <w:tc>
                <w:tcPr>
                  <w:tcW w:w="1104" w:type="pct"/>
                  <w:vAlign w:val="center"/>
                </w:tcPr>
                <w:p w14:paraId="72C2EE56">
                  <w:pPr>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0.000737</w:t>
                  </w:r>
                </w:p>
              </w:tc>
            </w:tr>
            <w:tr w14:paraId="08BAF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9" w:type="pct"/>
                  <w:vMerge w:val="continue"/>
                  <w:vAlign w:val="center"/>
                </w:tcPr>
                <w:p w14:paraId="445EA0B0">
                  <w:pPr>
                    <w:contextualSpacing/>
                    <w:jc w:val="center"/>
                    <w:rPr>
                      <w:rFonts w:hint="default" w:ascii="Times New Roman" w:hAnsi="Times New Roman" w:cs="Times New Roman"/>
                      <w:color w:val="auto"/>
                      <w:sz w:val="18"/>
                      <w:szCs w:val="18"/>
                      <w:highlight w:val="none"/>
                      <w:lang w:val="en-US" w:eastAsia="zh-CN"/>
                    </w:rPr>
                  </w:pPr>
                </w:p>
              </w:tc>
              <w:tc>
                <w:tcPr>
                  <w:tcW w:w="1191" w:type="pct"/>
                  <w:vAlign w:val="center"/>
                </w:tcPr>
                <w:p w14:paraId="1A6A8DE4">
                  <w:pPr>
                    <w:jc w:val="center"/>
                    <w:rPr>
                      <w:rFonts w:hint="eastAsia"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NOx</w:t>
                  </w:r>
                </w:p>
              </w:tc>
              <w:tc>
                <w:tcPr>
                  <w:tcW w:w="1105" w:type="pct"/>
                  <w:vAlign w:val="center"/>
                </w:tcPr>
                <w:p w14:paraId="30C913BE">
                  <w:pPr>
                    <w:contextualSpacing/>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0.2</w:t>
                  </w:r>
                </w:p>
              </w:tc>
              <w:tc>
                <w:tcPr>
                  <w:tcW w:w="1104" w:type="pct"/>
                  <w:vAlign w:val="center"/>
                </w:tcPr>
                <w:p w14:paraId="28D8236E">
                  <w:pPr>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0.00251</w:t>
                  </w:r>
                </w:p>
              </w:tc>
            </w:tr>
            <w:tr w14:paraId="7D995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9" w:type="pct"/>
                  <w:vMerge w:val="continue"/>
                  <w:vAlign w:val="center"/>
                </w:tcPr>
                <w:p w14:paraId="65BD6476">
                  <w:pPr>
                    <w:contextualSpacing/>
                    <w:jc w:val="center"/>
                    <w:rPr>
                      <w:rFonts w:hint="default" w:ascii="Times New Roman" w:hAnsi="Times New Roman" w:cs="Times New Roman"/>
                      <w:color w:val="auto"/>
                      <w:sz w:val="18"/>
                      <w:szCs w:val="18"/>
                      <w:highlight w:val="none"/>
                      <w:lang w:val="en-US" w:eastAsia="zh-CN"/>
                    </w:rPr>
                  </w:pPr>
                </w:p>
              </w:tc>
              <w:tc>
                <w:tcPr>
                  <w:tcW w:w="1191" w:type="pct"/>
                  <w:vAlign w:val="center"/>
                </w:tcPr>
                <w:p w14:paraId="274B2D33">
                  <w:pPr>
                    <w:jc w:val="center"/>
                    <w:rPr>
                      <w:rFonts w:hint="eastAsia"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氨</w:t>
                  </w:r>
                </w:p>
              </w:tc>
              <w:tc>
                <w:tcPr>
                  <w:tcW w:w="1105" w:type="pct"/>
                  <w:vAlign w:val="center"/>
                </w:tcPr>
                <w:p w14:paraId="762929B7">
                  <w:pPr>
                    <w:contextualSpacing/>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0.2</w:t>
                  </w:r>
                </w:p>
              </w:tc>
              <w:tc>
                <w:tcPr>
                  <w:tcW w:w="1104" w:type="pct"/>
                  <w:vAlign w:val="center"/>
                </w:tcPr>
                <w:p w14:paraId="5D87F923">
                  <w:pPr>
                    <w:contextualSpacing/>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0.00482</w:t>
                  </w:r>
                </w:p>
              </w:tc>
            </w:tr>
            <w:tr w14:paraId="4376A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9" w:type="pct"/>
                  <w:shd w:val="clear" w:color="auto" w:fill="auto"/>
                  <w:vAlign w:val="center"/>
                </w:tcPr>
                <w:p w14:paraId="2A7C22A2">
                  <w:pPr>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DA00</w:t>
                  </w:r>
                  <w:r>
                    <w:rPr>
                      <w:rFonts w:hint="eastAsia"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排气筒</w:t>
                  </w:r>
                </w:p>
              </w:tc>
              <w:tc>
                <w:tcPr>
                  <w:tcW w:w="1191" w:type="pct"/>
                  <w:shd w:val="clear" w:color="auto" w:fill="auto"/>
                  <w:vAlign w:val="center"/>
                </w:tcPr>
                <w:p w14:paraId="3A732881">
                  <w:pPr>
                    <w:jc w:val="center"/>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PM</w:t>
                  </w:r>
                  <w:r>
                    <w:rPr>
                      <w:rFonts w:hint="default" w:ascii="Times New Roman" w:hAnsi="Times New Roman" w:cs="Times New Roman"/>
                      <w:color w:val="auto"/>
                      <w:kern w:val="0"/>
                      <w:sz w:val="18"/>
                      <w:szCs w:val="18"/>
                      <w:highlight w:val="none"/>
                      <w:vertAlign w:val="subscript"/>
                    </w:rPr>
                    <w:t>10</w:t>
                  </w:r>
                </w:p>
              </w:tc>
              <w:tc>
                <w:tcPr>
                  <w:tcW w:w="1105" w:type="pct"/>
                  <w:shd w:val="clear" w:color="auto" w:fill="auto"/>
                  <w:vAlign w:val="center"/>
                </w:tcPr>
                <w:p w14:paraId="48B8CD1F">
                  <w:pPr>
                    <w:contextualSpacing/>
                    <w:jc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0.</w:t>
                  </w:r>
                  <w:r>
                    <w:rPr>
                      <w:rFonts w:hint="eastAsia" w:cs="Times New Roman"/>
                      <w:color w:val="auto"/>
                      <w:sz w:val="18"/>
                      <w:szCs w:val="18"/>
                      <w:highlight w:val="none"/>
                      <w:lang w:val="en-US" w:eastAsia="zh-CN"/>
                    </w:rPr>
                    <w:t>9</w:t>
                  </w:r>
                </w:p>
              </w:tc>
              <w:tc>
                <w:tcPr>
                  <w:tcW w:w="1104" w:type="pct"/>
                  <w:shd w:val="clear" w:color="auto" w:fill="auto"/>
                  <w:vAlign w:val="center"/>
                </w:tcPr>
                <w:p w14:paraId="620D5B06">
                  <w:pPr>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0.000755</w:t>
                  </w:r>
                </w:p>
              </w:tc>
            </w:tr>
            <w:tr w14:paraId="00536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9" w:type="pct"/>
                  <w:shd w:val="clear" w:color="auto" w:fill="auto"/>
                  <w:vAlign w:val="center"/>
                </w:tcPr>
                <w:p w14:paraId="56DFCD2C">
                  <w:pPr>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DA00</w:t>
                  </w:r>
                  <w:r>
                    <w:rPr>
                      <w:rFonts w:hint="eastAsia" w:ascii="Times New Roman" w:hAnsi="Times New Roman" w:cs="Times New Roman"/>
                      <w:color w:val="auto"/>
                      <w:sz w:val="18"/>
                      <w:szCs w:val="18"/>
                      <w:highlight w:val="none"/>
                      <w:lang w:val="en-US" w:eastAsia="zh-CN"/>
                    </w:rPr>
                    <w:t>3</w:t>
                  </w:r>
                  <w:r>
                    <w:rPr>
                      <w:rFonts w:hint="default" w:ascii="Times New Roman" w:hAnsi="Times New Roman" w:cs="Times New Roman"/>
                      <w:color w:val="auto"/>
                      <w:sz w:val="18"/>
                      <w:szCs w:val="18"/>
                      <w:highlight w:val="none"/>
                    </w:rPr>
                    <w:t>排气筒</w:t>
                  </w:r>
                </w:p>
              </w:tc>
              <w:tc>
                <w:tcPr>
                  <w:tcW w:w="1191" w:type="pct"/>
                  <w:shd w:val="clear" w:color="auto" w:fill="auto"/>
                  <w:vAlign w:val="center"/>
                </w:tcPr>
                <w:p w14:paraId="59F2EE76">
                  <w:pPr>
                    <w:jc w:val="center"/>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rPr>
                    <w:t>PM</w:t>
                  </w:r>
                  <w:r>
                    <w:rPr>
                      <w:rFonts w:hint="default" w:ascii="Times New Roman" w:hAnsi="Times New Roman" w:cs="Times New Roman"/>
                      <w:color w:val="auto"/>
                      <w:kern w:val="0"/>
                      <w:sz w:val="18"/>
                      <w:szCs w:val="18"/>
                      <w:highlight w:val="none"/>
                      <w:vertAlign w:val="subscript"/>
                    </w:rPr>
                    <w:t>10</w:t>
                  </w:r>
                </w:p>
              </w:tc>
              <w:tc>
                <w:tcPr>
                  <w:tcW w:w="1105" w:type="pct"/>
                  <w:shd w:val="clear" w:color="auto" w:fill="auto"/>
                  <w:vAlign w:val="center"/>
                </w:tcPr>
                <w:p w14:paraId="1CA6F438">
                  <w:pPr>
                    <w:contextualSpacing/>
                    <w:jc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0.</w:t>
                  </w:r>
                  <w:r>
                    <w:rPr>
                      <w:rFonts w:hint="eastAsia" w:cs="Times New Roman"/>
                      <w:color w:val="auto"/>
                      <w:sz w:val="18"/>
                      <w:szCs w:val="18"/>
                      <w:highlight w:val="none"/>
                      <w:lang w:val="en-US" w:eastAsia="zh-CN"/>
                    </w:rPr>
                    <w:t>9</w:t>
                  </w:r>
                </w:p>
              </w:tc>
              <w:tc>
                <w:tcPr>
                  <w:tcW w:w="1104" w:type="pct"/>
                  <w:shd w:val="clear" w:color="auto" w:fill="auto"/>
                  <w:vAlign w:val="center"/>
                </w:tcPr>
                <w:p w14:paraId="5E4A8E56">
                  <w:pPr>
                    <w:contextualSpacing/>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0.000755</w:t>
                  </w:r>
                </w:p>
              </w:tc>
            </w:tr>
          </w:tbl>
          <w:p w14:paraId="27E15C05">
            <w:pPr>
              <w:pStyle w:val="381"/>
              <w:ind w:firstLine="420"/>
              <w:rPr>
                <w:rFonts w:hint="default" w:ascii="Times New Roman" w:hAnsi="Times New Roman" w:cs="Times New Roman"/>
                <w:color w:val="auto"/>
                <w:sz w:val="21"/>
                <w:szCs w:val="21"/>
                <w:highlight w:val="none"/>
              </w:rPr>
            </w:pPr>
            <w:r>
              <w:rPr>
                <w:rFonts w:hint="default" w:ascii="Times New Roman" w:hAnsi="Times New Roman" w:cs="Times New Roman"/>
                <w:color w:val="auto"/>
                <w:kern w:val="24"/>
                <w:sz w:val="21"/>
                <w:highlight w:val="none"/>
                <w:lang w:bidi="ar"/>
              </w:rPr>
              <w:t>该项目所在</w:t>
            </w:r>
            <w:r>
              <w:rPr>
                <w:rFonts w:hint="default" w:ascii="Times New Roman" w:hAnsi="Times New Roman" w:cs="Times New Roman"/>
                <w:color w:val="auto"/>
                <w:kern w:val="24"/>
                <w:sz w:val="21"/>
                <w:highlight w:val="none"/>
                <w:lang w:eastAsia="zh-CN" w:bidi="ar"/>
              </w:rPr>
              <w:t>淄川</w:t>
            </w:r>
            <w:r>
              <w:rPr>
                <w:rFonts w:hint="default" w:ascii="Times New Roman" w:hAnsi="Times New Roman" w:cs="Times New Roman"/>
                <w:color w:val="auto"/>
                <w:kern w:val="24"/>
                <w:sz w:val="21"/>
                <w:highlight w:val="none"/>
                <w:lang w:bidi="ar"/>
              </w:rPr>
              <w:t>区属于不</w:t>
            </w:r>
            <w:r>
              <w:rPr>
                <w:rFonts w:hint="default" w:ascii="Times New Roman" w:hAnsi="Times New Roman" w:cs="Times New Roman"/>
                <w:color w:val="auto"/>
                <w:kern w:val="24"/>
                <w:sz w:val="21"/>
                <w:szCs w:val="21"/>
                <w:highlight w:val="none"/>
                <w:lang w:bidi="ar"/>
              </w:rPr>
              <w:t>达标区域。</w:t>
            </w:r>
            <w:r>
              <w:rPr>
                <w:rFonts w:hint="default" w:ascii="Times New Roman" w:hAnsi="Times New Roman" w:cs="Times New Roman"/>
                <w:color w:val="auto"/>
                <w:sz w:val="21"/>
                <w:szCs w:val="21"/>
                <w:highlight w:val="none"/>
              </w:rPr>
              <w:t>经AERSCREEN模式</w:t>
            </w:r>
            <w:r>
              <w:rPr>
                <w:rFonts w:hint="default" w:ascii="Times New Roman" w:hAnsi="Times New Roman" w:cs="Times New Roman"/>
                <w:color w:val="auto"/>
                <w:sz w:val="21"/>
                <w:szCs w:val="21"/>
                <w:highlight w:val="none"/>
                <w:lang w:val="en-US"/>
              </w:rPr>
              <w:t>估算</w:t>
            </w:r>
            <w:r>
              <w:rPr>
                <w:rFonts w:hint="default" w:ascii="Times New Roman" w:hAnsi="Times New Roman" w:cs="Times New Roman"/>
                <w:color w:val="auto"/>
                <w:sz w:val="21"/>
                <w:szCs w:val="21"/>
                <w:highlight w:val="none"/>
              </w:rPr>
              <w:t>可知，厂界颗粒物无组织排放浓度满足《大气污染物</w:t>
            </w:r>
            <w:r>
              <w:rPr>
                <w:rFonts w:hint="default" w:ascii="Times New Roman" w:hAnsi="Times New Roman" w:cs="Times New Roman"/>
                <w:color w:val="auto"/>
                <w:sz w:val="21"/>
                <w:szCs w:val="21"/>
                <w:highlight w:val="none"/>
                <w:lang w:eastAsia="zh-CN"/>
              </w:rPr>
              <w:t>综合</w:t>
            </w:r>
            <w:r>
              <w:rPr>
                <w:rFonts w:hint="default" w:ascii="Times New Roman" w:hAnsi="Times New Roman" w:cs="Times New Roman"/>
                <w:color w:val="auto"/>
                <w:sz w:val="21"/>
                <w:szCs w:val="21"/>
                <w:highlight w:val="none"/>
              </w:rPr>
              <w:t>排放标准》（</w:t>
            </w:r>
            <w:r>
              <w:rPr>
                <w:rFonts w:hint="default" w:ascii="Times New Roman" w:hAnsi="Times New Roman" w:cs="Times New Roman"/>
                <w:color w:val="auto"/>
                <w:sz w:val="21"/>
                <w:szCs w:val="21"/>
                <w:highlight w:val="none"/>
                <w:lang w:val="en-US" w:eastAsia="zh-CN"/>
              </w:rPr>
              <w:t>GB16297-1996</w:t>
            </w:r>
            <w:r>
              <w:rPr>
                <w:rFonts w:hint="default" w:ascii="Times New Roman" w:hAnsi="Times New Roman" w:cs="Times New Roman"/>
                <w:color w:val="auto"/>
                <w:sz w:val="21"/>
                <w:szCs w:val="21"/>
                <w:highlight w:val="none"/>
              </w:rPr>
              <w:t>）表</w:t>
            </w: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无组织颗粒物排放监控浓度限值标准要求</w:t>
            </w:r>
            <w:r>
              <w:rPr>
                <w:rFonts w:hint="default" w:ascii="Times New Roman" w:hAnsi="Times New Roman" w:cs="Times New Roman" w:eastAsiaTheme="minorEastAsia"/>
                <w:color w:val="auto"/>
                <w:sz w:val="21"/>
                <w:szCs w:val="21"/>
                <w:highlight w:val="none"/>
              </w:rPr>
              <w:t>（颗粒物</w:t>
            </w:r>
            <w:r>
              <w:rPr>
                <w:rFonts w:hint="default" w:ascii="Times New Roman" w:hAnsi="Times New Roman" w:cs="Times New Roman" w:eastAsiaTheme="minorEastAsia"/>
                <w:color w:val="auto"/>
                <w:sz w:val="21"/>
                <w:szCs w:val="21"/>
                <w:highlight w:val="none"/>
                <w:lang w:val="en-US" w:eastAsia="zh-CN"/>
              </w:rPr>
              <w:t>1.0</w:t>
            </w:r>
            <w:r>
              <w:rPr>
                <w:rFonts w:hint="default" w:ascii="Times New Roman" w:hAnsi="Times New Roman" w:cs="Times New Roman" w:eastAsiaTheme="minorEastAsia"/>
                <w:color w:val="auto"/>
                <w:sz w:val="21"/>
                <w:szCs w:val="21"/>
                <w:highlight w:val="none"/>
              </w:rPr>
              <w:t>mg/m</w:t>
            </w:r>
            <w:r>
              <w:rPr>
                <w:rFonts w:hint="default" w:ascii="Times New Roman" w:hAnsi="Times New Roman" w:cs="Times New Roman" w:eastAsiaTheme="minorEastAsia"/>
                <w:color w:val="auto"/>
                <w:sz w:val="21"/>
                <w:szCs w:val="21"/>
                <w:highlight w:val="none"/>
                <w:vertAlign w:val="superscript"/>
              </w:rPr>
              <w:t>3</w:t>
            </w:r>
            <w:r>
              <w:rPr>
                <w:rFonts w:hint="default" w:ascii="Times New Roman" w:hAnsi="Times New Roman" w:cs="Times New Roman" w:eastAsiaTheme="minorEastAsia"/>
                <w:color w:val="auto"/>
                <w:sz w:val="21"/>
                <w:szCs w:val="21"/>
                <w:highlight w:val="none"/>
              </w:rPr>
              <w:t>）</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氨气无组织排放浓度</w:t>
            </w:r>
            <w:r>
              <w:rPr>
                <w:rFonts w:hint="eastAsia" w:cs="Times New Roman"/>
                <w:color w:val="auto"/>
                <w:sz w:val="21"/>
                <w:szCs w:val="21"/>
                <w:highlight w:val="none"/>
                <w:lang w:val="en-US" w:eastAsia="zh-CN"/>
              </w:rPr>
              <w:t>满足</w:t>
            </w:r>
            <w:r>
              <w:rPr>
                <w:rFonts w:hint="default" w:ascii="Times New Roman" w:hAnsi="Times New Roman" w:cs="Times New Roman"/>
                <w:color w:val="auto"/>
                <w:sz w:val="21"/>
                <w:szCs w:val="21"/>
                <w:highlight w:val="none"/>
                <w:lang w:eastAsia="zh-CN"/>
              </w:rPr>
              <w:t>《恶臭污染物排放标准》（GB14554-93）表</w:t>
            </w:r>
            <w:r>
              <w:rPr>
                <w:rFonts w:hint="default" w:ascii="Times New Roman" w:hAnsi="Times New Roman" w:cs="Times New Roman"/>
                <w:color w:val="auto"/>
                <w:sz w:val="21"/>
                <w:szCs w:val="21"/>
                <w:highlight w:val="none"/>
                <w:lang w:val="en-US" w:eastAsia="zh-CN"/>
              </w:rPr>
              <w:t>1中二级</w:t>
            </w:r>
            <w:r>
              <w:rPr>
                <w:rFonts w:hint="eastAsia" w:cs="Times New Roman"/>
                <w:color w:val="auto"/>
                <w:sz w:val="21"/>
                <w:szCs w:val="21"/>
                <w:highlight w:val="none"/>
                <w:lang w:val="en-US" w:eastAsia="zh-CN"/>
              </w:rPr>
              <w:t>标准</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1.5</w:t>
            </w:r>
            <w:r>
              <w:rPr>
                <w:rFonts w:hint="default" w:ascii="Times New Roman" w:hAnsi="Times New Roman" w:cs="Times New Roman"/>
                <w:color w:val="auto"/>
                <w:sz w:val="21"/>
                <w:szCs w:val="21"/>
                <w:highlight w:val="none"/>
                <w:lang w:eastAsia="zh-CN"/>
              </w:rPr>
              <w:t>mg/m</w:t>
            </w:r>
            <w:r>
              <w:rPr>
                <w:rFonts w:hint="default" w:ascii="Times New Roman" w:hAnsi="Times New Roman" w:cs="Times New Roman"/>
                <w:color w:val="auto"/>
                <w:sz w:val="21"/>
                <w:szCs w:val="21"/>
                <w:highlight w:val="none"/>
                <w:vertAlign w:val="superscript"/>
                <w:lang w:eastAsia="zh-CN"/>
              </w:rPr>
              <w:t>3</w:t>
            </w: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eastAsia="zh-CN"/>
              </w:rPr>
              <w:t>；</w:t>
            </w:r>
            <w:r>
              <w:rPr>
                <w:rFonts w:hint="eastAsia" w:cs="Times New Roman"/>
                <w:b w:val="0"/>
                <w:bCs w:val="0"/>
                <w:color w:val="auto"/>
                <w:sz w:val="21"/>
                <w:szCs w:val="18"/>
                <w:highlight w:val="none"/>
                <w:lang w:val="en-US" w:eastAsia="zh-CN"/>
              </w:rPr>
              <w:t>臭气浓度无组织排放浓度满足《挥发性有机物排放标准 第 7 部分：其他行业》（DB37/ 2801.7—2019）表2厂界监控点浓度限制（16无量纲）。</w:t>
            </w:r>
          </w:p>
          <w:p w14:paraId="466481AB">
            <w:pPr>
              <w:adjustRightInd w:val="0"/>
              <w:snapToGrid w:val="0"/>
              <w:spacing w:line="360" w:lineRule="auto"/>
              <w:ind w:firstLine="420" w:firstLineChars="200"/>
              <w:rPr>
                <w:rFonts w:hint="default" w:ascii="Times New Roman" w:hAnsi="Times New Roman" w:eastAsia="宋体" w:cs="Times New Roman"/>
                <w:b/>
                <w:bCs/>
                <w:color w:val="FF0000"/>
                <w:highlight w:val="none"/>
                <w:lang w:eastAsia="zh-CN"/>
              </w:rPr>
            </w:pPr>
            <w:r>
              <w:rPr>
                <w:rFonts w:hint="default" w:ascii="Times New Roman" w:hAnsi="Times New Roman" w:cs="Times New Roman"/>
                <w:color w:val="auto"/>
                <w:highlight w:val="none"/>
              </w:rPr>
              <w:t>经上文分析，</w:t>
            </w:r>
            <w:r>
              <w:rPr>
                <w:rFonts w:hint="eastAsia" w:cs="Times New Roman"/>
                <w:color w:val="auto"/>
                <w:highlight w:val="none"/>
                <w:lang w:eastAsia="zh-CN"/>
              </w:rPr>
              <w:t>一期项目</w:t>
            </w:r>
            <w:r>
              <w:rPr>
                <w:rFonts w:hint="default" w:ascii="Times New Roman" w:hAnsi="Times New Roman" w:cs="Times New Roman"/>
                <w:color w:val="auto"/>
                <w:highlight w:val="none"/>
              </w:rPr>
              <w:t>有组织废气和无组织废气均能达标排放，污染物最大落地浓度较小，均满足相应的环境质量标准，在落实污染物治理方案后，对大气环境和周围敏感点的影响较小</w:t>
            </w:r>
            <w:r>
              <w:rPr>
                <w:rFonts w:hint="default" w:ascii="Times New Roman" w:hAnsi="Times New Roman" w:cs="Times New Roman"/>
                <w:color w:val="auto"/>
                <w:highlight w:val="none"/>
                <w:lang w:eastAsia="zh-CN"/>
              </w:rPr>
              <w:t>。</w:t>
            </w:r>
          </w:p>
          <w:p w14:paraId="3EB14DAE">
            <w:pPr>
              <w:adjustRightInd w:val="0"/>
              <w:snapToGrid w:val="0"/>
              <w:spacing w:line="360" w:lineRule="auto"/>
              <w:ind w:firstLine="422" w:firstLineChars="200"/>
              <w:rPr>
                <w:rFonts w:hint="default" w:ascii="Times New Roman" w:hAnsi="Times New Roman" w:cs="Times New Roman"/>
                <w:b/>
                <w:bCs/>
                <w:color w:val="auto"/>
                <w:highlight w:val="none"/>
              </w:rPr>
            </w:pPr>
            <w:r>
              <w:rPr>
                <w:rFonts w:hint="eastAsia" w:cs="Times New Roman"/>
                <w:b/>
                <w:bCs/>
                <w:color w:val="auto"/>
                <w:highlight w:val="none"/>
                <w:lang w:val="en-US" w:eastAsia="zh-CN"/>
              </w:rPr>
              <w:t>6</w:t>
            </w:r>
            <w:r>
              <w:rPr>
                <w:rFonts w:hint="default" w:ascii="Times New Roman" w:hAnsi="Times New Roman" w:cs="Times New Roman"/>
                <w:b/>
                <w:bCs/>
                <w:color w:val="auto"/>
                <w:highlight w:val="none"/>
              </w:rPr>
              <w:t>、非正常工况分析</w:t>
            </w:r>
          </w:p>
          <w:p w14:paraId="5F99BBA5">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非正常工况是指工艺运行中所有生产运行技术参数未达到设计范围的情况。包括生产运行阶段的开停车、检修，工艺设备的运转异常、污染物排放控制措施达不到应有的效率、一般性事故和泄漏，以及发生严重的环境事故等。</w:t>
            </w:r>
          </w:p>
          <w:p w14:paraId="2B1C68BF">
            <w:pPr>
              <w:adjustRightInd w:val="0"/>
              <w:snapToGrid w:val="0"/>
              <w:spacing w:line="360" w:lineRule="auto"/>
              <w:ind w:firstLine="420" w:firstLineChars="200"/>
              <w:rPr>
                <w:rFonts w:hint="default" w:ascii="Times New Roman" w:hAnsi="Times New Roman" w:cs="Times New Roman"/>
                <w:color w:val="auto"/>
                <w:highlight w:val="none"/>
              </w:rPr>
            </w:pPr>
            <w:r>
              <w:rPr>
                <w:rFonts w:hint="eastAsia" w:cs="Times New Roman"/>
                <w:color w:val="auto"/>
                <w:highlight w:val="none"/>
                <w:lang w:eastAsia="zh-CN"/>
              </w:rPr>
              <w:t>一期项目</w:t>
            </w:r>
            <w:r>
              <w:rPr>
                <w:rFonts w:hint="default" w:ascii="Times New Roman" w:hAnsi="Times New Roman" w:cs="Times New Roman"/>
                <w:color w:val="auto"/>
                <w:highlight w:val="none"/>
              </w:rPr>
              <w:t>非正常工况主要为废气处理设备运转失灵导致大气污染物直接排放。非正常工况废气排放源强见下表：</w:t>
            </w:r>
          </w:p>
          <w:p w14:paraId="5A0B0FC3">
            <w:pPr>
              <w:adjustRightInd w:val="0"/>
              <w:snapToGrid w:val="0"/>
              <w:spacing w:line="360" w:lineRule="auto"/>
              <w:jc w:val="center"/>
              <w:rPr>
                <w:rFonts w:hint="default" w:ascii="Times New Roman" w:hAnsi="Times New Roman" w:cs="Times New Roman"/>
                <w:color w:val="auto"/>
                <w:highlight w:val="none"/>
              </w:rPr>
            </w:pPr>
            <w:r>
              <w:rPr>
                <w:rFonts w:hint="default" w:ascii="Times New Roman" w:hAnsi="Times New Roman" w:cs="Times New Roman"/>
                <w:b/>
                <w:color w:val="auto"/>
                <w:highlight w:val="none"/>
              </w:rPr>
              <w:t>表4-</w:t>
            </w:r>
            <w:r>
              <w:rPr>
                <w:rFonts w:hint="eastAsia" w:cs="Times New Roman"/>
                <w:b/>
                <w:color w:val="auto"/>
                <w:highlight w:val="none"/>
                <w:lang w:val="en-US" w:eastAsia="zh-CN"/>
              </w:rPr>
              <w:t>22</w:t>
            </w:r>
            <w:r>
              <w:rPr>
                <w:rFonts w:hint="default" w:ascii="Times New Roman" w:hAnsi="Times New Roman" w:cs="Times New Roman"/>
                <w:b/>
                <w:color w:val="auto"/>
                <w:highlight w:val="none"/>
              </w:rPr>
              <w:t>非正常工况下污染物排放源强</w:t>
            </w:r>
          </w:p>
          <w:tbl>
            <w:tblPr>
              <w:tblStyle w:val="81"/>
              <w:tblW w:w="83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5"/>
              <w:gridCol w:w="1014"/>
              <w:gridCol w:w="815"/>
              <w:gridCol w:w="1084"/>
              <w:gridCol w:w="1146"/>
              <w:gridCol w:w="823"/>
              <w:gridCol w:w="823"/>
              <w:gridCol w:w="823"/>
              <w:gridCol w:w="823"/>
            </w:tblGrid>
            <w:tr w14:paraId="51A7A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1015" w:type="dxa"/>
                  <w:vAlign w:val="center"/>
                </w:tcPr>
                <w:p w14:paraId="236D3138">
                  <w:pPr>
                    <w:pStyle w:val="200"/>
                    <w:spacing w:before="24" w:after="24"/>
                    <w:jc w:val="center"/>
                    <w:rPr>
                      <w:rFonts w:hint="default" w:ascii="Times New Roman" w:hAnsi="Times New Roman" w:cs="Times New Roman"/>
                      <w:b/>
                      <w:bCs/>
                      <w:color w:val="auto"/>
                      <w:sz w:val="18"/>
                      <w:szCs w:val="16"/>
                      <w:highlight w:val="none"/>
                    </w:rPr>
                  </w:pPr>
                  <w:r>
                    <w:rPr>
                      <w:rFonts w:hint="default" w:ascii="Times New Roman" w:hAnsi="Times New Roman" w:cs="Times New Roman"/>
                      <w:b/>
                      <w:bCs/>
                      <w:color w:val="auto"/>
                      <w:sz w:val="18"/>
                      <w:szCs w:val="16"/>
                      <w:highlight w:val="none"/>
                    </w:rPr>
                    <w:t>污染源</w:t>
                  </w:r>
                </w:p>
              </w:tc>
              <w:tc>
                <w:tcPr>
                  <w:tcW w:w="1014" w:type="dxa"/>
                  <w:vAlign w:val="center"/>
                </w:tcPr>
                <w:p w14:paraId="50D2F294">
                  <w:pPr>
                    <w:pStyle w:val="200"/>
                    <w:spacing w:before="24" w:after="24"/>
                    <w:jc w:val="center"/>
                    <w:rPr>
                      <w:rFonts w:hint="default" w:ascii="Times New Roman" w:hAnsi="Times New Roman" w:cs="Times New Roman"/>
                      <w:b/>
                      <w:bCs/>
                      <w:color w:val="auto"/>
                      <w:sz w:val="18"/>
                      <w:szCs w:val="16"/>
                      <w:highlight w:val="none"/>
                    </w:rPr>
                  </w:pPr>
                  <w:r>
                    <w:rPr>
                      <w:rFonts w:hint="default" w:ascii="Times New Roman" w:hAnsi="Times New Roman" w:cs="Times New Roman"/>
                      <w:b/>
                      <w:bCs/>
                      <w:color w:val="auto"/>
                      <w:sz w:val="18"/>
                      <w:szCs w:val="16"/>
                      <w:highlight w:val="none"/>
                    </w:rPr>
                    <w:t>非正常排放原因</w:t>
                  </w:r>
                </w:p>
              </w:tc>
              <w:tc>
                <w:tcPr>
                  <w:tcW w:w="815" w:type="dxa"/>
                  <w:vAlign w:val="center"/>
                </w:tcPr>
                <w:p w14:paraId="4175AAD9">
                  <w:pPr>
                    <w:pStyle w:val="200"/>
                    <w:spacing w:before="24" w:after="24"/>
                    <w:jc w:val="center"/>
                    <w:rPr>
                      <w:rFonts w:hint="default" w:ascii="Times New Roman" w:hAnsi="Times New Roman" w:cs="Times New Roman"/>
                      <w:b/>
                      <w:bCs/>
                      <w:color w:val="auto"/>
                      <w:sz w:val="18"/>
                      <w:szCs w:val="16"/>
                      <w:highlight w:val="none"/>
                    </w:rPr>
                  </w:pPr>
                  <w:r>
                    <w:rPr>
                      <w:rFonts w:hint="default" w:ascii="Times New Roman" w:hAnsi="Times New Roman" w:cs="Times New Roman"/>
                      <w:b/>
                      <w:bCs/>
                      <w:color w:val="auto"/>
                      <w:sz w:val="18"/>
                      <w:szCs w:val="16"/>
                      <w:highlight w:val="none"/>
                    </w:rPr>
                    <w:t>污染物</w:t>
                  </w:r>
                </w:p>
              </w:tc>
              <w:tc>
                <w:tcPr>
                  <w:tcW w:w="1084" w:type="dxa"/>
                  <w:vAlign w:val="center"/>
                </w:tcPr>
                <w:p w14:paraId="6359D62D">
                  <w:pPr>
                    <w:pStyle w:val="200"/>
                    <w:spacing w:before="24" w:after="24"/>
                    <w:jc w:val="center"/>
                    <w:rPr>
                      <w:rFonts w:hint="default" w:ascii="Times New Roman" w:hAnsi="Times New Roman" w:cs="Times New Roman"/>
                      <w:b/>
                      <w:bCs/>
                      <w:color w:val="auto"/>
                      <w:sz w:val="18"/>
                      <w:szCs w:val="16"/>
                      <w:highlight w:val="none"/>
                    </w:rPr>
                  </w:pPr>
                  <w:r>
                    <w:rPr>
                      <w:rFonts w:hint="default" w:ascii="Times New Roman" w:hAnsi="Times New Roman" w:cs="Times New Roman"/>
                      <w:b/>
                      <w:bCs/>
                      <w:color w:val="auto"/>
                      <w:sz w:val="18"/>
                      <w:szCs w:val="16"/>
                      <w:highlight w:val="none"/>
                    </w:rPr>
                    <w:t>排放速率（kg/h）</w:t>
                  </w:r>
                </w:p>
              </w:tc>
              <w:tc>
                <w:tcPr>
                  <w:tcW w:w="1146" w:type="dxa"/>
                  <w:vAlign w:val="center"/>
                </w:tcPr>
                <w:p w14:paraId="6CA66F33">
                  <w:pPr>
                    <w:pStyle w:val="200"/>
                    <w:spacing w:before="24" w:after="24"/>
                    <w:jc w:val="center"/>
                    <w:rPr>
                      <w:rFonts w:hint="default" w:ascii="Times New Roman" w:hAnsi="Times New Roman" w:cs="Times New Roman"/>
                      <w:b/>
                      <w:bCs/>
                      <w:color w:val="auto"/>
                      <w:sz w:val="18"/>
                      <w:szCs w:val="16"/>
                      <w:highlight w:val="none"/>
                    </w:rPr>
                  </w:pPr>
                  <w:r>
                    <w:rPr>
                      <w:rFonts w:hint="default" w:ascii="Times New Roman" w:hAnsi="Times New Roman" w:cs="Times New Roman"/>
                      <w:b/>
                      <w:bCs/>
                      <w:color w:val="auto"/>
                      <w:sz w:val="18"/>
                      <w:szCs w:val="16"/>
                      <w:highlight w:val="none"/>
                    </w:rPr>
                    <w:t>排放浓度（mg/m</w:t>
                  </w:r>
                  <w:r>
                    <w:rPr>
                      <w:rFonts w:hint="default" w:ascii="Times New Roman" w:hAnsi="Times New Roman" w:cs="Times New Roman"/>
                      <w:b/>
                      <w:bCs/>
                      <w:color w:val="auto"/>
                      <w:sz w:val="18"/>
                      <w:szCs w:val="16"/>
                      <w:highlight w:val="none"/>
                      <w:vertAlign w:val="superscript"/>
                    </w:rPr>
                    <w:t>3</w:t>
                  </w:r>
                  <w:r>
                    <w:rPr>
                      <w:rFonts w:hint="default" w:ascii="Times New Roman" w:hAnsi="Times New Roman" w:cs="Times New Roman"/>
                      <w:b/>
                      <w:bCs/>
                      <w:color w:val="auto"/>
                      <w:sz w:val="18"/>
                      <w:szCs w:val="16"/>
                      <w:highlight w:val="none"/>
                    </w:rPr>
                    <w:t>）</w:t>
                  </w:r>
                </w:p>
              </w:tc>
              <w:tc>
                <w:tcPr>
                  <w:tcW w:w="823" w:type="dxa"/>
                  <w:vAlign w:val="center"/>
                </w:tcPr>
                <w:p w14:paraId="51F2F107">
                  <w:pPr>
                    <w:pStyle w:val="200"/>
                    <w:spacing w:before="24" w:after="24"/>
                    <w:jc w:val="center"/>
                    <w:rPr>
                      <w:rFonts w:hint="default" w:ascii="Times New Roman" w:hAnsi="Times New Roman" w:cs="Times New Roman"/>
                      <w:b/>
                      <w:bCs/>
                      <w:color w:val="auto"/>
                      <w:sz w:val="18"/>
                      <w:szCs w:val="16"/>
                      <w:highlight w:val="none"/>
                    </w:rPr>
                  </w:pPr>
                  <w:r>
                    <w:rPr>
                      <w:rFonts w:hint="default" w:ascii="Times New Roman" w:hAnsi="Times New Roman" w:cs="Times New Roman"/>
                      <w:b/>
                      <w:bCs/>
                      <w:color w:val="auto"/>
                      <w:sz w:val="18"/>
                      <w:szCs w:val="16"/>
                      <w:highlight w:val="none"/>
                    </w:rPr>
                    <w:t>单次持续时间/h</w:t>
                  </w:r>
                </w:p>
              </w:tc>
              <w:tc>
                <w:tcPr>
                  <w:tcW w:w="823" w:type="dxa"/>
                  <w:vAlign w:val="center"/>
                </w:tcPr>
                <w:p w14:paraId="59363E5B">
                  <w:pPr>
                    <w:pStyle w:val="200"/>
                    <w:spacing w:before="24" w:after="24"/>
                    <w:jc w:val="center"/>
                    <w:rPr>
                      <w:rFonts w:hint="default" w:ascii="Times New Roman" w:hAnsi="Times New Roman" w:cs="Times New Roman"/>
                      <w:b/>
                      <w:bCs/>
                      <w:color w:val="auto"/>
                      <w:sz w:val="18"/>
                      <w:szCs w:val="16"/>
                      <w:highlight w:val="none"/>
                    </w:rPr>
                  </w:pPr>
                  <w:r>
                    <w:rPr>
                      <w:rFonts w:hint="default" w:ascii="Times New Roman" w:hAnsi="Times New Roman" w:cs="Times New Roman"/>
                      <w:b/>
                      <w:bCs/>
                      <w:color w:val="auto"/>
                      <w:sz w:val="18"/>
                      <w:szCs w:val="16"/>
                      <w:highlight w:val="none"/>
                    </w:rPr>
                    <w:t>年发生频次/次</w:t>
                  </w:r>
                </w:p>
              </w:tc>
              <w:tc>
                <w:tcPr>
                  <w:tcW w:w="823" w:type="dxa"/>
                  <w:vAlign w:val="center"/>
                </w:tcPr>
                <w:p w14:paraId="260882A6">
                  <w:pPr>
                    <w:pStyle w:val="200"/>
                    <w:spacing w:before="24" w:after="24"/>
                    <w:jc w:val="center"/>
                    <w:rPr>
                      <w:rFonts w:hint="default" w:ascii="Times New Roman" w:hAnsi="Times New Roman" w:eastAsia="宋体" w:cs="Times New Roman"/>
                      <w:b/>
                      <w:bCs/>
                      <w:color w:val="auto"/>
                      <w:sz w:val="18"/>
                      <w:szCs w:val="16"/>
                      <w:highlight w:val="none"/>
                      <w:lang w:val="en-US" w:eastAsia="zh-CN"/>
                    </w:rPr>
                  </w:pPr>
                  <w:r>
                    <w:rPr>
                      <w:rFonts w:hint="default" w:ascii="Times New Roman" w:hAnsi="Times New Roman" w:cs="Times New Roman"/>
                      <w:b/>
                      <w:bCs/>
                      <w:color w:val="auto"/>
                      <w:sz w:val="18"/>
                      <w:szCs w:val="16"/>
                      <w:highlight w:val="none"/>
                      <w:lang w:eastAsia="zh-CN"/>
                    </w:rPr>
                    <w:t>排放量</w:t>
                  </w:r>
                  <w:r>
                    <w:rPr>
                      <w:rFonts w:hint="default" w:ascii="Times New Roman" w:hAnsi="Times New Roman" w:cs="Times New Roman"/>
                      <w:b/>
                      <w:bCs/>
                      <w:color w:val="auto"/>
                      <w:sz w:val="18"/>
                      <w:szCs w:val="16"/>
                      <w:highlight w:val="none"/>
                      <w:lang w:val="en-US" w:eastAsia="zh-CN"/>
                    </w:rPr>
                    <w:t>kg/a</w:t>
                  </w:r>
                </w:p>
              </w:tc>
              <w:tc>
                <w:tcPr>
                  <w:tcW w:w="823" w:type="dxa"/>
                  <w:vAlign w:val="center"/>
                </w:tcPr>
                <w:p w14:paraId="74DED591">
                  <w:pPr>
                    <w:pStyle w:val="200"/>
                    <w:spacing w:before="24" w:after="24"/>
                    <w:jc w:val="center"/>
                    <w:rPr>
                      <w:rFonts w:hint="default" w:ascii="Times New Roman" w:hAnsi="Times New Roman" w:cs="Times New Roman"/>
                      <w:b/>
                      <w:bCs/>
                      <w:color w:val="auto"/>
                      <w:sz w:val="18"/>
                      <w:szCs w:val="16"/>
                      <w:highlight w:val="none"/>
                    </w:rPr>
                  </w:pPr>
                  <w:r>
                    <w:rPr>
                      <w:rFonts w:hint="default" w:ascii="Times New Roman" w:hAnsi="Times New Roman" w:cs="Times New Roman"/>
                      <w:b/>
                      <w:bCs/>
                      <w:color w:val="auto"/>
                      <w:sz w:val="18"/>
                      <w:szCs w:val="16"/>
                      <w:highlight w:val="none"/>
                    </w:rPr>
                    <w:t>应对措施</w:t>
                  </w:r>
                </w:p>
              </w:tc>
            </w:tr>
            <w:tr w14:paraId="56A62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015" w:type="dxa"/>
                  <w:vMerge w:val="restart"/>
                  <w:vAlign w:val="center"/>
                </w:tcPr>
                <w:p w14:paraId="0664CC20">
                  <w:pPr>
                    <w:pStyle w:val="200"/>
                    <w:spacing w:before="24" w:after="24"/>
                    <w:jc w:val="center"/>
                    <w:rPr>
                      <w:rFonts w:hint="default" w:ascii="Times New Roman" w:hAnsi="Times New Roman" w:cs="Times New Roman"/>
                      <w:color w:val="auto"/>
                      <w:sz w:val="18"/>
                      <w:szCs w:val="16"/>
                      <w:highlight w:val="none"/>
                    </w:rPr>
                  </w:pPr>
                  <w:r>
                    <w:rPr>
                      <w:rFonts w:hint="default" w:ascii="Times New Roman" w:hAnsi="Times New Roman" w:cs="Times New Roman"/>
                      <w:color w:val="auto"/>
                      <w:sz w:val="18"/>
                      <w:szCs w:val="16"/>
                      <w:highlight w:val="none"/>
                    </w:rPr>
                    <w:t>DA00</w:t>
                  </w:r>
                  <w:r>
                    <w:rPr>
                      <w:rFonts w:hint="eastAsia" w:ascii="Times New Roman" w:cs="Times New Roman"/>
                      <w:color w:val="auto"/>
                      <w:sz w:val="18"/>
                      <w:szCs w:val="16"/>
                      <w:highlight w:val="none"/>
                      <w:lang w:val="en-US" w:eastAsia="zh-CN"/>
                    </w:rPr>
                    <w:t>1</w:t>
                  </w:r>
                  <w:r>
                    <w:rPr>
                      <w:rFonts w:hint="default" w:ascii="Times New Roman" w:hAnsi="Times New Roman" w:cs="Times New Roman"/>
                      <w:color w:val="auto"/>
                      <w:sz w:val="18"/>
                      <w:szCs w:val="16"/>
                      <w:highlight w:val="none"/>
                    </w:rPr>
                    <w:t>排气筒</w:t>
                  </w:r>
                </w:p>
              </w:tc>
              <w:tc>
                <w:tcPr>
                  <w:tcW w:w="1014" w:type="dxa"/>
                  <w:vMerge w:val="restart"/>
                  <w:vAlign w:val="center"/>
                </w:tcPr>
                <w:p w14:paraId="25146CA7">
                  <w:pPr>
                    <w:pStyle w:val="200"/>
                    <w:spacing w:before="24" w:after="24"/>
                    <w:jc w:val="center"/>
                    <w:rPr>
                      <w:rFonts w:hint="default" w:ascii="Times New Roman" w:hAns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布袋除尘器+水喷淋</w:t>
                  </w:r>
                  <w:r>
                    <w:rPr>
                      <w:rFonts w:hint="default" w:ascii="Times New Roman" w:hAnsi="Times New Roman" w:cs="Times New Roman"/>
                      <w:color w:val="auto"/>
                      <w:sz w:val="18"/>
                      <w:szCs w:val="16"/>
                      <w:highlight w:val="none"/>
                    </w:rPr>
                    <w:t>运转异常</w:t>
                  </w:r>
                  <w:r>
                    <w:rPr>
                      <w:rFonts w:hint="default" w:ascii="Times New Roman" w:hAnsi="Times New Roman" w:cs="Times New Roman"/>
                      <w:color w:val="auto"/>
                      <w:sz w:val="18"/>
                      <w:szCs w:val="16"/>
                      <w:highlight w:val="none"/>
                      <w:lang w:eastAsia="zh-CN"/>
                    </w:rPr>
                    <w:t>，</w:t>
                  </w:r>
                  <w:r>
                    <w:rPr>
                      <w:rFonts w:hint="default" w:ascii="Times New Roman" w:hAnsi="Times New Roman" w:cs="Times New Roman"/>
                      <w:color w:val="auto"/>
                      <w:sz w:val="18"/>
                      <w:szCs w:val="18"/>
                      <w:highlight w:val="none"/>
                      <w:lang w:eastAsia="zh-CN"/>
                    </w:rPr>
                    <w:t>除尘效率为</w:t>
                  </w:r>
                  <w:r>
                    <w:rPr>
                      <w:rFonts w:hint="eastAsia" w:ascii="Times New Roman" w:cs="Times New Roman"/>
                      <w:color w:val="auto"/>
                      <w:sz w:val="18"/>
                      <w:szCs w:val="18"/>
                      <w:highlight w:val="none"/>
                      <w:lang w:val="en-US" w:eastAsia="zh-CN"/>
                    </w:rPr>
                    <w:t>0</w:t>
                  </w:r>
                  <w:r>
                    <w:rPr>
                      <w:rFonts w:hint="eastAsia" w:ascii="Times New Roman" w:hAnsi="Times New Roman" w:cs="Times New Roman"/>
                      <w:color w:val="auto"/>
                      <w:sz w:val="18"/>
                      <w:szCs w:val="16"/>
                      <w:highlight w:val="none"/>
                      <w:lang w:val="en-US" w:eastAsia="zh-CN"/>
                    </w:rPr>
                    <w:t>，氨处理效率为0</w:t>
                  </w:r>
                </w:p>
              </w:tc>
              <w:tc>
                <w:tcPr>
                  <w:tcW w:w="815" w:type="dxa"/>
                  <w:vAlign w:val="center"/>
                </w:tcPr>
                <w:p w14:paraId="33292088">
                  <w:pPr>
                    <w:jc w:val="center"/>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颗粒物</w:t>
                  </w:r>
                </w:p>
              </w:tc>
              <w:tc>
                <w:tcPr>
                  <w:tcW w:w="1084" w:type="dxa"/>
                  <w:vAlign w:val="center"/>
                </w:tcPr>
                <w:p w14:paraId="1C30937E">
                  <w:pPr>
                    <w:pStyle w:val="200"/>
                    <w:spacing w:before="24" w:after="24"/>
                    <w:jc w:val="center"/>
                    <w:rPr>
                      <w:rFonts w:hint="default" w:ascii="Times New Roman" w:hAnsi="Times New Roman" w:cs="Times New Roman"/>
                      <w:color w:val="auto"/>
                      <w:sz w:val="18"/>
                      <w:szCs w:val="16"/>
                      <w:highlight w:val="none"/>
                      <w:lang w:val="en-US" w:eastAsia="zh-CN"/>
                    </w:rPr>
                  </w:pPr>
                  <w:r>
                    <w:rPr>
                      <w:rFonts w:hint="eastAsia" w:ascii="Times New Roman" w:cs="Times New Roman"/>
                      <w:color w:val="auto"/>
                      <w:sz w:val="18"/>
                      <w:szCs w:val="16"/>
                      <w:highlight w:val="none"/>
                      <w:lang w:val="en-US" w:eastAsia="zh-CN"/>
                    </w:rPr>
                    <w:t>1.34</w:t>
                  </w:r>
                </w:p>
              </w:tc>
              <w:tc>
                <w:tcPr>
                  <w:tcW w:w="1146" w:type="dxa"/>
                  <w:vAlign w:val="center"/>
                </w:tcPr>
                <w:p w14:paraId="250DB876">
                  <w:pPr>
                    <w:pStyle w:val="200"/>
                    <w:spacing w:before="24" w:after="24"/>
                    <w:jc w:val="center"/>
                    <w:rPr>
                      <w:rFonts w:hint="default" w:ascii="Times New Roman" w:hAnsi="Times New Roman" w:cs="Times New Roman"/>
                      <w:color w:val="auto"/>
                      <w:sz w:val="18"/>
                      <w:szCs w:val="16"/>
                      <w:highlight w:val="none"/>
                      <w:lang w:val="en-US" w:eastAsia="zh-CN"/>
                    </w:rPr>
                  </w:pPr>
                  <w:r>
                    <w:rPr>
                      <w:rFonts w:hint="eastAsia" w:ascii="Times New Roman" w:cs="Times New Roman"/>
                      <w:color w:val="auto"/>
                      <w:sz w:val="18"/>
                      <w:szCs w:val="16"/>
                      <w:highlight w:val="none"/>
                      <w:lang w:val="en-US" w:eastAsia="zh-CN"/>
                    </w:rPr>
                    <w:t>206.2</w:t>
                  </w:r>
                </w:p>
              </w:tc>
              <w:tc>
                <w:tcPr>
                  <w:tcW w:w="823" w:type="dxa"/>
                  <w:vAlign w:val="center"/>
                </w:tcPr>
                <w:p w14:paraId="0089267D">
                  <w:pPr>
                    <w:pStyle w:val="200"/>
                    <w:spacing w:before="24" w:after="24"/>
                    <w:jc w:val="center"/>
                    <w:rPr>
                      <w:rFonts w:hint="default" w:ascii="Times New Roman" w:hAnsi="Times New Roman" w:eastAsia="宋体" w:cs="Times New Roman"/>
                      <w:color w:val="auto"/>
                      <w:sz w:val="18"/>
                      <w:szCs w:val="16"/>
                      <w:highlight w:val="none"/>
                      <w:lang w:val="en-US" w:eastAsia="zh-CN"/>
                    </w:rPr>
                  </w:pPr>
                  <w:r>
                    <w:rPr>
                      <w:rFonts w:hint="default" w:ascii="Times New Roman" w:hAnsi="Times New Roman" w:cs="Times New Roman"/>
                      <w:color w:val="auto"/>
                      <w:sz w:val="18"/>
                      <w:szCs w:val="16"/>
                      <w:highlight w:val="none"/>
                      <w:lang w:val="en-US" w:eastAsia="zh-CN"/>
                    </w:rPr>
                    <w:t>1</w:t>
                  </w:r>
                </w:p>
              </w:tc>
              <w:tc>
                <w:tcPr>
                  <w:tcW w:w="823" w:type="dxa"/>
                  <w:vAlign w:val="center"/>
                </w:tcPr>
                <w:p w14:paraId="71837AC3">
                  <w:pPr>
                    <w:pStyle w:val="200"/>
                    <w:spacing w:before="24" w:after="24"/>
                    <w:jc w:val="center"/>
                    <w:rPr>
                      <w:rFonts w:hint="default" w:ascii="Times New Roman" w:hAnsi="Times New Roman" w:eastAsia="宋体" w:cs="Times New Roman"/>
                      <w:color w:val="auto"/>
                      <w:sz w:val="18"/>
                      <w:szCs w:val="16"/>
                      <w:highlight w:val="none"/>
                      <w:lang w:val="en-US" w:eastAsia="zh-CN"/>
                    </w:rPr>
                  </w:pPr>
                  <w:r>
                    <w:rPr>
                      <w:rFonts w:hint="default" w:ascii="Times New Roman" w:hAnsi="Times New Roman" w:cs="Times New Roman"/>
                      <w:color w:val="auto"/>
                      <w:sz w:val="18"/>
                      <w:szCs w:val="16"/>
                      <w:highlight w:val="none"/>
                      <w:lang w:val="en-US" w:eastAsia="zh-CN"/>
                    </w:rPr>
                    <w:t>2</w:t>
                  </w:r>
                </w:p>
              </w:tc>
              <w:tc>
                <w:tcPr>
                  <w:tcW w:w="823" w:type="dxa"/>
                  <w:vAlign w:val="center"/>
                </w:tcPr>
                <w:p w14:paraId="4489167A">
                  <w:pPr>
                    <w:pStyle w:val="200"/>
                    <w:spacing w:before="24" w:after="24"/>
                    <w:jc w:val="center"/>
                    <w:rPr>
                      <w:rFonts w:hint="default" w:ascii="Times New Roman" w:hAnsi="Times New Roman" w:eastAsia="宋体" w:cs="Times New Roman"/>
                      <w:color w:val="auto"/>
                      <w:sz w:val="18"/>
                      <w:szCs w:val="16"/>
                      <w:highlight w:val="none"/>
                      <w:lang w:val="en-US" w:eastAsia="zh-CN"/>
                    </w:rPr>
                  </w:pPr>
                  <w:r>
                    <w:rPr>
                      <w:rFonts w:hint="default" w:ascii="Times New Roman" w:hAnsi="Times New Roman" w:eastAsia="宋体" w:cs="Times New Roman"/>
                      <w:i w:val="0"/>
                      <w:iCs w:val="0"/>
                      <w:color w:val="auto"/>
                      <w:kern w:val="0"/>
                      <w:sz w:val="18"/>
                      <w:szCs w:val="16"/>
                      <w:highlight w:val="none"/>
                      <w:u w:val="none"/>
                      <w:lang w:val="en-US" w:eastAsia="zh-CN" w:bidi="ar"/>
                    </w:rPr>
                    <w:t>2.68</w:t>
                  </w:r>
                </w:p>
              </w:tc>
              <w:tc>
                <w:tcPr>
                  <w:tcW w:w="823" w:type="dxa"/>
                  <w:vMerge w:val="restart"/>
                  <w:vAlign w:val="center"/>
                </w:tcPr>
                <w:p w14:paraId="0D1A8AA5">
                  <w:pPr>
                    <w:pStyle w:val="200"/>
                    <w:spacing w:before="24" w:after="24"/>
                    <w:jc w:val="center"/>
                    <w:rPr>
                      <w:rFonts w:hint="default" w:ascii="Times New Roman" w:hAnsi="Times New Roman" w:cs="Times New Roman"/>
                      <w:color w:val="auto"/>
                      <w:sz w:val="18"/>
                      <w:szCs w:val="16"/>
                      <w:highlight w:val="none"/>
                    </w:rPr>
                  </w:pPr>
                  <w:r>
                    <w:rPr>
                      <w:rFonts w:hint="default" w:ascii="Times New Roman" w:hAnsi="Times New Roman" w:cs="Times New Roman"/>
                      <w:color w:val="auto"/>
                      <w:sz w:val="18"/>
                      <w:szCs w:val="16"/>
                      <w:highlight w:val="none"/>
                    </w:rPr>
                    <w:t>立即启动紧急停车装置</w:t>
                  </w:r>
                </w:p>
              </w:tc>
            </w:tr>
            <w:tr w14:paraId="20419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7" w:hRule="atLeast"/>
                <w:jc w:val="center"/>
              </w:trPr>
              <w:tc>
                <w:tcPr>
                  <w:tcW w:w="1015" w:type="dxa"/>
                  <w:vMerge w:val="continue"/>
                  <w:vAlign w:val="center"/>
                </w:tcPr>
                <w:p w14:paraId="0785B8A9">
                  <w:pPr>
                    <w:pStyle w:val="200"/>
                    <w:spacing w:before="24" w:after="24"/>
                    <w:jc w:val="center"/>
                    <w:rPr>
                      <w:rFonts w:hint="default" w:ascii="Times New Roman" w:hAnsi="Times New Roman" w:cs="Times New Roman"/>
                      <w:color w:val="auto"/>
                      <w:sz w:val="18"/>
                      <w:szCs w:val="16"/>
                      <w:highlight w:val="none"/>
                    </w:rPr>
                  </w:pPr>
                </w:p>
              </w:tc>
              <w:tc>
                <w:tcPr>
                  <w:tcW w:w="1014" w:type="dxa"/>
                  <w:vMerge w:val="continue"/>
                  <w:vAlign w:val="center"/>
                </w:tcPr>
                <w:p w14:paraId="23C12670">
                  <w:pPr>
                    <w:pStyle w:val="200"/>
                    <w:spacing w:before="24" w:after="24"/>
                    <w:jc w:val="center"/>
                    <w:rPr>
                      <w:rFonts w:hint="eastAsia" w:ascii="Times New Roman" w:cs="Times New Roman"/>
                      <w:color w:val="auto"/>
                      <w:sz w:val="18"/>
                      <w:szCs w:val="18"/>
                      <w:highlight w:val="none"/>
                      <w:lang w:val="en-US" w:eastAsia="zh-CN"/>
                    </w:rPr>
                  </w:pPr>
                </w:p>
              </w:tc>
              <w:tc>
                <w:tcPr>
                  <w:tcW w:w="815" w:type="dxa"/>
                  <w:vAlign w:val="center"/>
                </w:tcPr>
                <w:p w14:paraId="48E975CA">
                  <w:pPr>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氨</w:t>
                  </w:r>
                </w:p>
              </w:tc>
              <w:tc>
                <w:tcPr>
                  <w:tcW w:w="1084" w:type="dxa"/>
                  <w:vAlign w:val="center"/>
                </w:tcPr>
                <w:p w14:paraId="68C3342D">
                  <w:pPr>
                    <w:pStyle w:val="200"/>
                    <w:spacing w:before="24" w:after="24"/>
                    <w:jc w:val="center"/>
                    <w:rPr>
                      <w:rFonts w:hint="default" w:ascii="Times New Roman" w:hAns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1.11</w:t>
                  </w:r>
                </w:p>
              </w:tc>
              <w:tc>
                <w:tcPr>
                  <w:tcW w:w="1146" w:type="dxa"/>
                  <w:vAlign w:val="center"/>
                </w:tcPr>
                <w:p w14:paraId="20DF0102">
                  <w:pPr>
                    <w:pStyle w:val="200"/>
                    <w:spacing w:before="24" w:after="24"/>
                    <w:jc w:val="center"/>
                    <w:rPr>
                      <w:rFonts w:hint="default" w:ascii="Times New Roman" w:hAnsi="Times New Roman" w:cs="Times New Roman"/>
                      <w:color w:val="auto"/>
                      <w:sz w:val="18"/>
                      <w:szCs w:val="16"/>
                      <w:highlight w:val="none"/>
                      <w:lang w:val="en-US" w:eastAsia="zh-CN"/>
                    </w:rPr>
                  </w:pPr>
                  <w:r>
                    <w:rPr>
                      <w:rFonts w:hint="eastAsia" w:ascii="Times New Roman" w:cs="Times New Roman"/>
                      <w:color w:val="auto"/>
                      <w:sz w:val="18"/>
                      <w:szCs w:val="16"/>
                      <w:highlight w:val="none"/>
                      <w:lang w:val="en-US" w:eastAsia="zh-CN"/>
                    </w:rPr>
                    <w:t>170.8</w:t>
                  </w:r>
                </w:p>
              </w:tc>
              <w:tc>
                <w:tcPr>
                  <w:tcW w:w="823" w:type="dxa"/>
                  <w:vAlign w:val="center"/>
                </w:tcPr>
                <w:p w14:paraId="1C09E2C2">
                  <w:pPr>
                    <w:pStyle w:val="200"/>
                    <w:spacing w:before="24" w:after="24"/>
                    <w:jc w:val="center"/>
                    <w:rPr>
                      <w:rFonts w:hint="default" w:ascii="Times New Roman" w:hAnsi="Times New Roman" w:eastAsia="宋体" w:cs="Times New Roman"/>
                      <w:color w:val="auto"/>
                      <w:kern w:val="0"/>
                      <w:sz w:val="18"/>
                      <w:szCs w:val="16"/>
                      <w:highlight w:val="none"/>
                      <w:lang w:val="en-US" w:eastAsia="zh-CN" w:bidi="ar-SA"/>
                    </w:rPr>
                  </w:pPr>
                  <w:r>
                    <w:rPr>
                      <w:rFonts w:hint="default" w:ascii="Times New Roman" w:hAnsi="Times New Roman" w:cs="Times New Roman"/>
                      <w:color w:val="auto"/>
                      <w:sz w:val="18"/>
                      <w:szCs w:val="16"/>
                      <w:highlight w:val="none"/>
                      <w:lang w:val="en-US" w:eastAsia="zh-CN"/>
                    </w:rPr>
                    <w:t>1</w:t>
                  </w:r>
                </w:p>
              </w:tc>
              <w:tc>
                <w:tcPr>
                  <w:tcW w:w="823" w:type="dxa"/>
                  <w:vAlign w:val="center"/>
                </w:tcPr>
                <w:p w14:paraId="63A6236C">
                  <w:pPr>
                    <w:pStyle w:val="200"/>
                    <w:spacing w:before="24" w:after="24"/>
                    <w:jc w:val="center"/>
                    <w:rPr>
                      <w:rFonts w:hint="default" w:ascii="Times New Roman" w:hAnsi="Times New Roman" w:eastAsia="宋体" w:cs="Times New Roman"/>
                      <w:color w:val="auto"/>
                      <w:kern w:val="0"/>
                      <w:sz w:val="18"/>
                      <w:szCs w:val="16"/>
                      <w:highlight w:val="none"/>
                      <w:lang w:val="en-US" w:eastAsia="zh-CN" w:bidi="ar-SA"/>
                    </w:rPr>
                  </w:pPr>
                  <w:r>
                    <w:rPr>
                      <w:rFonts w:hint="default" w:ascii="Times New Roman" w:hAnsi="Times New Roman" w:cs="Times New Roman"/>
                      <w:color w:val="auto"/>
                      <w:sz w:val="18"/>
                      <w:szCs w:val="16"/>
                      <w:highlight w:val="none"/>
                      <w:lang w:val="en-US" w:eastAsia="zh-CN"/>
                    </w:rPr>
                    <w:t>2</w:t>
                  </w:r>
                </w:p>
              </w:tc>
              <w:tc>
                <w:tcPr>
                  <w:tcW w:w="823" w:type="dxa"/>
                  <w:vAlign w:val="center"/>
                </w:tcPr>
                <w:p w14:paraId="41DAA538">
                  <w:pPr>
                    <w:pStyle w:val="200"/>
                    <w:spacing w:before="24" w:after="24"/>
                    <w:jc w:val="center"/>
                    <w:rPr>
                      <w:rFonts w:hint="default" w:ascii="Times New Roman" w:hAnsi="Times New Roman" w:eastAsia="宋体" w:cs="Times New Roman"/>
                      <w:color w:val="auto"/>
                      <w:sz w:val="18"/>
                      <w:szCs w:val="16"/>
                      <w:highlight w:val="none"/>
                      <w:lang w:val="en-US" w:eastAsia="zh-CN"/>
                    </w:rPr>
                  </w:pPr>
                  <w:r>
                    <w:rPr>
                      <w:rFonts w:hint="default" w:ascii="Times New Roman" w:hAnsi="Times New Roman" w:eastAsia="宋体" w:cs="Times New Roman"/>
                      <w:i w:val="0"/>
                      <w:iCs w:val="0"/>
                      <w:color w:val="auto"/>
                      <w:kern w:val="0"/>
                      <w:sz w:val="18"/>
                      <w:szCs w:val="16"/>
                      <w:highlight w:val="none"/>
                      <w:u w:val="none"/>
                      <w:lang w:val="en-US" w:eastAsia="zh-CN" w:bidi="ar"/>
                    </w:rPr>
                    <w:t>2.22</w:t>
                  </w:r>
                </w:p>
              </w:tc>
              <w:tc>
                <w:tcPr>
                  <w:tcW w:w="823" w:type="dxa"/>
                  <w:vMerge w:val="continue"/>
                  <w:vAlign w:val="center"/>
                </w:tcPr>
                <w:p w14:paraId="120E1694">
                  <w:pPr>
                    <w:pStyle w:val="200"/>
                    <w:spacing w:before="24" w:after="24"/>
                    <w:jc w:val="center"/>
                    <w:rPr>
                      <w:rFonts w:hint="default" w:ascii="Times New Roman" w:hAnsi="Times New Roman" w:cs="Times New Roman"/>
                      <w:color w:val="auto"/>
                      <w:sz w:val="18"/>
                      <w:szCs w:val="16"/>
                      <w:highlight w:val="none"/>
                      <w:lang w:eastAsia="zh-CN"/>
                    </w:rPr>
                  </w:pPr>
                </w:p>
              </w:tc>
            </w:tr>
            <w:tr w14:paraId="12260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015" w:type="dxa"/>
                  <w:vMerge w:val="continue"/>
                  <w:vAlign w:val="center"/>
                </w:tcPr>
                <w:p w14:paraId="335BA7A7">
                  <w:pPr>
                    <w:pStyle w:val="200"/>
                    <w:spacing w:before="24" w:after="24"/>
                    <w:jc w:val="center"/>
                    <w:rPr>
                      <w:rFonts w:hint="default" w:ascii="Times New Roman" w:hAnsi="Times New Roman" w:cs="Times New Roman"/>
                      <w:color w:val="auto"/>
                      <w:sz w:val="18"/>
                      <w:szCs w:val="16"/>
                      <w:highlight w:val="none"/>
                    </w:rPr>
                  </w:pPr>
                </w:p>
              </w:tc>
              <w:tc>
                <w:tcPr>
                  <w:tcW w:w="1014" w:type="dxa"/>
                  <w:vAlign w:val="center"/>
                </w:tcPr>
                <w:p w14:paraId="57E81B4A">
                  <w:pPr>
                    <w:pStyle w:val="200"/>
                    <w:spacing w:before="24" w:after="24"/>
                    <w:jc w:val="center"/>
                    <w:rPr>
                      <w:rFonts w:hint="default" w:ascii="Times New Roman" w:hAnsi="Times New Roman" w:eastAsia="宋体"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布袋除尘器</w:t>
                  </w:r>
                  <w:r>
                    <w:rPr>
                      <w:rFonts w:hint="default" w:ascii="Times New Roman" w:hAnsi="Times New Roman" w:cs="Times New Roman"/>
                      <w:color w:val="auto"/>
                      <w:sz w:val="18"/>
                      <w:szCs w:val="16"/>
                      <w:highlight w:val="none"/>
                    </w:rPr>
                    <w:t>运转异常</w:t>
                  </w:r>
                  <w:r>
                    <w:rPr>
                      <w:rFonts w:hint="eastAsia" w:ascii="Times New Roman" w:hAnsi="Times New Roman" w:cs="Times New Roman"/>
                      <w:color w:val="auto"/>
                      <w:sz w:val="18"/>
                      <w:szCs w:val="16"/>
                      <w:highlight w:val="none"/>
                      <w:lang w:eastAsia="zh-CN"/>
                    </w:rPr>
                    <w:t>，</w:t>
                  </w:r>
                  <w:r>
                    <w:rPr>
                      <w:rFonts w:hint="eastAsia" w:ascii="Times New Roman" w:hAnsi="Times New Roman" w:cs="Times New Roman"/>
                      <w:color w:val="auto"/>
                      <w:sz w:val="18"/>
                      <w:szCs w:val="16"/>
                      <w:highlight w:val="none"/>
                      <w:lang w:val="en-US" w:eastAsia="zh-CN"/>
                    </w:rPr>
                    <w:t>仅剩水喷淋，除尘效率为70</w:t>
                  </w:r>
                </w:p>
              </w:tc>
              <w:tc>
                <w:tcPr>
                  <w:tcW w:w="815" w:type="dxa"/>
                  <w:vAlign w:val="center"/>
                </w:tcPr>
                <w:p w14:paraId="54A68DD4">
                  <w:pPr>
                    <w:jc w:val="center"/>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颗粒物</w:t>
                  </w:r>
                </w:p>
              </w:tc>
              <w:tc>
                <w:tcPr>
                  <w:tcW w:w="1084" w:type="dxa"/>
                  <w:vAlign w:val="center"/>
                </w:tcPr>
                <w:p w14:paraId="6328B9BA">
                  <w:pPr>
                    <w:pStyle w:val="200"/>
                    <w:spacing w:before="24" w:after="24"/>
                    <w:jc w:val="center"/>
                    <w:rPr>
                      <w:rFonts w:hint="default" w:ascii="Times New Roman" w:hAns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0.403</w:t>
                  </w:r>
                </w:p>
              </w:tc>
              <w:tc>
                <w:tcPr>
                  <w:tcW w:w="1146" w:type="dxa"/>
                  <w:vAlign w:val="center"/>
                </w:tcPr>
                <w:p w14:paraId="74C75CDF">
                  <w:pPr>
                    <w:pStyle w:val="200"/>
                    <w:spacing w:before="24" w:after="24"/>
                    <w:jc w:val="center"/>
                    <w:rPr>
                      <w:rFonts w:hint="default" w:ascii="Times New Roman" w:hAnsi="Times New Roman" w:cs="Times New Roman"/>
                      <w:color w:val="auto"/>
                      <w:sz w:val="18"/>
                      <w:szCs w:val="16"/>
                      <w:highlight w:val="none"/>
                      <w:lang w:val="en-US" w:eastAsia="zh-CN"/>
                    </w:rPr>
                  </w:pPr>
                  <w:r>
                    <w:rPr>
                      <w:rFonts w:hint="eastAsia" w:ascii="Times New Roman" w:cs="Times New Roman"/>
                      <w:color w:val="auto"/>
                      <w:sz w:val="18"/>
                      <w:szCs w:val="16"/>
                      <w:highlight w:val="none"/>
                      <w:lang w:val="en-US" w:eastAsia="zh-CN"/>
                    </w:rPr>
                    <w:t>62</w:t>
                  </w:r>
                </w:p>
              </w:tc>
              <w:tc>
                <w:tcPr>
                  <w:tcW w:w="823" w:type="dxa"/>
                  <w:vAlign w:val="center"/>
                </w:tcPr>
                <w:p w14:paraId="5E5F0BED">
                  <w:pPr>
                    <w:pStyle w:val="200"/>
                    <w:spacing w:before="24" w:after="24"/>
                    <w:jc w:val="center"/>
                    <w:rPr>
                      <w:rFonts w:hint="default" w:ascii="Times New Roman" w:hAnsi="Times New Roman" w:cs="Times New Roman"/>
                      <w:color w:val="auto"/>
                      <w:sz w:val="18"/>
                      <w:szCs w:val="16"/>
                      <w:highlight w:val="none"/>
                    </w:rPr>
                  </w:pPr>
                  <w:r>
                    <w:rPr>
                      <w:rFonts w:hint="default" w:ascii="Times New Roman" w:hAnsi="Times New Roman" w:cs="Times New Roman"/>
                      <w:color w:val="auto"/>
                      <w:sz w:val="18"/>
                      <w:szCs w:val="16"/>
                      <w:highlight w:val="none"/>
                      <w:lang w:val="en-US" w:eastAsia="zh-CN"/>
                    </w:rPr>
                    <w:t>1</w:t>
                  </w:r>
                </w:p>
              </w:tc>
              <w:tc>
                <w:tcPr>
                  <w:tcW w:w="823" w:type="dxa"/>
                  <w:vAlign w:val="center"/>
                </w:tcPr>
                <w:p w14:paraId="077AEDB0">
                  <w:pPr>
                    <w:pStyle w:val="200"/>
                    <w:spacing w:before="24" w:after="24"/>
                    <w:jc w:val="center"/>
                    <w:rPr>
                      <w:rFonts w:hint="default" w:ascii="Times New Roman" w:hAnsi="Times New Roman" w:cs="Times New Roman"/>
                      <w:color w:val="auto"/>
                      <w:sz w:val="18"/>
                      <w:szCs w:val="16"/>
                      <w:highlight w:val="none"/>
                    </w:rPr>
                  </w:pPr>
                  <w:r>
                    <w:rPr>
                      <w:rFonts w:hint="default" w:ascii="Times New Roman" w:hAnsi="Times New Roman" w:cs="Times New Roman"/>
                      <w:color w:val="auto"/>
                      <w:sz w:val="18"/>
                      <w:szCs w:val="16"/>
                      <w:highlight w:val="none"/>
                      <w:lang w:val="en-US" w:eastAsia="zh-CN"/>
                    </w:rPr>
                    <w:t>2</w:t>
                  </w:r>
                </w:p>
              </w:tc>
              <w:tc>
                <w:tcPr>
                  <w:tcW w:w="823" w:type="dxa"/>
                  <w:vAlign w:val="center"/>
                </w:tcPr>
                <w:p w14:paraId="65513901">
                  <w:pPr>
                    <w:pStyle w:val="200"/>
                    <w:spacing w:before="24" w:after="24"/>
                    <w:jc w:val="center"/>
                    <w:rPr>
                      <w:rFonts w:hint="default" w:ascii="Times New Roman" w:hAnsi="Times New Roman" w:eastAsia="宋体" w:cs="Times New Roman"/>
                      <w:color w:val="auto"/>
                      <w:sz w:val="18"/>
                      <w:szCs w:val="16"/>
                      <w:highlight w:val="none"/>
                      <w:lang w:val="en-US" w:eastAsia="zh-CN"/>
                    </w:rPr>
                  </w:pPr>
                  <w:r>
                    <w:rPr>
                      <w:rFonts w:hint="default" w:ascii="Times New Roman" w:hAnsi="Times New Roman" w:eastAsia="宋体" w:cs="Times New Roman"/>
                      <w:i w:val="0"/>
                      <w:iCs w:val="0"/>
                      <w:color w:val="auto"/>
                      <w:kern w:val="0"/>
                      <w:sz w:val="18"/>
                      <w:szCs w:val="16"/>
                      <w:highlight w:val="none"/>
                      <w:u w:val="none"/>
                      <w:lang w:val="en-US" w:eastAsia="zh-CN" w:bidi="ar"/>
                    </w:rPr>
                    <w:t>0.806</w:t>
                  </w:r>
                </w:p>
              </w:tc>
              <w:tc>
                <w:tcPr>
                  <w:tcW w:w="823" w:type="dxa"/>
                  <w:vAlign w:val="center"/>
                </w:tcPr>
                <w:p w14:paraId="32CFA224">
                  <w:pPr>
                    <w:pStyle w:val="200"/>
                    <w:spacing w:before="24" w:after="24"/>
                    <w:jc w:val="center"/>
                    <w:rPr>
                      <w:rFonts w:hint="default" w:ascii="Times New Roman" w:hAnsi="Times New Roman" w:cs="Times New Roman"/>
                      <w:color w:val="auto"/>
                      <w:sz w:val="18"/>
                      <w:szCs w:val="16"/>
                      <w:highlight w:val="none"/>
                      <w:lang w:eastAsia="zh-CN"/>
                    </w:rPr>
                  </w:pPr>
                  <w:r>
                    <w:rPr>
                      <w:rFonts w:hint="default" w:ascii="Times New Roman" w:hAnsi="Times New Roman" w:cs="Times New Roman"/>
                      <w:color w:val="auto"/>
                      <w:sz w:val="18"/>
                      <w:szCs w:val="16"/>
                      <w:highlight w:val="none"/>
                    </w:rPr>
                    <w:t>立即启动紧急停车装置</w:t>
                  </w:r>
                </w:p>
              </w:tc>
            </w:tr>
            <w:tr w14:paraId="01FB4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015" w:type="dxa"/>
                  <w:vMerge w:val="continue"/>
                  <w:vAlign w:val="center"/>
                </w:tcPr>
                <w:p w14:paraId="5E71C44B">
                  <w:pPr>
                    <w:pStyle w:val="200"/>
                    <w:spacing w:before="24" w:after="24"/>
                    <w:jc w:val="center"/>
                    <w:rPr>
                      <w:rFonts w:hint="default" w:ascii="Times New Roman" w:hAnsi="Times New Roman" w:cs="Times New Roman"/>
                      <w:color w:val="auto"/>
                      <w:sz w:val="18"/>
                      <w:szCs w:val="16"/>
                      <w:highlight w:val="none"/>
                    </w:rPr>
                  </w:pPr>
                </w:p>
              </w:tc>
              <w:tc>
                <w:tcPr>
                  <w:tcW w:w="1014" w:type="dxa"/>
                  <w:vMerge w:val="restart"/>
                  <w:vAlign w:val="center"/>
                </w:tcPr>
                <w:p w14:paraId="59F33271">
                  <w:pPr>
                    <w:pStyle w:val="200"/>
                    <w:spacing w:before="24" w:after="24"/>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6"/>
                      <w:highlight w:val="none"/>
                      <w:lang w:val="en-US" w:eastAsia="zh-CN"/>
                    </w:rPr>
                    <w:t>水喷淋</w:t>
                  </w:r>
                  <w:r>
                    <w:rPr>
                      <w:rFonts w:hint="default" w:ascii="Times New Roman" w:hAnsi="Times New Roman" w:cs="Times New Roman"/>
                      <w:color w:val="auto"/>
                      <w:sz w:val="18"/>
                      <w:szCs w:val="16"/>
                      <w:highlight w:val="none"/>
                    </w:rPr>
                    <w:t>运转异常</w:t>
                  </w:r>
                  <w:r>
                    <w:rPr>
                      <w:rFonts w:hint="eastAsia" w:ascii="Times New Roman" w:hAnsi="Times New Roman" w:cs="Times New Roman"/>
                      <w:color w:val="auto"/>
                      <w:sz w:val="18"/>
                      <w:szCs w:val="16"/>
                      <w:highlight w:val="none"/>
                      <w:lang w:eastAsia="zh-CN"/>
                    </w:rPr>
                    <w:t>，</w:t>
                  </w:r>
                  <w:r>
                    <w:rPr>
                      <w:rFonts w:hint="eastAsia" w:ascii="Times New Roman" w:hAnsi="Times New Roman" w:cs="Times New Roman"/>
                      <w:color w:val="auto"/>
                      <w:sz w:val="18"/>
                      <w:szCs w:val="16"/>
                      <w:highlight w:val="none"/>
                      <w:lang w:val="en-US" w:eastAsia="zh-CN"/>
                    </w:rPr>
                    <w:t>仅剩</w:t>
                  </w:r>
                  <w:r>
                    <w:rPr>
                      <w:rFonts w:hint="eastAsia" w:ascii="Times New Roman" w:cs="Times New Roman"/>
                      <w:color w:val="auto"/>
                      <w:sz w:val="18"/>
                      <w:szCs w:val="18"/>
                      <w:highlight w:val="none"/>
                      <w:lang w:val="en-US" w:eastAsia="zh-CN"/>
                    </w:rPr>
                    <w:t>布袋除尘器</w:t>
                  </w:r>
                  <w:r>
                    <w:rPr>
                      <w:rFonts w:hint="eastAsia" w:ascii="Times New Roman" w:hAnsi="Times New Roman" w:cs="Times New Roman"/>
                      <w:color w:val="auto"/>
                      <w:sz w:val="18"/>
                      <w:szCs w:val="16"/>
                      <w:highlight w:val="none"/>
                      <w:lang w:val="en-US" w:eastAsia="zh-CN"/>
                    </w:rPr>
                    <w:t>，除尘效率为99，氨处理效率为0</w:t>
                  </w:r>
                </w:p>
              </w:tc>
              <w:tc>
                <w:tcPr>
                  <w:tcW w:w="815" w:type="dxa"/>
                  <w:vAlign w:val="center"/>
                </w:tcPr>
                <w:p w14:paraId="4A03466B">
                  <w:pPr>
                    <w:jc w:val="center"/>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颗粒物</w:t>
                  </w:r>
                </w:p>
              </w:tc>
              <w:tc>
                <w:tcPr>
                  <w:tcW w:w="1084" w:type="dxa"/>
                  <w:vAlign w:val="center"/>
                </w:tcPr>
                <w:p w14:paraId="0407A648">
                  <w:pPr>
                    <w:pStyle w:val="200"/>
                    <w:spacing w:before="24" w:after="24"/>
                    <w:jc w:val="center"/>
                    <w:rPr>
                      <w:rFonts w:hint="default" w:ascii="Times New Roman" w:hAnsi="Times New Roman" w:cs="Times New Roman"/>
                      <w:color w:val="auto"/>
                      <w:sz w:val="18"/>
                      <w:szCs w:val="18"/>
                      <w:highlight w:val="none"/>
                      <w:lang w:val="en-US" w:eastAsia="zh-CN"/>
                    </w:rPr>
                  </w:pPr>
                  <w:r>
                    <w:rPr>
                      <w:rFonts w:hint="eastAsia" w:ascii="Times New Roman" w:cs="Times New Roman"/>
                      <w:color w:val="auto"/>
                      <w:sz w:val="18"/>
                      <w:szCs w:val="18"/>
                      <w:highlight w:val="none"/>
                      <w:lang w:val="en-US" w:eastAsia="zh-CN"/>
                    </w:rPr>
                    <w:t>0.014</w:t>
                  </w:r>
                </w:p>
              </w:tc>
              <w:tc>
                <w:tcPr>
                  <w:tcW w:w="1146" w:type="dxa"/>
                  <w:vAlign w:val="center"/>
                </w:tcPr>
                <w:p w14:paraId="0C25787A">
                  <w:pPr>
                    <w:pStyle w:val="200"/>
                    <w:spacing w:before="24" w:after="24"/>
                    <w:jc w:val="center"/>
                    <w:rPr>
                      <w:rFonts w:hint="default" w:ascii="Times New Roman" w:hAnsi="Times New Roman" w:cs="Times New Roman"/>
                      <w:color w:val="auto"/>
                      <w:sz w:val="18"/>
                      <w:szCs w:val="16"/>
                      <w:highlight w:val="none"/>
                      <w:lang w:val="en-US" w:eastAsia="zh-CN"/>
                    </w:rPr>
                  </w:pPr>
                  <w:r>
                    <w:rPr>
                      <w:rFonts w:hint="eastAsia" w:ascii="Times New Roman" w:cs="Times New Roman"/>
                      <w:color w:val="auto"/>
                      <w:sz w:val="18"/>
                      <w:szCs w:val="16"/>
                      <w:highlight w:val="none"/>
                      <w:lang w:val="en-US" w:eastAsia="zh-CN"/>
                    </w:rPr>
                    <w:t>2.2</w:t>
                  </w:r>
                </w:p>
              </w:tc>
              <w:tc>
                <w:tcPr>
                  <w:tcW w:w="823" w:type="dxa"/>
                  <w:vAlign w:val="center"/>
                </w:tcPr>
                <w:p w14:paraId="71290FF7">
                  <w:pPr>
                    <w:pStyle w:val="200"/>
                    <w:spacing w:before="24" w:after="24"/>
                    <w:jc w:val="center"/>
                    <w:rPr>
                      <w:rFonts w:hint="default" w:ascii="Times New Roman" w:hAnsi="Times New Roman" w:cs="Times New Roman"/>
                      <w:color w:val="auto"/>
                      <w:sz w:val="18"/>
                      <w:szCs w:val="16"/>
                      <w:highlight w:val="none"/>
                    </w:rPr>
                  </w:pPr>
                  <w:r>
                    <w:rPr>
                      <w:rFonts w:hint="default" w:ascii="Times New Roman" w:hAnsi="Times New Roman" w:cs="Times New Roman"/>
                      <w:color w:val="auto"/>
                      <w:sz w:val="18"/>
                      <w:szCs w:val="16"/>
                      <w:highlight w:val="none"/>
                      <w:lang w:val="en-US" w:eastAsia="zh-CN"/>
                    </w:rPr>
                    <w:t>1</w:t>
                  </w:r>
                </w:p>
              </w:tc>
              <w:tc>
                <w:tcPr>
                  <w:tcW w:w="823" w:type="dxa"/>
                  <w:vAlign w:val="center"/>
                </w:tcPr>
                <w:p w14:paraId="75AE9CE5">
                  <w:pPr>
                    <w:pStyle w:val="200"/>
                    <w:spacing w:before="24" w:after="24"/>
                    <w:jc w:val="center"/>
                    <w:rPr>
                      <w:rFonts w:hint="default" w:ascii="Times New Roman" w:hAnsi="Times New Roman" w:cs="Times New Roman"/>
                      <w:color w:val="auto"/>
                      <w:sz w:val="18"/>
                      <w:szCs w:val="16"/>
                      <w:highlight w:val="none"/>
                    </w:rPr>
                  </w:pPr>
                  <w:r>
                    <w:rPr>
                      <w:rFonts w:hint="default" w:ascii="Times New Roman" w:hAnsi="Times New Roman" w:cs="Times New Roman"/>
                      <w:color w:val="auto"/>
                      <w:sz w:val="18"/>
                      <w:szCs w:val="16"/>
                      <w:highlight w:val="none"/>
                      <w:lang w:val="en-US" w:eastAsia="zh-CN"/>
                    </w:rPr>
                    <w:t>2</w:t>
                  </w:r>
                </w:p>
              </w:tc>
              <w:tc>
                <w:tcPr>
                  <w:tcW w:w="823" w:type="dxa"/>
                  <w:vAlign w:val="center"/>
                </w:tcPr>
                <w:p w14:paraId="3C642261">
                  <w:pPr>
                    <w:pStyle w:val="200"/>
                    <w:spacing w:before="24" w:after="24"/>
                    <w:jc w:val="center"/>
                    <w:rPr>
                      <w:rFonts w:hint="default" w:ascii="Times New Roman" w:hAnsi="Times New Roman" w:eastAsia="宋体" w:cs="Times New Roman"/>
                      <w:color w:val="auto"/>
                      <w:sz w:val="18"/>
                      <w:szCs w:val="16"/>
                      <w:highlight w:val="none"/>
                      <w:lang w:val="en-US" w:eastAsia="zh-CN"/>
                    </w:rPr>
                  </w:pPr>
                  <w:r>
                    <w:rPr>
                      <w:rFonts w:hint="default" w:ascii="Times New Roman" w:hAnsi="Times New Roman" w:eastAsia="宋体" w:cs="Times New Roman"/>
                      <w:i w:val="0"/>
                      <w:iCs w:val="0"/>
                      <w:color w:val="auto"/>
                      <w:kern w:val="0"/>
                      <w:sz w:val="18"/>
                      <w:szCs w:val="16"/>
                      <w:highlight w:val="none"/>
                      <w:u w:val="none"/>
                      <w:lang w:val="en-US" w:eastAsia="zh-CN" w:bidi="ar"/>
                    </w:rPr>
                    <w:t>0.028</w:t>
                  </w:r>
                </w:p>
              </w:tc>
              <w:tc>
                <w:tcPr>
                  <w:tcW w:w="823" w:type="dxa"/>
                  <w:vMerge w:val="restart"/>
                  <w:vAlign w:val="center"/>
                </w:tcPr>
                <w:p w14:paraId="1B34A86E">
                  <w:pPr>
                    <w:pStyle w:val="200"/>
                    <w:spacing w:before="24" w:after="24"/>
                    <w:jc w:val="center"/>
                    <w:rPr>
                      <w:rFonts w:hint="default" w:ascii="Times New Roman" w:hAnsi="Times New Roman" w:cs="Times New Roman"/>
                      <w:color w:val="auto"/>
                      <w:sz w:val="18"/>
                      <w:szCs w:val="16"/>
                      <w:highlight w:val="none"/>
                    </w:rPr>
                  </w:pPr>
                  <w:r>
                    <w:rPr>
                      <w:rFonts w:hint="default" w:ascii="Times New Roman" w:hAnsi="Times New Roman" w:cs="Times New Roman"/>
                      <w:color w:val="auto"/>
                      <w:sz w:val="18"/>
                      <w:szCs w:val="16"/>
                      <w:highlight w:val="none"/>
                      <w:lang w:eastAsia="zh-CN"/>
                    </w:rPr>
                    <w:t>立即对设备进行维修处理</w:t>
                  </w:r>
                </w:p>
              </w:tc>
            </w:tr>
            <w:tr w14:paraId="0D108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015" w:type="dxa"/>
                  <w:vMerge w:val="continue"/>
                  <w:vAlign w:val="center"/>
                </w:tcPr>
                <w:p w14:paraId="3041EA75">
                  <w:pPr>
                    <w:pStyle w:val="200"/>
                    <w:spacing w:before="24" w:after="24"/>
                    <w:jc w:val="center"/>
                    <w:rPr>
                      <w:rFonts w:hint="default" w:ascii="Times New Roman" w:hAnsi="Times New Roman" w:cs="Times New Roman"/>
                      <w:color w:val="auto"/>
                      <w:sz w:val="18"/>
                      <w:szCs w:val="16"/>
                      <w:highlight w:val="none"/>
                    </w:rPr>
                  </w:pPr>
                </w:p>
              </w:tc>
              <w:tc>
                <w:tcPr>
                  <w:tcW w:w="1014" w:type="dxa"/>
                  <w:vMerge w:val="continue"/>
                  <w:vAlign w:val="center"/>
                </w:tcPr>
                <w:p w14:paraId="44156E82">
                  <w:pPr>
                    <w:pStyle w:val="200"/>
                    <w:spacing w:before="24" w:after="24"/>
                    <w:jc w:val="center"/>
                    <w:rPr>
                      <w:rFonts w:hint="default" w:ascii="Times New Roman" w:hAnsi="Times New Roman" w:cs="Times New Roman"/>
                      <w:color w:val="auto"/>
                      <w:sz w:val="18"/>
                      <w:szCs w:val="18"/>
                      <w:highlight w:val="none"/>
                      <w:lang w:val="en-US" w:eastAsia="zh-CN"/>
                    </w:rPr>
                  </w:pPr>
                </w:p>
              </w:tc>
              <w:tc>
                <w:tcPr>
                  <w:tcW w:w="815" w:type="dxa"/>
                  <w:vAlign w:val="center"/>
                </w:tcPr>
                <w:p w14:paraId="3742F11C">
                  <w:pPr>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氨</w:t>
                  </w:r>
                </w:p>
              </w:tc>
              <w:tc>
                <w:tcPr>
                  <w:tcW w:w="1084" w:type="dxa"/>
                  <w:shd w:val="clear" w:color="auto" w:fill="auto"/>
                  <w:vAlign w:val="center"/>
                </w:tcPr>
                <w:p w14:paraId="63877109">
                  <w:pPr>
                    <w:pStyle w:val="200"/>
                    <w:spacing w:before="24" w:after="24"/>
                    <w:jc w:val="center"/>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cs="Times New Roman"/>
                      <w:color w:val="auto"/>
                      <w:sz w:val="18"/>
                      <w:szCs w:val="18"/>
                      <w:highlight w:val="none"/>
                      <w:lang w:val="en-US" w:eastAsia="zh-CN"/>
                    </w:rPr>
                    <w:t>1.11</w:t>
                  </w:r>
                </w:p>
              </w:tc>
              <w:tc>
                <w:tcPr>
                  <w:tcW w:w="1146" w:type="dxa"/>
                  <w:shd w:val="clear" w:color="auto" w:fill="auto"/>
                  <w:vAlign w:val="center"/>
                </w:tcPr>
                <w:p w14:paraId="7E8D248F">
                  <w:pPr>
                    <w:pStyle w:val="200"/>
                    <w:spacing w:before="24" w:after="24"/>
                    <w:jc w:val="center"/>
                    <w:rPr>
                      <w:rFonts w:hint="default" w:ascii="Times New Roman" w:hAnsi="Times New Roman" w:eastAsia="宋体" w:cs="Times New Roman"/>
                      <w:color w:val="auto"/>
                      <w:kern w:val="0"/>
                      <w:sz w:val="18"/>
                      <w:szCs w:val="16"/>
                      <w:highlight w:val="none"/>
                      <w:lang w:val="en-US" w:eastAsia="zh-CN" w:bidi="ar-SA"/>
                    </w:rPr>
                  </w:pPr>
                  <w:r>
                    <w:rPr>
                      <w:rFonts w:hint="eastAsia" w:ascii="Times New Roman" w:cs="Times New Roman"/>
                      <w:color w:val="auto"/>
                      <w:sz w:val="18"/>
                      <w:szCs w:val="16"/>
                      <w:highlight w:val="none"/>
                      <w:lang w:val="en-US" w:eastAsia="zh-CN"/>
                    </w:rPr>
                    <w:t>170.8</w:t>
                  </w:r>
                </w:p>
              </w:tc>
              <w:tc>
                <w:tcPr>
                  <w:tcW w:w="823" w:type="dxa"/>
                  <w:shd w:val="clear" w:color="auto" w:fill="auto"/>
                  <w:vAlign w:val="center"/>
                </w:tcPr>
                <w:p w14:paraId="4D625614">
                  <w:pPr>
                    <w:pStyle w:val="200"/>
                    <w:spacing w:before="24" w:after="24"/>
                    <w:jc w:val="center"/>
                    <w:rPr>
                      <w:rFonts w:hint="default" w:ascii="Times New Roman" w:hAnsi="Times New Roman" w:eastAsia="宋体" w:cs="Times New Roman"/>
                      <w:color w:val="auto"/>
                      <w:kern w:val="0"/>
                      <w:sz w:val="18"/>
                      <w:szCs w:val="16"/>
                      <w:highlight w:val="none"/>
                      <w:lang w:val="en-US" w:eastAsia="zh-CN" w:bidi="ar-SA"/>
                    </w:rPr>
                  </w:pPr>
                  <w:r>
                    <w:rPr>
                      <w:rFonts w:hint="default" w:ascii="Times New Roman" w:hAnsi="Times New Roman" w:cs="Times New Roman"/>
                      <w:color w:val="auto"/>
                      <w:sz w:val="18"/>
                      <w:szCs w:val="16"/>
                      <w:highlight w:val="none"/>
                      <w:lang w:val="en-US" w:eastAsia="zh-CN"/>
                    </w:rPr>
                    <w:t>1</w:t>
                  </w:r>
                </w:p>
              </w:tc>
              <w:tc>
                <w:tcPr>
                  <w:tcW w:w="823" w:type="dxa"/>
                  <w:shd w:val="clear" w:color="auto" w:fill="auto"/>
                  <w:vAlign w:val="center"/>
                </w:tcPr>
                <w:p w14:paraId="396CC99D">
                  <w:pPr>
                    <w:pStyle w:val="200"/>
                    <w:spacing w:before="24" w:after="24"/>
                    <w:jc w:val="center"/>
                    <w:rPr>
                      <w:rFonts w:hint="default" w:ascii="Times New Roman" w:hAnsi="Times New Roman" w:eastAsia="宋体" w:cs="Times New Roman"/>
                      <w:color w:val="auto"/>
                      <w:kern w:val="0"/>
                      <w:sz w:val="18"/>
                      <w:szCs w:val="16"/>
                      <w:highlight w:val="none"/>
                      <w:lang w:val="en-US" w:eastAsia="zh-CN" w:bidi="ar-SA"/>
                    </w:rPr>
                  </w:pPr>
                  <w:r>
                    <w:rPr>
                      <w:rFonts w:hint="default" w:ascii="Times New Roman" w:hAnsi="Times New Roman" w:cs="Times New Roman"/>
                      <w:color w:val="auto"/>
                      <w:sz w:val="18"/>
                      <w:szCs w:val="16"/>
                      <w:highlight w:val="none"/>
                      <w:lang w:val="en-US" w:eastAsia="zh-CN"/>
                    </w:rPr>
                    <w:t>2</w:t>
                  </w:r>
                </w:p>
              </w:tc>
              <w:tc>
                <w:tcPr>
                  <w:tcW w:w="823" w:type="dxa"/>
                  <w:shd w:val="clear" w:color="auto" w:fill="auto"/>
                  <w:vAlign w:val="center"/>
                </w:tcPr>
                <w:p w14:paraId="5DE4E66F">
                  <w:pPr>
                    <w:pStyle w:val="200"/>
                    <w:spacing w:before="24" w:after="24"/>
                    <w:jc w:val="center"/>
                    <w:rPr>
                      <w:rFonts w:hint="default" w:ascii="Times New Roman" w:hAnsi="Times New Roman" w:eastAsia="宋体" w:cs="Times New Roman"/>
                      <w:color w:val="auto"/>
                      <w:kern w:val="0"/>
                      <w:sz w:val="18"/>
                      <w:szCs w:val="16"/>
                      <w:highlight w:val="none"/>
                      <w:lang w:val="en-US" w:eastAsia="zh-CN" w:bidi="ar-SA"/>
                    </w:rPr>
                  </w:pPr>
                  <w:r>
                    <w:rPr>
                      <w:rFonts w:hint="default" w:ascii="Times New Roman" w:hAnsi="Times New Roman" w:eastAsia="宋体" w:cs="Times New Roman"/>
                      <w:i w:val="0"/>
                      <w:iCs w:val="0"/>
                      <w:color w:val="auto"/>
                      <w:kern w:val="0"/>
                      <w:sz w:val="18"/>
                      <w:szCs w:val="16"/>
                      <w:highlight w:val="none"/>
                      <w:u w:val="none"/>
                      <w:lang w:val="en-US" w:eastAsia="zh-CN" w:bidi="ar"/>
                    </w:rPr>
                    <w:t>2.22</w:t>
                  </w:r>
                </w:p>
              </w:tc>
              <w:tc>
                <w:tcPr>
                  <w:tcW w:w="823" w:type="dxa"/>
                  <w:vMerge w:val="continue"/>
                  <w:vAlign w:val="center"/>
                </w:tcPr>
                <w:p w14:paraId="57D74DDC">
                  <w:pPr>
                    <w:pStyle w:val="200"/>
                    <w:spacing w:before="24" w:after="24"/>
                    <w:jc w:val="center"/>
                    <w:rPr>
                      <w:rFonts w:hint="default" w:ascii="Times New Roman" w:hAnsi="Times New Roman" w:cs="Times New Roman"/>
                      <w:color w:val="auto"/>
                      <w:sz w:val="18"/>
                      <w:szCs w:val="16"/>
                      <w:highlight w:val="none"/>
                    </w:rPr>
                  </w:pPr>
                </w:p>
              </w:tc>
            </w:tr>
            <w:tr w14:paraId="4A183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015" w:type="dxa"/>
                  <w:shd w:val="clear" w:color="auto" w:fill="auto"/>
                  <w:vAlign w:val="center"/>
                </w:tcPr>
                <w:p w14:paraId="64F10AB3">
                  <w:pPr>
                    <w:pStyle w:val="200"/>
                    <w:spacing w:before="24" w:after="24"/>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sz w:val="18"/>
                      <w:szCs w:val="16"/>
                      <w:highlight w:val="none"/>
                    </w:rPr>
                    <w:t>DA00</w:t>
                  </w:r>
                  <w:r>
                    <w:rPr>
                      <w:rFonts w:hint="eastAsia" w:ascii="Times New Roman" w:hAnsi="Times New Roman" w:cs="Times New Roman"/>
                      <w:color w:val="auto"/>
                      <w:sz w:val="18"/>
                      <w:szCs w:val="16"/>
                      <w:highlight w:val="none"/>
                      <w:lang w:val="en-US" w:eastAsia="zh-CN"/>
                    </w:rPr>
                    <w:t>2</w:t>
                  </w:r>
                  <w:r>
                    <w:rPr>
                      <w:rFonts w:hint="default" w:ascii="Times New Roman" w:hAnsi="Times New Roman" w:cs="Times New Roman"/>
                      <w:color w:val="auto"/>
                      <w:sz w:val="18"/>
                      <w:szCs w:val="16"/>
                      <w:highlight w:val="none"/>
                    </w:rPr>
                    <w:t>排气筒</w:t>
                  </w:r>
                </w:p>
              </w:tc>
              <w:tc>
                <w:tcPr>
                  <w:tcW w:w="1014" w:type="dxa"/>
                  <w:shd w:val="clear" w:color="auto" w:fill="auto"/>
                  <w:vAlign w:val="center"/>
                </w:tcPr>
                <w:p w14:paraId="5FAE9680">
                  <w:pPr>
                    <w:pStyle w:val="200"/>
                    <w:spacing w:before="24" w:after="24"/>
                    <w:jc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cs="Times New Roman"/>
                      <w:color w:val="auto"/>
                      <w:sz w:val="18"/>
                      <w:szCs w:val="18"/>
                      <w:highlight w:val="none"/>
                      <w:lang w:val="en-US" w:eastAsia="zh-CN"/>
                    </w:rPr>
                    <w:t>布袋除尘器</w:t>
                  </w:r>
                  <w:r>
                    <w:rPr>
                      <w:rFonts w:hint="default" w:ascii="Times New Roman" w:hAnsi="Times New Roman" w:cs="Times New Roman"/>
                      <w:color w:val="auto"/>
                      <w:sz w:val="18"/>
                      <w:szCs w:val="16"/>
                      <w:highlight w:val="none"/>
                    </w:rPr>
                    <w:t>运转异常</w:t>
                  </w:r>
                  <w:r>
                    <w:rPr>
                      <w:rFonts w:hint="default" w:ascii="Times New Roman" w:hAnsi="Times New Roman" w:cs="Times New Roman"/>
                      <w:color w:val="auto"/>
                      <w:sz w:val="18"/>
                      <w:szCs w:val="16"/>
                      <w:highlight w:val="none"/>
                      <w:lang w:eastAsia="zh-CN"/>
                    </w:rPr>
                    <w:t>，处理效率为</w:t>
                  </w:r>
                  <w:r>
                    <w:rPr>
                      <w:rFonts w:hint="default" w:ascii="Times New Roman" w:hAnsi="Times New Roman" w:cs="Times New Roman"/>
                      <w:color w:val="auto"/>
                      <w:sz w:val="18"/>
                      <w:szCs w:val="16"/>
                      <w:highlight w:val="none"/>
                      <w:lang w:val="en-US" w:eastAsia="zh-CN"/>
                    </w:rPr>
                    <w:t>0</w:t>
                  </w:r>
                </w:p>
              </w:tc>
              <w:tc>
                <w:tcPr>
                  <w:tcW w:w="815" w:type="dxa"/>
                  <w:shd w:val="clear" w:color="auto" w:fill="auto"/>
                  <w:vAlign w:val="center"/>
                </w:tcPr>
                <w:p w14:paraId="5F8FD13B">
                  <w:pPr>
                    <w:jc w:val="center"/>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颗粒物</w:t>
                  </w:r>
                </w:p>
              </w:tc>
              <w:tc>
                <w:tcPr>
                  <w:tcW w:w="1084" w:type="dxa"/>
                  <w:shd w:val="clear" w:color="auto" w:fill="auto"/>
                  <w:vAlign w:val="center"/>
                </w:tcPr>
                <w:p w14:paraId="6E830F56">
                  <w:pPr>
                    <w:pStyle w:val="200"/>
                    <w:spacing w:before="24" w:after="24"/>
                    <w:jc w:val="center"/>
                    <w:rPr>
                      <w:rFonts w:hint="default" w:ascii="Times New Roman" w:hAnsi="Times New Roman" w:eastAsia="宋体" w:cs="Times New Roman"/>
                      <w:color w:val="auto"/>
                      <w:kern w:val="0"/>
                      <w:sz w:val="18"/>
                      <w:szCs w:val="16"/>
                      <w:highlight w:val="none"/>
                      <w:lang w:val="en-US" w:eastAsia="zh-CN" w:bidi="ar-SA"/>
                    </w:rPr>
                  </w:pPr>
                  <w:r>
                    <w:rPr>
                      <w:rFonts w:hint="eastAsia" w:ascii="Times New Roman" w:cs="Times New Roman"/>
                      <w:color w:val="auto"/>
                      <w:kern w:val="0"/>
                      <w:sz w:val="18"/>
                      <w:szCs w:val="16"/>
                      <w:highlight w:val="none"/>
                      <w:lang w:val="en-US" w:eastAsia="zh-CN" w:bidi="ar-SA"/>
                    </w:rPr>
                    <w:t>3</w:t>
                  </w:r>
                </w:p>
              </w:tc>
              <w:tc>
                <w:tcPr>
                  <w:tcW w:w="1146" w:type="dxa"/>
                  <w:shd w:val="clear" w:color="auto" w:fill="auto"/>
                  <w:vAlign w:val="center"/>
                </w:tcPr>
                <w:p w14:paraId="4E112B08">
                  <w:pPr>
                    <w:pStyle w:val="200"/>
                    <w:spacing w:before="24" w:after="24"/>
                    <w:jc w:val="center"/>
                    <w:rPr>
                      <w:rFonts w:hint="default" w:ascii="Times New Roman" w:hAnsi="Times New Roman" w:eastAsia="宋体" w:cs="Times New Roman"/>
                      <w:color w:val="auto"/>
                      <w:kern w:val="0"/>
                      <w:sz w:val="18"/>
                      <w:szCs w:val="16"/>
                      <w:highlight w:val="none"/>
                      <w:lang w:val="en-US" w:eastAsia="zh-CN" w:bidi="ar-SA"/>
                    </w:rPr>
                  </w:pPr>
                  <w:r>
                    <w:rPr>
                      <w:rFonts w:hint="eastAsia" w:ascii="Times New Roman" w:cs="Times New Roman"/>
                      <w:color w:val="auto"/>
                      <w:kern w:val="0"/>
                      <w:sz w:val="18"/>
                      <w:szCs w:val="16"/>
                      <w:highlight w:val="none"/>
                      <w:lang w:val="en-US" w:eastAsia="zh-CN" w:bidi="ar-SA"/>
                    </w:rPr>
                    <w:t>250</w:t>
                  </w:r>
                </w:p>
              </w:tc>
              <w:tc>
                <w:tcPr>
                  <w:tcW w:w="823" w:type="dxa"/>
                  <w:shd w:val="clear" w:color="auto" w:fill="auto"/>
                  <w:vAlign w:val="center"/>
                </w:tcPr>
                <w:p w14:paraId="39C676F5">
                  <w:pPr>
                    <w:pStyle w:val="200"/>
                    <w:spacing w:before="24" w:after="24"/>
                    <w:jc w:val="center"/>
                    <w:rPr>
                      <w:rFonts w:hint="default" w:ascii="Times New Roman" w:hAnsi="Times New Roman" w:eastAsia="宋体" w:cs="Times New Roman"/>
                      <w:color w:val="auto"/>
                      <w:kern w:val="0"/>
                      <w:sz w:val="18"/>
                      <w:szCs w:val="16"/>
                      <w:highlight w:val="none"/>
                      <w:lang w:val="en-US" w:eastAsia="zh-CN" w:bidi="ar-SA"/>
                    </w:rPr>
                  </w:pPr>
                  <w:r>
                    <w:rPr>
                      <w:rFonts w:hint="default" w:ascii="Times New Roman" w:hAnsi="Times New Roman" w:cs="Times New Roman"/>
                      <w:color w:val="auto"/>
                      <w:sz w:val="18"/>
                      <w:szCs w:val="16"/>
                      <w:highlight w:val="none"/>
                    </w:rPr>
                    <w:t>1</w:t>
                  </w:r>
                </w:p>
              </w:tc>
              <w:tc>
                <w:tcPr>
                  <w:tcW w:w="823" w:type="dxa"/>
                  <w:shd w:val="clear" w:color="auto" w:fill="auto"/>
                  <w:vAlign w:val="center"/>
                </w:tcPr>
                <w:p w14:paraId="06B99210">
                  <w:pPr>
                    <w:pStyle w:val="200"/>
                    <w:spacing w:before="24" w:after="24"/>
                    <w:jc w:val="center"/>
                    <w:rPr>
                      <w:rFonts w:hint="default" w:ascii="Times New Roman" w:hAnsi="Times New Roman" w:eastAsia="宋体" w:cs="Times New Roman"/>
                      <w:color w:val="auto"/>
                      <w:kern w:val="0"/>
                      <w:sz w:val="18"/>
                      <w:szCs w:val="16"/>
                      <w:highlight w:val="none"/>
                      <w:lang w:val="en-US" w:eastAsia="zh-CN" w:bidi="ar-SA"/>
                    </w:rPr>
                  </w:pPr>
                  <w:r>
                    <w:rPr>
                      <w:rFonts w:hint="default" w:ascii="Times New Roman" w:hAnsi="Times New Roman" w:cs="Times New Roman"/>
                      <w:color w:val="auto"/>
                      <w:sz w:val="18"/>
                      <w:szCs w:val="16"/>
                      <w:highlight w:val="none"/>
                    </w:rPr>
                    <w:t>2</w:t>
                  </w:r>
                </w:p>
              </w:tc>
              <w:tc>
                <w:tcPr>
                  <w:tcW w:w="823" w:type="dxa"/>
                  <w:shd w:val="clear" w:color="auto" w:fill="auto"/>
                  <w:vAlign w:val="center"/>
                </w:tcPr>
                <w:p w14:paraId="4AED6846">
                  <w:pPr>
                    <w:pStyle w:val="200"/>
                    <w:spacing w:before="24" w:after="24"/>
                    <w:jc w:val="center"/>
                    <w:rPr>
                      <w:rFonts w:hint="default" w:ascii="Times New Roman" w:hAnsi="Times New Roman" w:eastAsia="宋体" w:cs="Times New Roman"/>
                      <w:color w:val="auto"/>
                      <w:kern w:val="0"/>
                      <w:sz w:val="18"/>
                      <w:szCs w:val="16"/>
                      <w:highlight w:val="none"/>
                      <w:lang w:val="en-US" w:eastAsia="zh-CN" w:bidi="ar-SA"/>
                    </w:rPr>
                  </w:pPr>
                  <w:r>
                    <w:rPr>
                      <w:rFonts w:hint="eastAsia" w:ascii="Times New Roman" w:cs="Times New Roman"/>
                      <w:color w:val="auto"/>
                      <w:kern w:val="0"/>
                      <w:sz w:val="18"/>
                      <w:szCs w:val="16"/>
                      <w:highlight w:val="none"/>
                      <w:lang w:val="en-US" w:eastAsia="zh-CN" w:bidi="ar-SA"/>
                    </w:rPr>
                    <w:t>6</w:t>
                  </w:r>
                </w:p>
              </w:tc>
              <w:tc>
                <w:tcPr>
                  <w:tcW w:w="823" w:type="dxa"/>
                  <w:shd w:val="clear" w:color="auto" w:fill="auto"/>
                  <w:vAlign w:val="center"/>
                </w:tcPr>
                <w:p w14:paraId="4598543C">
                  <w:pPr>
                    <w:pStyle w:val="200"/>
                    <w:spacing w:before="24" w:after="24"/>
                    <w:jc w:val="center"/>
                    <w:rPr>
                      <w:rFonts w:hint="default" w:ascii="Times New Roman" w:hAnsi="Times New Roman" w:eastAsia="宋体" w:cs="Times New Roman"/>
                      <w:color w:val="auto"/>
                      <w:kern w:val="0"/>
                      <w:sz w:val="18"/>
                      <w:szCs w:val="16"/>
                      <w:highlight w:val="none"/>
                      <w:lang w:val="en-US" w:eastAsia="zh-CN" w:bidi="ar-SA"/>
                    </w:rPr>
                  </w:pPr>
                  <w:r>
                    <w:rPr>
                      <w:rFonts w:hint="default" w:ascii="Times New Roman" w:hAnsi="Times New Roman" w:cs="Times New Roman"/>
                      <w:color w:val="auto"/>
                      <w:sz w:val="18"/>
                      <w:szCs w:val="16"/>
                      <w:highlight w:val="none"/>
                    </w:rPr>
                    <w:t>立即启动紧急停车装置</w:t>
                  </w:r>
                </w:p>
              </w:tc>
            </w:tr>
            <w:tr w14:paraId="110E3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015" w:type="dxa"/>
                  <w:shd w:val="clear" w:color="auto" w:fill="auto"/>
                  <w:vAlign w:val="center"/>
                </w:tcPr>
                <w:p w14:paraId="1889C61E">
                  <w:pPr>
                    <w:pStyle w:val="200"/>
                    <w:spacing w:before="24" w:after="24"/>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sz w:val="18"/>
                      <w:szCs w:val="16"/>
                      <w:highlight w:val="none"/>
                    </w:rPr>
                    <w:t>DA00</w:t>
                  </w:r>
                  <w:r>
                    <w:rPr>
                      <w:rFonts w:hint="eastAsia" w:ascii="Times New Roman" w:hAnsi="Times New Roman" w:cs="Times New Roman"/>
                      <w:color w:val="auto"/>
                      <w:sz w:val="18"/>
                      <w:szCs w:val="16"/>
                      <w:highlight w:val="none"/>
                      <w:lang w:val="en-US" w:eastAsia="zh-CN"/>
                    </w:rPr>
                    <w:t>3</w:t>
                  </w:r>
                  <w:r>
                    <w:rPr>
                      <w:rFonts w:hint="default" w:ascii="Times New Roman" w:hAnsi="Times New Roman" w:cs="Times New Roman"/>
                      <w:color w:val="auto"/>
                      <w:sz w:val="18"/>
                      <w:szCs w:val="16"/>
                      <w:highlight w:val="none"/>
                    </w:rPr>
                    <w:t>排气筒</w:t>
                  </w:r>
                </w:p>
              </w:tc>
              <w:tc>
                <w:tcPr>
                  <w:tcW w:w="1014" w:type="dxa"/>
                  <w:shd w:val="clear" w:color="auto" w:fill="auto"/>
                  <w:vAlign w:val="center"/>
                </w:tcPr>
                <w:p w14:paraId="5F9871AF">
                  <w:pPr>
                    <w:pStyle w:val="200"/>
                    <w:spacing w:before="24" w:after="24"/>
                    <w:jc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cs="Times New Roman"/>
                      <w:color w:val="auto"/>
                      <w:sz w:val="18"/>
                      <w:szCs w:val="18"/>
                      <w:highlight w:val="none"/>
                      <w:lang w:val="en-US" w:eastAsia="zh-CN"/>
                    </w:rPr>
                    <w:t>布袋除尘器</w:t>
                  </w:r>
                  <w:r>
                    <w:rPr>
                      <w:rFonts w:hint="default" w:ascii="Times New Roman" w:hAnsi="Times New Roman" w:cs="Times New Roman"/>
                      <w:color w:val="auto"/>
                      <w:sz w:val="18"/>
                      <w:szCs w:val="16"/>
                      <w:highlight w:val="none"/>
                    </w:rPr>
                    <w:t>运转异常</w:t>
                  </w:r>
                  <w:r>
                    <w:rPr>
                      <w:rFonts w:hint="default" w:ascii="Times New Roman" w:hAnsi="Times New Roman" w:cs="Times New Roman"/>
                      <w:color w:val="auto"/>
                      <w:sz w:val="18"/>
                      <w:szCs w:val="16"/>
                      <w:highlight w:val="none"/>
                      <w:lang w:eastAsia="zh-CN"/>
                    </w:rPr>
                    <w:t>，处理效率为</w:t>
                  </w:r>
                  <w:r>
                    <w:rPr>
                      <w:rFonts w:hint="default" w:ascii="Times New Roman" w:hAnsi="Times New Roman" w:cs="Times New Roman"/>
                      <w:color w:val="auto"/>
                      <w:sz w:val="18"/>
                      <w:szCs w:val="16"/>
                      <w:highlight w:val="none"/>
                      <w:lang w:val="en-US" w:eastAsia="zh-CN"/>
                    </w:rPr>
                    <w:t>0</w:t>
                  </w:r>
                </w:p>
              </w:tc>
              <w:tc>
                <w:tcPr>
                  <w:tcW w:w="815" w:type="dxa"/>
                  <w:shd w:val="clear" w:color="auto" w:fill="auto"/>
                  <w:vAlign w:val="center"/>
                </w:tcPr>
                <w:p w14:paraId="2B1078C7">
                  <w:pPr>
                    <w:jc w:val="center"/>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颗粒物</w:t>
                  </w:r>
                </w:p>
              </w:tc>
              <w:tc>
                <w:tcPr>
                  <w:tcW w:w="1084" w:type="dxa"/>
                  <w:shd w:val="clear" w:color="auto" w:fill="auto"/>
                  <w:vAlign w:val="center"/>
                </w:tcPr>
                <w:p w14:paraId="1B0A2318">
                  <w:pPr>
                    <w:pStyle w:val="200"/>
                    <w:spacing w:before="24" w:after="24"/>
                    <w:jc w:val="center"/>
                    <w:rPr>
                      <w:rFonts w:hint="default" w:ascii="Times New Roman" w:hAnsi="Times New Roman" w:eastAsia="宋体" w:cs="Times New Roman"/>
                      <w:color w:val="auto"/>
                      <w:kern w:val="0"/>
                      <w:sz w:val="18"/>
                      <w:szCs w:val="16"/>
                      <w:highlight w:val="none"/>
                      <w:lang w:val="en-US" w:eastAsia="zh-CN" w:bidi="ar-SA"/>
                    </w:rPr>
                  </w:pPr>
                  <w:r>
                    <w:rPr>
                      <w:rFonts w:hint="eastAsia" w:ascii="Times New Roman" w:cs="Times New Roman"/>
                      <w:color w:val="auto"/>
                      <w:kern w:val="0"/>
                      <w:sz w:val="18"/>
                      <w:szCs w:val="16"/>
                      <w:highlight w:val="none"/>
                      <w:lang w:val="en-US" w:eastAsia="zh-CN" w:bidi="ar-SA"/>
                    </w:rPr>
                    <w:t>3</w:t>
                  </w:r>
                </w:p>
              </w:tc>
              <w:tc>
                <w:tcPr>
                  <w:tcW w:w="1146" w:type="dxa"/>
                  <w:shd w:val="clear" w:color="auto" w:fill="auto"/>
                  <w:vAlign w:val="center"/>
                </w:tcPr>
                <w:p w14:paraId="2591464E">
                  <w:pPr>
                    <w:pStyle w:val="200"/>
                    <w:spacing w:before="24" w:after="24"/>
                    <w:jc w:val="center"/>
                    <w:rPr>
                      <w:rFonts w:hint="default" w:ascii="Times New Roman" w:hAnsi="Times New Roman" w:eastAsia="宋体" w:cs="Times New Roman"/>
                      <w:color w:val="auto"/>
                      <w:kern w:val="0"/>
                      <w:sz w:val="18"/>
                      <w:szCs w:val="16"/>
                      <w:highlight w:val="none"/>
                      <w:lang w:val="en-US" w:eastAsia="zh-CN" w:bidi="ar-SA"/>
                    </w:rPr>
                  </w:pPr>
                  <w:r>
                    <w:rPr>
                      <w:rFonts w:hint="eastAsia" w:ascii="Times New Roman" w:cs="Times New Roman"/>
                      <w:color w:val="auto"/>
                      <w:kern w:val="0"/>
                      <w:sz w:val="18"/>
                      <w:szCs w:val="16"/>
                      <w:highlight w:val="none"/>
                      <w:lang w:val="en-US" w:eastAsia="zh-CN" w:bidi="ar-SA"/>
                    </w:rPr>
                    <w:t>150</w:t>
                  </w:r>
                </w:p>
              </w:tc>
              <w:tc>
                <w:tcPr>
                  <w:tcW w:w="823" w:type="dxa"/>
                  <w:shd w:val="clear" w:color="auto" w:fill="auto"/>
                  <w:vAlign w:val="center"/>
                </w:tcPr>
                <w:p w14:paraId="14B094A5">
                  <w:pPr>
                    <w:pStyle w:val="200"/>
                    <w:spacing w:before="24" w:after="24"/>
                    <w:jc w:val="center"/>
                    <w:rPr>
                      <w:rFonts w:hint="default" w:ascii="Times New Roman" w:hAnsi="Times New Roman" w:eastAsia="宋体" w:cs="Times New Roman"/>
                      <w:color w:val="auto"/>
                      <w:kern w:val="0"/>
                      <w:sz w:val="18"/>
                      <w:szCs w:val="16"/>
                      <w:highlight w:val="none"/>
                      <w:lang w:val="en-US" w:eastAsia="zh-CN" w:bidi="ar-SA"/>
                    </w:rPr>
                  </w:pPr>
                  <w:r>
                    <w:rPr>
                      <w:rFonts w:hint="default" w:ascii="Times New Roman" w:hAnsi="Times New Roman" w:cs="Times New Roman"/>
                      <w:color w:val="auto"/>
                      <w:sz w:val="18"/>
                      <w:szCs w:val="16"/>
                      <w:highlight w:val="none"/>
                    </w:rPr>
                    <w:t>1</w:t>
                  </w:r>
                </w:p>
              </w:tc>
              <w:tc>
                <w:tcPr>
                  <w:tcW w:w="823" w:type="dxa"/>
                  <w:shd w:val="clear" w:color="auto" w:fill="auto"/>
                  <w:vAlign w:val="center"/>
                </w:tcPr>
                <w:p w14:paraId="29E46C98">
                  <w:pPr>
                    <w:pStyle w:val="200"/>
                    <w:spacing w:before="24" w:after="24"/>
                    <w:jc w:val="center"/>
                    <w:rPr>
                      <w:rFonts w:hint="default" w:ascii="Times New Roman" w:hAnsi="Times New Roman" w:eastAsia="宋体" w:cs="Times New Roman"/>
                      <w:color w:val="auto"/>
                      <w:kern w:val="0"/>
                      <w:sz w:val="18"/>
                      <w:szCs w:val="16"/>
                      <w:highlight w:val="none"/>
                      <w:lang w:val="en-US" w:eastAsia="zh-CN" w:bidi="ar-SA"/>
                    </w:rPr>
                  </w:pPr>
                  <w:r>
                    <w:rPr>
                      <w:rFonts w:hint="default" w:ascii="Times New Roman" w:hAnsi="Times New Roman" w:cs="Times New Roman"/>
                      <w:color w:val="auto"/>
                      <w:sz w:val="18"/>
                      <w:szCs w:val="16"/>
                      <w:highlight w:val="none"/>
                    </w:rPr>
                    <w:t>2</w:t>
                  </w:r>
                </w:p>
              </w:tc>
              <w:tc>
                <w:tcPr>
                  <w:tcW w:w="823" w:type="dxa"/>
                  <w:shd w:val="clear" w:color="auto" w:fill="auto"/>
                  <w:vAlign w:val="center"/>
                </w:tcPr>
                <w:p w14:paraId="68AF9DCE">
                  <w:pPr>
                    <w:pStyle w:val="200"/>
                    <w:spacing w:before="24" w:after="24"/>
                    <w:jc w:val="center"/>
                    <w:rPr>
                      <w:rFonts w:hint="default" w:ascii="Times New Roman" w:hAnsi="Times New Roman" w:eastAsia="宋体" w:cs="Times New Roman"/>
                      <w:color w:val="auto"/>
                      <w:kern w:val="0"/>
                      <w:sz w:val="18"/>
                      <w:szCs w:val="16"/>
                      <w:highlight w:val="none"/>
                      <w:lang w:val="en-US" w:eastAsia="zh-CN" w:bidi="ar-SA"/>
                    </w:rPr>
                  </w:pPr>
                  <w:r>
                    <w:rPr>
                      <w:rFonts w:hint="eastAsia" w:ascii="Times New Roman" w:cs="Times New Roman"/>
                      <w:color w:val="auto"/>
                      <w:kern w:val="0"/>
                      <w:sz w:val="18"/>
                      <w:szCs w:val="16"/>
                      <w:highlight w:val="none"/>
                      <w:lang w:val="en-US" w:eastAsia="zh-CN" w:bidi="ar-SA"/>
                    </w:rPr>
                    <w:t>6</w:t>
                  </w:r>
                </w:p>
              </w:tc>
              <w:tc>
                <w:tcPr>
                  <w:tcW w:w="823" w:type="dxa"/>
                  <w:shd w:val="clear" w:color="auto" w:fill="auto"/>
                  <w:vAlign w:val="center"/>
                </w:tcPr>
                <w:p w14:paraId="78DAF9E4">
                  <w:pPr>
                    <w:pStyle w:val="200"/>
                    <w:spacing w:before="24" w:after="24"/>
                    <w:jc w:val="center"/>
                    <w:rPr>
                      <w:rFonts w:hint="default" w:ascii="Times New Roman" w:hAnsi="Times New Roman" w:eastAsia="宋体" w:cs="Times New Roman"/>
                      <w:color w:val="auto"/>
                      <w:kern w:val="0"/>
                      <w:sz w:val="18"/>
                      <w:szCs w:val="16"/>
                      <w:highlight w:val="none"/>
                      <w:lang w:val="en-US" w:eastAsia="zh-CN" w:bidi="ar-SA"/>
                    </w:rPr>
                  </w:pPr>
                  <w:r>
                    <w:rPr>
                      <w:rFonts w:hint="default" w:ascii="Times New Roman" w:hAnsi="Times New Roman" w:cs="Times New Roman"/>
                      <w:color w:val="auto"/>
                      <w:sz w:val="18"/>
                      <w:szCs w:val="16"/>
                      <w:highlight w:val="none"/>
                    </w:rPr>
                    <w:t>立即启动紧急停车装置</w:t>
                  </w:r>
                </w:p>
              </w:tc>
            </w:tr>
          </w:tbl>
          <w:p w14:paraId="5E8200B5">
            <w:pPr>
              <w:pStyle w:val="381"/>
              <w:ind w:firstLine="420"/>
              <w:rPr>
                <w:rFonts w:hint="default" w:ascii="Times New Roman" w:hAnsi="Times New Roman" w:cs="Times New Roman"/>
                <w:color w:val="auto"/>
                <w:sz w:val="21"/>
                <w:highlight w:val="none"/>
                <w:lang w:val="en-US"/>
              </w:rPr>
            </w:pPr>
            <w:r>
              <w:rPr>
                <w:rFonts w:hint="default" w:ascii="Times New Roman" w:hAnsi="Times New Roman" w:cs="Times New Roman"/>
                <w:color w:val="auto"/>
                <w:sz w:val="21"/>
                <w:highlight w:val="none"/>
                <w:lang w:val="en-US"/>
              </w:rPr>
              <w:t>由上表可知，布袋除尘器</w:t>
            </w:r>
            <w:r>
              <w:rPr>
                <w:rFonts w:hint="eastAsia" w:cs="Times New Roman"/>
                <w:color w:val="auto"/>
                <w:sz w:val="21"/>
                <w:highlight w:val="none"/>
                <w:lang w:val="en-US" w:eastAsia="zh-CN"/>
              </w:rPr>
              <w:t>运转异常下DA002、DA003</w:t>
            </w:r>
            <w:r>
              <w:rPr>
                <w:rFonts w:hint="default" w:ascii="Times New Roman" w:hAnsi="Times New Roman" w:cs="Times New Roman"/>
                <w:color w:val="auto"/>
                <w:sz w:val="21"/>
                <w:highlight w:val="none"/>
                <w:lang w:val="en-US"/>
              </w:rPr>
              <w:t>排气筒的</w:t>
            </w:r>
            <w:r>
              <w:rPr>
                <w:rFonts w:hint="default" w:ascii="Times New Roman" w:hAnsi="Times New Roman" w:cs="Times New Roman"/>
                <w:color w:val="auto"/>
                <w:sz w:val="21"/>
                <w:highlight w:val="none"/>
                <w:lang w:val="en-US" w:eastAsia="zh-CN"/>
              </w:rPr>
              <w:t>颗粒物排放浓度超标</w:t>
            </w:r>
            <w:r>
              <w:rPr>
                <w:rFonts w:hint="default" w:ascii="Times New Roman" w:hAnsi="Times New Roman" w:cs="Times New Roman"/>
                <w:color w:val="auto"/>
                <w:sz w:val="21"/>
                <w:highlight w:val="none"/>
                <w:lang w:val="en-US"/>
              </w:rPr>
              <w:t>，</w:t>
            </w:r>
            <w:r>
              <w:rPr>
                <w:rFonts w:hint="eastAsia" w:ascii="Times New Roman" w:cs="Times New Roman"/>
                <w:color w:val="auto"/>
                <w:sz w:val="21"/>
                <w:szCs w:val="21"/>
                <w:highlight w:val="none"/>
                <w:lang w:val="en-US" w:eastAsia="zh-CN"/>
              </w:rPr>
              <w:t>布袋除尘器+水喷淋同时</w:t>
            </w:r>
            <w:r>
              <w:rPr>
                <w:rFonts w:hint="default" w:ascii="Times New Roman" w:hAnsi="Times New Roman" w:cs="Times New Roman"/>
                <w:color w:val="auto"/>
                <w:sz w:val="21"/>
                <w:szCs w:val="20"/>
                <w:highlight w:val="none"/>
              </w:rPr>
              <w:t>运转异常</w:t>
            </w:r>
            <w:r>
              <w:rPr>
                <w:rFonts w:hint="eastAsia" w:ascii="Times New Roman" w:hAnsi="Times New Roman" w:cs="Times New Roman"/>
                <w:color w:val="auto"/>
                <w:sz w:val="21"/>
                <w:szCs w:val="20"/>
                <w:highlight w:val="none"/>
                <w:lang w:val="en-US" w:eastAsia="zh-CN"/>
              </w:rPr>
              <w:t>或布袋除尘器运转异常</w:t>
            </w:r>
            <w:r>
              <w:rPr>
                <w:rFonts w:hint="eastAsia" w:cs="Times New Roman"/>
                <w:color w:val="auto"/>
                <w:sz w:val="21"/>
                <w:szCs w:val="20"/>
                <w:highlight w:val="none"/>
                <w:lang w:val="en-US" w:eastAsia="zh-CN"/>
              </w:rPr>
              <w:t>或</w:t>
            </w:r>
            <w:r>
              <w:rPr>
                <w:rFonts w:hint="eastAsia" w:ascii="Times New Roman" w:hAnsi="Times New Roman" w:cs="Times New Roman"/>
                <w:color w:val="auto"/>
                <w:sz w:val="21"/>
                <w:szCs w:val="20"/>
                <w:highlight w:val="none"/>
                <w:lang w:val="en-US" w:eastAsia="zh-CN"/>
              </w:rPr>
              <w:t>水喷淋运转异常时，</w:t>
            </w:r>
            <w:r>
              <w:rPr>
                <w:rFonts w:hint="eastAsia" w:cs="Times New Roman"/>
                <w:color w:val="auto"/>
                <w:sz w:val="21"/>
                <w:highlight w:val="none"/>
                <w:lang w:val="en-US" w:eastAsia="zh-CN"/>
              </w:rPr>
              <w:t>DA001</w:t>
            </w:r>
            <w:r>
              <w:rPr>
                <w:rFonts w:hint="default" w:ascii="Times New Roman" w:hAnsi="Times New Roman" w:cs="Times New Roman"/>
                <w:color w:val="auto"/>
                <w:sz w:val="21"/>
                <w:highlight w:val="none"/>
                <w:lang w:val="en-US"/>
              </w:rPr>
              <w:t>排气筒的</w:t>
            </w:r>
            <w:r>
              <w:rPr>
                <w:rFonts w:hint="default" w:ascii="Times New Roman" w:hAnsi="Times New Roman" w:cs="Times New Roman"/>
                <w:color w:val="auto"/>
                <w:sz w:val="21"/>
                <w:highlight w:val="none"/>
                <w:lang w:val="en-US" w:eastAsia="zh-CN"/>
              </w:rPr>
              <w:t>颗粒物</w:t>
            </w:r>
            <w:r>
              <w:rPr>
                <w:rFonts w:hint="eastAsia" w:cs="Times New Roman"/>
                <w:color w:val="auto"/>
                <w:sz w:val="21"/>
                <w:highlight w:val="none"/>
                <w:lang w:val="en-US" w:eastAsia="zh-CN"/>
              </w:rPr>
              <w:t>、氨</w:t>
            </w:r>
            <w:r>
              <w:rPr>
                <w:rFonts w:hint="default" w:ascii="Times New Roman" w:hAnsi="Times New Roman" w:cs="Times New Roman"/>
                <w:color w:val="auto"/>
                <w:sz w:val="21"/>
                <w:highlight w:val="none"/>
                <w:lang w:val="en-US" w:eastAsia="zh-CN"/>
              </w:rPr>
              <w:t>排放浓度超标，排放量会显著增加。</w:t>
            </w:r>
            <w:r>
              <w:rPr>
                <w:rFonts w:hint="default" w:ascii="Times New Roman" w:hAnsi="Times New Roman" w:cs="Times New Roman"/>
                <w:color w:val="auto"/>
                <w:sz w:val="21"/>
                <w:highlight w:val="none"/>
                <w:lang w:val="en-US"/>
              </w:rPr>
              <w:t>该项目非正常工况排放次数极少，排放时间较短，</w:t>
            </w:r>
            <w:r>
              <w:rPr>
                <w:rFonts w:hint="default" w:ascii="Times New Roman" w:hAnsi="Times New Roman" w:cs="Times New Roman"/>
                <w:color w:val="auto"/>
                <w:sz w:val="21"/>
                <w:highlight w:val="none"/>
                <w:lang w:val="en-US" w:eastAsia="zh-CN"/>
              </w:rPr>
              <w:t>只要定期对环保设施进行维护保养，基本</w:t>
            </w:r>
            <w:r>
              <w:rPr>
                <w:rFonts w:hint="default" w:ascii="Times New Roman" w:hAnsi="Times New Roman" w:cs="Times New Roman"/>
                <w:color w:val="auto"/>
                <w:sz w:val="21"/>
                <w:highlight w:val="none"/>
                <w:lang w:val="en-US"/>
              </w:rPr>
              <w:t>不会对周围大气造成长期影响，因此本次评价不做主要分析。</w:t>
            </w:r>
          </w:p>
          <w:p w14:paraId="10FDEC14">
            <w:pPr>
              <w:adjustRightInd w:val="0"/>
              <w:snapToGrid w:val="0"/>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针对</w:t>
            </w:r>
            <w:r>
              <w:rPr>
                <w:rFonts w:hint="eastAsia" w:cs="Times New Roman"/>
                <w:color w:val="auto"/>
                <w:lang w:eastAsia="zh-CN"/>
              </w:rPr>
              <w:t>一期项目</w:t>
            </w:r>
            <w:r>
              <w:rPr>
                <w:rFonts w:hint="default" w:ascii="Times New Roman" w:hAnsi="Times New Roman" w:cs="Times New Roman"/>
                <w:color w:val="auto"/>
              </w:rPr>
              <w:t>的实际情况，非正常工况下采取的控制措施主要为：加强废气处理装置的维护保养，发现风机风量不正常时及时检维修，排除故障。</w:t>
            </w:r>
          </w:p>
          <w:p w14:paraId="7CCC924D">
            <w:pPr>
              <w:spacing w:line="360" w:lineRule="auto"/>
              <w:ind w:firstLine="422" w:firstLineChars="200"/>
              <w:rPr>
                <w:rFonts w:hint="eastAsia"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7、大气环境防护距离</w:t>
            </w:r>
          </w:p>
          <w:p w14:paraId="030B2351">
            <w:pPr>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根据《环境影响评价技术导则大气环境》（HJ2.2-2018）中的相关要求，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经计算，一期项目废气厂界外下风向最大落地浓度无超标点，因此，一期项目无厂界废气超标点，无需设置大气防护距离。</w:t>
            </w:r>
          </w:p>
          <w:p w14:paraId="66DF890A">
            <w:pPr>
              <w:spacing w:line="360" w:lineRule="auto"/>
              <w:ind w:firstLine="422" w:firstLineChars="200"/>
              <w:rPr>
                <w:rFonts w:hint="default"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8</w:t>
            </w:r>
            <w:r>
              <w:rPr>
                <w:rFonts w:hint="default" w:ascii="Times New Roman" w:hAnsi="Times New Roman"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zh-CN" w:eastAsia="zh-CN"/>
              </w:rPr>
              <w:t>监测要求</w:t>
            </w:r>
          </w:p>
          <w:p w14:paraId="37BE3992">
            <w:pPr>
              <w:adjustRightInd w:val="0"/>
              <w:snapToGrid w:val="0"/>
              <w:spacing w:line="360" w:lineRule="auto"/>
              <w:ind w:firstLine="420" w:firstLineChars="200"/>
              <w:rPr>
                <w:color w:val="auto"/>
                <w:highlight w:val="none"/>
              </w:rPr>
            </w:pPr>
            <w:r>
              <w:rPr>
                <w:color w:val="auto"/>
              </w:rPr>
              <w:t>根据《淄博市污染源自动监控条例》、《关于开展全市纳入排污许可管理企业自动监控设施安装工作的通知》（淄环委办函[2021]45号），</w:t>
            </w:r>
            <w:r>
              <w:rPr>
                <w:rFonts w:hint="eastAsia"/>
                <w:color w:val="auto"/>
                <w:lang w:eastAsia="zh-CN"/>
              </w:rPr>
              <w:t>一期项目</w:t>
            </w:r>
            <w:r>
              <w:rPr>
                <w:rFonts w:hint="eastAsia"/>
                <w:color w:val="auto"/>
              </w:rPr>
              <w:t>为新建项目，排污许可证管理级别为</w:t>
            </w:r>
            <w:r>
              <w:rPr>
                <w:rFonts w:hint="eastAsia"/>
                <w:color w:val="auto"/>
                <w:lang w:val="en-US" w:eastAsia="zh-CN"/>
              </w:rPr>
              <w:t>重点</w:t>
            </w:r>
            <w:r>
              <w:rPr>
                <w:rFonts w:hint="eastAsia"/>
                <w:color w:val="auto"/>
              </w:rPr>
              <w:t>管理</w:t>
            </w:r>
            <w:r>
              <w:rPr>
                <w:rFonts w:hint="eastAsia"/>
                <w:color w:val="auto"/>
                <w:lang w:eastAsia="zh-CN"/>
              </w:rPr>
              <w:t>，</w:t>
            </w:r>
            <w:r>
              <w:rPr>
                <w:rFonts w:hint="eastAsia"/>
                <w:color w:val="auto"/>
                <w:lang w:val="en-US" w:eastAsia="zh-CN"/>
              </w:rPr>
              <w:t>DA001排气筒为主要排放口、DA002和DA003为一般排放口</w:t>
            </w:r>
            <w:r>
              <w:rPr>
                <w:rFonts w:hint="eastAsia"/>
                <w:color w:val="auto"/>
              </w:rPr>
              <w:t>。根据《淄博市污染源自动监控条例》、《关于开展</w:t>
            </w:r>
            <w:r>
              <w:rPr>
                <w:rFonts w:hint="eastAsia"/>
                <w:color w:val="auto"/>
                <w:highlight w:val="none"/>
              </w:rPr>
              <w:t>全市纳入排污许可管理企业自动监控设施安装工作的通知》（淄环委办函[2021]45号），</w:t>
            </w:r>
            <w:r>
              <w:rPr>
                <w:rFonts w:hint="eastAsia"/>
                <w:color w:val="auto"/>
                <w:highlight w:val="none"/>
                <w:lang w:eastAsia="zh-CN"/>
              </w:rPr>
              <w:t>一期项目</w:t>
            </w:r>
            <w:r>
              <w:rPr>
                <w:rFonts w:hint="eastAsia"/>
                <w:color w:val="auto"/>
                <w:highlight w:val="none"/>
              </w:rPr>
              <w:t>需</w:t>
            </w:r>
            <w:r>
              <w:rPr>
                <w:rFonts w:hint="eastAsia"/>
                <w:color w:val="auto"/>
                <w:highlight w:val="none"/>
                <w:lang w:val="en-US" w:eastAsia="zh-CN"/>
              </w:rPr>
              <w:t>对DA001排气筒</w:t>
            </w:r>
            <w:r>
              <w:rPr>
                <w:rFonts w:hint="eastAsia"/>
                <w:color w:val="auto"/>
                <w:highlight w:val="none"/>
              </w:rPr>
              <w:t>进行自动监控设施的安装。</w:t>
            </w:r>
          </w:p>
          <w:p w14:paraId="272D1D53">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w:t>
            </w:r>
            <w:r>
              <w:rPr>
                <w:rFonts w:hint="default" w:ascii="Times New Roman" w:hAnsi="Times New Roman" w:cs="Times New Roman"/>
                <w:color w:val="auto"/>
                <w:highlight w:val="none"/>
                <w:lang w:eastAsia="zh-CN"/>
              </w:rPr>
              <w:t>《排污单位自行监测技术指南</w:t>
            </w:r>
            <w:r>
              <w:rPr>
                <w:rFonts w:hint="default" w:ascii="Times New Roman" w:hAnsi="Times New Roman" w:cs="Times New Roman"/>
                <w:color w:val="auto"/>
                <w:highlight w:val="none"/>
                <w:lang w:val="en-US" w:eastAsia="zh-CN"/>
              </w:rPr>
              <w:t xml:space="preserve"> 总则</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HJ819-2017</w:t>
            </w:r>
            <w:r>
              <w:rPr>
                <w:rFonts w:hint="default" w:ascii="Times New Roman" w:hAnsi="Times New Roman" w:cs="Times New Roman"/>
                <w:color w:val="auto"/>
                <w:highlight w:val="none"/>
                <w:lang w:eastAsia="zh-CN"/>
              </w:rPr>
              <w:t>）</w:t>
            </w:r>
            <w:r>
              <w:rPr>
                <w:rFonts w:hint="eastAsia" w:cs="Times New Roman"/>
                <w:color w:val="auto"/>
                <w:highlight w:val="none"/>
                <w:lang w:eastAsia="zh-CN"/>
              </w:rPr>
              <w:t>、《排污单位自行监测技术指南 磷肥、钾肥、复混肥料、有机肥料和微生物肥料》（HJ 1088—2020）</w:t>
            </w:r>
            <w:r>
              <w:rPr>
                <w:rFonts w:hint="default" w:ascii="Times New Roman" w:hAnsi="Times New Roman" w:cs="Times New Roman"/>
                <w:color w:val="auto"/>
                <w:highlight w:val="none"/>
                <w:lang w:eastAsia="zh-CN"/>
              </w:rPr>
              <w:t>，</w:t>
            </w:r>
            <w:r>
              <w:rPr>
                <w:rFonts w:hint="eastAsia" w:cs="Times New Roman"/>
                <w:color w:val="auto"/>
                <w:highlight w:val="none"/>
                <w:lang w:eastAsia="zh-CN"/>
              </w:rPr>
              <w:t>一期项目</w:t>
            </w:r>
            <w:r>
              <w:rPr>
                <w:rFonts w:hint="default" w:ascii="Times New Roman" w:hAnsi="Times New Roman" w:cs="Times New Roman"/>
                <w:color w:val="auto"/>
                <w:highlight w:val="none"/>
              </w:rPr>
              <w:t>废气自行监测</w:t>
            </w:r>
            <w:r>
              <w:rPr>
                <w:rFonts w:hint="eastAsia" w:cs="Times New Roman"/>
                <w:color w:val="auto"/>
                <w:highlight w:val="none"/>
                <w:lang w:val="en-US" w:eastAsia="zh-CN"/>
              </w:rPr>
              <w:t>计划</w:t>
            </w:r>
            <w:r>
              <w:rPr>
                <w:rFonts w:hint="default" w:ascii="Times New Roman" w:hAnsi="Times New Roman" w:cs="Times New Roman"/>
                <w:color w:val="auto"/>
                <w:highlight w:val="none"/>
              </w:rPr>
              <w:t>如下：</w:t>
            </w:r>
          </w:p>
          <w:p w14:paraId="219F55A7">
            <w:pPr>
              <w:adjustRightInd w:val="0"/>
              <w:snapToGrid w:val="0"/>
              <w:ind w:firstLine="422" w:firstLineChars="20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表4-</w:t>
            </w:r>
            <w:r>
              <w:rPr>
                <w:rFonts w:hint="eastAsia" w:cs="Times New Roman"/>
                <w:b/>
                <w:bCs/>
                <w:color w:val="auto"/>
                <w:highlight w:val="none"/>
                <w:lang w:val="en-US" w:eastAsia="zh-CN"/>
              </w:rPr>
              <w:t>23</w:t>
            </w:r>
            <w:r>
              <w:rPr>
                <w:rFonts w:hint="eastAsia" w:cs="Times New Roman"/>
                <w:b/>
                <w:bCs/>
                <w:color w:val="auto"/>
                <w:highlight w:val="none"/>
                <w:lang w:eastAsia="zh-CN"/>
              </w:rPr>
              <w:t>一期项目</w:t>
            </w:r>
            <w:r>
              <w:rPr>
                <w:rFonts w:hint="default" w:ascii="Times New Roman" w:hAnsi="Times New Roman" w:cs="Times New Roman"/>
                <w:b/>
                <w:bCs/>
                <w:color w:val="auto"/>
                <w:highlight w:val="none"/>
              </w:rPr>
              <w:t>废气自行监测</w:t>
            </w:r>
            <w:r>
              <w:rPr>
                <w:rFonts w:hint="default" w:ascii="Times New Roman" w:hAnsi="Times New Roman" w:cs="Times New Roman"/>
                <w:b/>
                <w:bCs/>
                <w:color w:val="auto"/>
                <w:highlight w:val="none"/>
                <w:lang w:val="en-US" w:eastAsia="zh-CN"/>
              </w:rPr>
              <w:t>计划</w:t>
            </w:r>
          </w:p>
          <w:tbl>
            <w:tblPr>
              <w:tblStyle w:val="81"/>
              <w:tblW w:w="83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0"/>
              <w:gridCol w:w="1454"/>
              <w:gridCol w:w="1738"/>
              <w:gridCol w:w="1389"/>
              <w:gridCol w:w="2174"/>
            </w:tblGrid>
            <w:tr w14:paraId="225CC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0" w:type="dxa"/>
                  <w:noWrap w:val="0"/>
                  <w:tcMar>
                    <w:top w:w="0" w:type="dxa"/>
                    <w:left w:w="0" w:type="dxa"/>
                    <w:bottom w:w="0" w:type="dxa"/>
                    <w:right w:w="0" w:type="dxa"/>
                  </w:tcMar>
                  <w:vAlign w:val="center"/>
                </w:tcPr>
                <w:p w14:paraId="1C1E8212">
                  <w:pPr>
                    <w:contextualSpacing/>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排放口编号</w:t>
                  </w:r>
                </w:p>
              </w:tc>
              <w:tc>
                <w:tcPr>
                  <w:tcW w:w="1454" w:type="dxa"/>
                  <w:noWrap w:val="0"/>
                  <w:tcMar>
                    <w:top w:w="0" w:type="dxa"/>
                    <w:left w:w="0" w:type="dxa"/>
                    <w:bottom w:w="0" w:type="dxa"/>
                    <w:right w:w="0" w:type="dxa"/>
                  </w:tcMar>
                  <w:vAlign w:val="center"/>
                </w:tcPr>
                <w:p w14:paraId="6625C043">
                  <w:pPr>
                    <w:contextualSpacing/>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监测点位</w:t>
                  </w:r>
                </w:p>
              </w:tc>
              <w:tc>
                <w:tcPr>
                  <w:tcW w:w="1738" w:type="dxa"/>
                  <w:noWrap w:val="0"/>
                  <w:tcMar>
                    <w:top w:w="0" w:type="dxa"/>
                    <w:left w:w="0" w:type="dxa"/>
                    <w:bottom w:w="0" w:type="dxa"/>
                    <w:right w:w="0" w:type="dxa"/>
                  </w:tcMar>
                  <w:vAlign w:val="center"/>
                </w:tcPr>
                <w:p w14:paraId="76A58192">
                  <w:pPr>
                    <w:contextualSpacing/>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监测因子</w:t>
                  </w:r>
                </w:p>
              </w:tc>
              <w:tc>
                <w:tcPr>
                  <w:tcW w:w="1389" w:type="dxa"/>
                  <w:noWrap w:val="0"/>
                  <w:tcMar>
                    <w:top w:w="0" w:type="dxa"/>
                    <w:left w:w="0" w:type="dxa"/>
                    <w:bottom w:w="0" w:type="dxa"/>
                    <w:right w:w="0" w:type="dxa"/>
                  </w:tcMar>
                  <w:vAlign w:val="center"/>
                </w:tcPr>
                <w:p w14:paraId="681A551A">
                  <w:pPr>
                    <w:contextualSpacing/>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监测频次</w:t>
                  </w:r>
                </w:p>
              </w:tc>
              <w:tc>
                <w:tcPr>
                  <w:tcW w:w="2174" w:type="dxa"/>
                  <w:noWrap w:val="0"/>
                  <w:tcMar>
                    <w:top w:w="0" w:type="dxa"/>
                    <w:left w:w="0" w:type="dxa"/>
                    <w:bottom w:w="0" w:type="dxa"/>
                    <w:right w:w="0" w:type="dxa"/>
                  </w:tcMar>
                  <w:vAlign w:val="center"/>
                </w:tcPr>
                <w:p w14:paraId="084EA85C">
                  <w:pPr>
                    <w:contextualSpacing/>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标准限值</w:t>
                  </w:r>
                </w:p>
              </w:tc>
            </w:tr>
            <w:tr w14:paraId="2F8BF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0" w:type="dxa"/>
                  <w:noWrap w:val="0"/>
                  <w:tcMar>
                    <w:top w:w="0" w:type="dxa"/>
                    <w:left w:w="0" w:type="dxa"/>
                    <w:bottom w:w="0" w:type="dxa"/>
                    <w:right w:w="0" w:type="dxa"/>
                  </w:tcMar>
                  <w:vAlign w:val="center"/>
                </w:tcPr>
                <w:p w14:paraId="7DF73BBD">
                  <w:pPr>
                    <w:spacing w:line="240" w:lineRule="exact"/>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DA002、DA003</w:t>
                  </w:r>
                </w:p>
              </w:tc>
              <w:tc>
                <w:tcPr>
                  <w:tcW w:w="1454" w:type="dxa"/>
                  <w:noWrap w:val="0"/>
                  <w:tcMar>
                    <w:top w:w="0" w:type="dxa"/>
                    <w:left w:w="0" w:type="dxa"/>
                    <w:bottom w:w="0" w:type="dxa"/>
                    <w:right w:w="0" w:type="dxa"/>
                  </w:tcMar>
                  <w:vAlign w:val="center"/>
                </w:tcPr>
                <w:p w14:paraId="128BA7E4">
                  <w:pPr>
                    <w:spacing w:line="240" w:lineRule="exact"/>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进出口</w:t>
                  </w:r>
                </w:p>
              </w:tc>
              <w:tc>
                <w:tcPr>
                  <w:tcW w:w="1738" w:type="dxa"/>
                  <w:noWrap w:val="0"/>
                  <w:tcMar>
                    <w:top w:w="0" w:type="dxa"/>
                    <w:left w:w="0" w:type="dxa"/>
                    <w:bottom w:w="0" w:type="dxa"/>
                    <w:right w:w="0" w:type="dxa"/>
                  </w:tcMar>
                  <w:vAlign w:val="center"/>
                </w:tcPr>
                <w:p w14:paraId="3B58AC86">
                  <w:pPr>
                    <w:spacing w:line="240" w:lineRule="exact"/>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颗粒物</w:t>
                  </w:r>
                </w:p>
              </w:tc>
              <w:tc>
                <w:tcPr>
                  <w:tcW w:w="1389" w:type="dxa"/>
                  <w:noWrap w:val="0"/>
                  <w:tcMar>
                    <w:top w:w="0" w:type="dxa"/>
                    <w:left w:w="0" w:type="dxa"/>
                    <w:bottom w:w="0" w:type="dxa"/>
                    <w:right w:w="0" w:type="dxa"/>
                  </w:tcMar>
                  <w:vAlign w:val="center"/>
                </w:tcPr>
                <w:p w14:paraId="3E647A05">
                  <w:pPr>
                    <w:widowControl/>
                    <w:jc w:val="center"/>
                    <w:textAlignment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半年/次</w:t>
                  </w:r>
                </w:p>
              </w:tc>
              <w:tc>
                <w:tcPr>
                  <w:tcW w:w="2174" w:type="dxa"/>
                  <w:noWrap w:val="0"/>
                  <w:tcMar>
                    <w:top w:w="0" w:type="dxa"/>
                    <w:left w:w="0" w:type="dxa"/>
                    <w:bottom w:w="0" w:type="dxa"/>
                    <w:right w:w="0" w:type="dxa"/>
                  </w:tcMar>
                  <w:vAlign w:val="center"/>
                </w:tcPr>
                <w:p w14:paraId="22F34470">
                  <w:pPr>
                    <w:spacing w:line="240" w:lineRule="exact"/>
                    <w:jc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颗粒物</w:t>
                  </w:r>
                  <w:r>
                    <w:rPr>
                      <w:rFonts w:hint="default" w:ascii="Times New Roman" w:hAnsi="Times New Roman" w:cs="Times New Roman"/>
                      <w:color w:val="auto"/>
                      <w:sz w:val="18"/>
                      <w:szCs w:val="18"/>
                    </w:rPr>
                    <w:t>10 mg/m</w:t>
                  </w:r>
                  <w:r>
                    <w:rPr>
                      <w:rFonts w:hint="default" w:ascii="Times New Roman" w:hAnsi="Times New Roman" w:cs="Times New Roman"/>
                      <w:color w:val="auto"/>
                      <w:sz w:val="18"/>
                      <w:szCs w:val="18"/>
                      <w:vertAlign w:val="superscript"/>
                    </w:rPr>
                    <w:t>3</w:t>
                  </w:r>
                </w:p>
              </w:tc>
            </w:tr>
            <w:tr w14:paraId="66F0C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0" w:type="dxa"/>
                  <w:vMerge w:val="restart"/>
                  <w:noWrap w:val="0"/>
                  <w:tcMar>
                    <w:top w:w="0" w:type="dxa"/>
                    <w:left w:w="0" w:type="dxa"/>
                    <w:bottom w:w="0" w:type="dxa"/>
                    <w:right w:w="0" w:type="dxa"/>
                  </w:tcMar>
                  <w:vAlign w:val="center"/>
                </w:tcPr>
                <w:p w14:paraId="402D6E77">
                  <w:pPr>
                    <w:spacing w:line="240" w:lineRule="exact"/>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DA00</w:t>
                  </w:r>
                  <w:r>
                    <w:rPr>
                      <w:rFonts w:hint="eastAsia" w:cs="Times New Roman"/>
                      <w:color w:val="auto"/>
                      <w:sz w:val="18"/>
                      <w:szCs w:val="18"/>
                      <w:lang w:val="en-US" w:eastAsia="zh-CN"/>
                    </w:rPr>
                    <w:t>1</w:t>
                  </w:r>
                </w:p>
              </w:tc>
              <w:tc>
                <w:tcPr>
                  <w:tcW w:w="1454" w:type="dxa"/>
                  <w:vMerge w:val="restart"/>
                  <w:noWrap w:val="0"/>
                  <w:tcMar>
                    <w:top w:w="0" w:type="dxa"/>
                    <w:left w:w="0" w:type="dxa"/>
                    <w:bottom w:w="0" w:type="dxa"/>
                    <w:right w:w="0" w:type="dxa"/>
                  </w:tcMar>
                  <w:vAlign w:val="center"/>
                </w:tcPr>
                <w:p w14:paraId="30821C0C">
                  <w:pPr>
                    <w:spacing w:line="240" w:lineRule="exact"/>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出口</w:t>
                  </w:r>
                </w:p>
              </w:tc>
              <w:tc>
                <w:tcPr>
                  <w:tcW w:w="1738" w:type="dxa"/>
                  <w:noWrap w:val="0"/>
                  <w:tcMar>
                    <w:top w:w="0" w:type="dxa"/>
                    <w:left w:w="0" w:type="dxa"/>
                    <w:bottom w:w="0" w:type="dxa"/>
                    <w:right w:w="0" w:type="dxa"/>
                  </w:tcMar>
                  <w:vAlign w:val="center"/>
                </w:tcPr>
                <w:p w14:paraId="112EB720">
                  <w:pPr>
                    <w:spacing w:line="240" w:lineRule="exact"/>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颗粒物</w:t>
                  </w:r>
                  <w:r>
                    <w:rPr>
                      <w:rFonts w:hint="eastAsia" w:cs="Times New Roman"/>
                      <w:color w:val="auto"/>
                      <w:sz w:val="18"/>
                      <w:szCs w:val="18"/>
                      <w:lang w:eastAsia="zh-CN"/>
                    </w:rPr>
                    <w:t>、</w:t>
                  </w:r>
                  <w:r>
                    <w:rPr>
                      <w:rFonts w:hint="eastAsia" w:cs="Times New Roman"/>
                      <w:color w:val="auto"/>
                      <w:sz w:val="18"/>
                      <w:szCs w:val="18"/>
                      <w:lang w:val="en-US" w:eastAsia="zh-CN"/>
                    </w:rPr>
                    <w:t>SO</w:t>
                  </w:r>
                  <w:r>
                    <w:rPr>
                      <w:rFonts w:hint="eastAsia" w:cs="Times New Roman"/>
                      <w:color w:val="auto"/>
                      <w:sz w:val="18"/>
                      <w:szCs w:val="18"/>
                      <w:vertAlign w:val="subscript"/>
                      <w:lang w:val="en-US" w:eastAsia="zh-CN"/>
                    </w:rPr>
                    <w:t>2</w:t>
                  </w:r>
                  <w:r>
                    <w:rPr>
                      <w:rFonts w:hint="eastAsia" w:cs="Times New Roman"/>
                      <w:color w:val="auto"/>
                      <w:sz w:val="18"/>
                      <w:szCs w:val="18"/>
                      <w:lang w:val="en-US" w:eastAsia="zh-CN"/>
                    </w:rPr>
                    <w:t>、NOx</w:t>
                  </w:r>
                </w:p>
              </w:tc>
              <w:tc>
                <w:tcPr>
                  <w:tcW w:w="1389" w:type="dxa"/>
                  <w:noWrap w:val="0"/>
                  <w:tcMar>
                    <w:top w:w="0" w:type="dxa"/>
                    <w:left w:w="0" w:type="dxa"/>
                    <w:bottom w:w="0" w:type="dxa"/>
                    <w:right w:w="0" w:type="dxa"/>
                  </w:tcMar>
                  <w:vAlign w:val="center"/>
                </w:tcPr>
                <w:p w14:paraId="30C18E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自动在线监测</w:t>
                  </w:r>
                </w:p>
              </w:tc>
              <w:tc>
                <w:tcPr>
                  <w:tcW w:w="2174" w:type="dxa"/>
                  <w:noWrap w:val="0"/>
                  <w:tcMar>
                    <w:top w:w="0" w:type="dxa"/>
                    <w:left w:w="0" w:type="dxa"/>
                    <w:bottom w:w="0" w:type="dxa"/>
                    <w:right w:w="0" w:type="dxa"/>
                  </w:tcMar>
                  <w:vAlign w:val="center"/>
                </w:tcPr>
                <w:p w14:paraId="1AFDAEE0">
                  <w:pPr>
                    <w:spacing w:line="240" w:lineRule="exact"/>
                    <w:jc w:val="center"/>
                    <w:rPr>
                      <w:rFonts w:hint="default" w:ascii="Times New Roman" w:hAnsi="Times New Roman" w:cs="Times New Roman"/>
                      <w:color w:val="auto"/>
                      <w:sz w:val="18"/>
                      <w:szCs w:val="18"/>
                      <w:vertAlign w:val="superscript"/>
                    </w:rPr>
                  </w:pPr>
                  <w:r>
                    <w:rPr>
                      <w:rFonts w:hint="eastAsia" w:cs="Times New Roman"/>
                      <w:color w:val="auto"/>
                      <w:sz w:val="18"/>
                      <w:szCs w:val="18"/>
                      <w:lang w:val="en-US" w:eastAsia="zh-CN"/>
                    </w:rPr>
                    <w:t>颗粒物</w:t>
                  </w:r>
                  <w:r>
                    <w:rPr>
                      <w:rFonts w:hint="default" w:ascii="Times New Roman" w:hAnsi="Times New Roman" w:cs="Times New Roman"/>
                      <w:color w:val="auto"/>
                      <w:sz w:val="18"/>
                      <w:szCs w:val="18"/>
                    </w:rPr>
                    <w:t>10 mg/m</w:t>
                  </w:r>
                  <w:r>
                    <w:rPr>
                      <w:rFonts w:hint="default" w:ascii="Times New Roman" w:hAnsi="Times New Roman" w:cs="Times New Roman"/>
                      <w:color w:val="auto"/>
                      <w:sz w:val="18"/>
                      <w:szCs w:val="18"/>
                      <w:vertAlign w:val="superscript"/>
                    </w:rPr>
                    <w:t>3</w:t>
                  </w:r>
                </w:p>
                <w:p w14:paraId="21C1E882">
                  <w:pPr>
                    <w:spacing w:line="240" w:lineRule="exact"/>
                    <w:jc w:val="center"/>
                    <w:rPr>
                      <w:rFonts w:hint="eastAsia" w:cs="Times New Roman"/>
                      <w:color w:val="auto"/>
                      <w:sz w:val="18"/>
                      <w:szCs w:val="18"/>
                      <w:vertAlign w:val="baseline"/>
                      <w:lang w:val="en-US" w:eastAsia="zh-CN"/>
                    </w:rPr>
                  </w:pPr>
                  <w:r>
                    <w:rPr>
                      <w:rFonts w:hint="eastAsia" w:cs="Times New Roman"/>
                      <w:color w:val="auto"/>
                      <w:sz w:val="18"/>
                      <w:szCs w:val="18"/>
                      <w:vertAlign w:val="baseline"/>
                      <w:lang w:val="en-US" w:eastAsia="zh-CN"/>
                    </w:rPr>
                    <w:t>SO</w:t>
                  </w:r>
                  <w:r>
                    <w:rPr>
                      <w:rFonts w:hint="eastAsia" w:cs="Times New Roman"/>
                      <w:color w:val="auto"/>
                      <w:sz w:val="18"/>
                      <w:szCs w:val="18"/>
                      <w:vertAlign w:val="subscript"/>
                      <w:lang w:val="en-US" w:eastAsia="zh-CN"/>
                    </w:rPr>
                    <w:t>2</w:t>
                  </w:r>
                  <w:r>
                    <w:rPr>
                      <w:rFonts w:hint="eastAsia" w:cs="Times New Roman"/>
                      <w:color w:val="auto"/>
                      <w:sz w:val="18"/>
                      <w:szCs w:val="18"/>
                      <w:vertAlign w:val="baseline"/>
                      <w:lang w:val="en-US" w:eastAsia="zh-CN"/>
                    </w:rPr>
                    <w:t xml:space="preserve"> </w:t>
                  </w:r>
                  <w:r>
                    <w:rPr>
                      <w:rFonts w:hint="eastAsia" w:ascii="Times New Roman" w:hAnsi="Times New Roman" w:cs="Times New Roman"/>
                      <w:color w:val="auto"/>
                      <w:sz w:val="18"/>
                      <w:szCs w:val="18"/>
                      <w:lang w:val="en-US" w:eastAsia="zh-CN"/>
                    </w:rPr>
                    <w:t>5</w:t>
                  </w:r>
                  <w:r>
                    <w:rPr>
                      <w:rFonts w:hint="default" w:ascii="Times New Roman" w:hAnsi="Times New Roman" w:cs="Times New Roman"/>
                      <w:color w:val="auto"/>
                      <w:sz w:val="18"/>
                      <w:szCs w:val="18"/>
                    </w:rPr>
                    <w:t>0 mg/m</w:t>
                  </w:r>
                  <w:r>
                    <w:rPr>
                      <w:rFonts w:hint="default" w:ascii="Times New Roman" w:hAnsi="Times New Roman" w:cs="Times New Roman"/>
                      <w:color w:val="auto"/>
                      <w:sz w:val="18"/>
                      <w:szCs w:val="18"/>
                      <w:vertAlign w:val="superscript"/>
                    </w:rPr>
                    <w:t>3</w:t>
                  </w:r>
                </w:p>
                <w:p w14:paraId="67435226">
                  <w:pPr>
                    <w:spacing w:line="240" w:lineRule="exact"/>
                    <w:jc w:val="center"/>
                    <w:rPr>
                      <w:rFonts w:hint="eastAsia" w:ascii="Times New Roman" w:hAnsi="Times New Roman" w:eastAsia="宋体" w:cs="Times New Roman"/>
                      <w:color w:val="auto"/>
                      <w:sz w:val="18"/>
                      <w:szCs w:val="18"/>
                      <w:lang w:eastAsia="zh-CN"/>
                    </w:rPr>
                  </w:pPr>
                  <w:r>
                    <w:rPr>
                      <w:rFonts w:hint="eastAsia" w:cs="Times New Roman"/>
                      <w:color w:val="auto"/>
                      <w:sz w:val="18"/>
                      <w:szCs w:val="18"/>
                      <w:vertAlign w:val="baseline"/>
                      <w:lang w:val="en-US" w:eastAsia="zh-CN"/>
                    </w:rPr>
                    <w:t>NOx</w:t>
                  </w:r>
                  <w:r>
                    <w:rPr>
                      <w:rFonts w:hint="eastAsia" w:cs="Times New Roman"/>
                      <w:color w:val="auto"/>
                      <w:sz w:val="18"/>
                      <w:szCs w:val="18"/>
                      <w:vertAlign w:val="superscript"/>
                      <w:lang w:eastAsia="zh-CN"/>
                    </w:rPr>
                    <w:t>、</w:t>
                  </w:r>
                  <w:r>
                    <w:rPr>
                      <w:rFonts w:hint="default" w:ascii="Times New Roman" w:hAnsi="Times New Roman" w:cs="Times New Roman"/>
                      <w:color w:val="auto"/>
                      <w:sz w:val="18"/>
                      <w:szCs w:val="18"/>
                    </w:rPr>
                    <w:t>10</w:t>
                  </w:r>
                  <w:r>
                    <w:rPr>
                      <w:rFonts w:hint="eastAsia" w:ascii="Times New Roman" w:hAnsi="Times New Roman" w:cs="Times New Roman"/>
                      <w:color w:val="auto"/>
                      <w:sz w:val="18"/>
                      <w:szCs w:val="18"/>
                      <w:lang w:val="en-US" w:eastAsia="zh-CN"/>
                    </w:rPr>
                    <w:t>0</w:t>
                  </w:r>
                  <w:r>
                    <w:rPr>
                      <w:rFonts w:hint="default" w:ascii="Times New Roman" w:hAnsi="Times New Roman" w:cs="Times New Roman"/>
                      <w:color w:val="auto"/>
                      <w:sz w:val="18"/>
                      <w:szCs w:val="18"/>
                    </w:rPr>
                    <w:t>mg/m</w:t>
                  </w:r>
                  <w:r>
                    <w:rPr>
                      <w:rFonts w:hint="default" w:ascii="Times New Roman" w:hAnsi="Times New Roman" w:cs="Times New Roman"/>
                      <w:color w:val="auto"/>
                      <w:sz w:val="18"/>
                      <w:szCs w:val="18"/>
                      <w:vertAlign w:val="superscript"/>
                    </w:rPr>
                    <w:t>3</w:t>
                  </w:r>
                </w:p>
              </w:tc>
            </w:tr>
            <w:tr w14:paraId="2F0A3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0" w:type="dxa"/>
                  <w:vMerge w:val="continue"/>
                  <w:noWrap w:val="0"/>
                  <w:vAlign w:val="center"/>
                </w:tcPr>
                <w:p w14:paraId="43227FE5">
                  <w:pPr>
                    <w:spacing w:line="240" w:lineRule="exact"/>
                    <w:jc w:val="center"/>
                    <w:rPr>
                      <w:rFonts w:hint="default" w:ascii="Times New Roman" w:hAnsi="Times New Roman" w:cs="Times New Roman"/>
                      <w:color w:val="auto"/>
                      <w:sz w:val="18"/>
                      <w:szCs w:val="18"/>
                    </w:rPr>
                  </w:pPr>
                </w:p>
              </w:tc>
              <w:tc>
                <w:tcPr>
                  <w:tcW w:w="1454" w:type="dxa"/>
                  <w:vMerge w:val="continue"/>
                  <w:noWrap w:val="0"/>
                  <w:tcMar>
                    <w:top w:w="0" w:type="dxa"/>
                    <w:left w:w="0" w:type="dxa"/>
                    <w:bottom w:w="0" w:type="dxa"/>
                    <w:right w:w="0" w:type="dxa"/>
                  </w:tcMar>
                  <w:vAlign w:val="center"/>
                </w:tcPr>
                <w:p w14:paraId="5B7FEED9">
                  <w:pPr>
                    <w:spacing w:line="240" w:lineRule="exact"/>
                    <w:jc w:val="center"/>
                    <w:rPr>
                      <w:rFonts w:hint="default" w:ascii="Times New Roman" w:hAnsi="Times New Roman" w:cs="Times New Roman"/>
                      <w:color w:val="auto"/>
                      <w:sz w:val="18"/>
                      <w:szCs w:val="18"/>
                    </w:rPr>
                  </w:pPr>
                </w:p>
              </w:tc>
              <w:tc>
                <w:tcPr>
                  <w:tcW w:w="1738" w:type="dxa"/>
                  <w:noWrap w:val="0"/>
                  <w:tcMar>
                    <w:top w:w="0" w:type="dxa"/>
                    <w:left w:w="0" w:type="dxa"/>
                    <w:bottom w:w="0" w:type="dxa"/>
                    <w:right w:w="0" w:type="dxa"/>
                  </w:tcMar>
                  <w:vAlign w:val="center"/>
                </w:tcPr>
                <w:p w14:paraId="65DF4EA0">
                  <w:pPr>
                    <w:spacing w:line="240" w:lineRule="exact"/>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氨气、臭气浓度</w:t>
                  </w:r>
                </w:p>
              </w:tc>
              <w:tc>
                <w:tcPr>
                  <w:tcW w:w="1389" w:type="dxa"/>
                  <w:noWrap w:val="0"/>
                  <w:tcMar>
                    <w:top w:w="0" w:type="dxa"/>
                    <w:left w:w="0" w:type="dxa"/>
                    <w:bottom w:w="0" w:type="dxa"/>
                    <w:right w:w="0" w:type="dxa"/>
                  </w:tcMar>
                  <w:vAlign w:val="center"/>
                </w:tcPr>
                <w:p w14:paraId="6519358D">
                  <w:pPr>
                    <w:widowControl/>
                    <w:jc w:val="center"/>
                    <w:textAlignment w:val="center"/>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季度/次</w:t>
                  </w:r>
                </w:p>
              </w:tc>
              <w:tc>
                <w:tcPr>
                  <w:tcW w:w="2174" w:type="dxa"/>
                  <w:noWrap w:val="0"/>
                  <w:tcMar>
                    <w:top w:w="0" w:type="dxa"/>
                    <w:left w:w="0" w:type="dxa"/>
                    <w:bottom w:w="0" w:type="dxa"/>
                    <w:right w:w="0" w:type="dxa"/>
                  </w:tcMar>
                  <w:vAlign w:val="center"/>
                </w:tcPr>
                <w:p w14:paraId="14AE6424">
                  <w:pPr>
                    <w:jc w:val="center"/>
                    <w:rPr>
                      <w:rFonts w:hint="eastAsia" w:cs="Times New Roman"/>
                      <w:color w:val="auto"/>
                      <w:sz w:val="18"/>
                      <w:szCs w:val="18"/>
                      <w:lang w:val="en-US" w:eastAsia="zh-CN"/>
                    </w:rPr>
                  </w:pPr>
                  <w:r>
                    <w:rPr>
                      <w:rFonts w:hint="eastAsia" w:cs="Times New Roman"/>
                      <w:color w:val="auto"/>
                      <w:sz w:val="18"/>
                      <w:szCs w:val="18"/>
                      <w:lang w:val="en-US" w:eastAsia="zh-CN"/>
                    </w:rPr>
                    <w:t>氨气4.9kg/h</w:t>
                  </w:r>
                </w:p>
                <w:p w14:paraId="3D91EC70">
                  <w:pPr>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vertAlign w:val="baseline"/>
                      <w:lang w:val="en-US" w:eastAsia="zh-CN"/>
                    </w:rPr>
                    <w:t>臭气浓度2000无量纲</w:t>
                  </w:r>
                </w:p>
              </w:tc>
            </w:tr>
            <w:tr w14:paraId="67646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0" w:type="dxa"/>
                  <w:tcBorders>
                    <w:left w:val="single" w:color="auto" w:sz="2" w:space="0"/>
                  </w:tcBorders>
                  <w:noWrap w:val="0"/>
                  <w:vAlign w:val="center"/>
                </w:tcPr>
                <w:p w14:paraId="341E00FE">
                  <w:pPr>
                    <w:spacing w:line="240" w:lineRule="exact"/>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食堂油烟排气筒</w:t>
                  </w:r>
                </w:p>
              </w:tc>
              <w:tc>
                <w:tcPr>
                  <w:tcW w:w="1454" w:type="dxa"/>
                  <w:noWrap w:val="0"/>
                  <w:tcMar>
                    <w:top w:w="0" w:type="dxa"/>
                    <w:left w:w="0" w:type="dxa"/>
                    <w:bottom w:w="0" w:type="dxa"/>
                    <w:right w:w="0" w:type="dxa"/>
                  </w:tcMar>
                  <w:vAlign w:val="center"/>
                </w:tcPr>
                <w:p w14:paraId="6C46C2B3">
                  <w:pPr>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出口</w:t>
                  </w:r>
                </w:p>
              </w:tc>
              <w:tc>
                <w:tcPr>
                  <w:tcW w:w="1738" w:type="dxa"/>
                  <w:noWrap w:val="0"/>
                  <w:tcMar>
                    <w:top w:w="0" w:type="dxa"/>
                    <w:left w:w="0" w:type="dxa"/>
                    <w:bottom w:w="0" w:type="dxa"/>
                    <w:right w:w="0" w:type="dxa"/>
                  </w:tcMar>
                  <w:vAlign w:val="center"/>
                </w:tcPr>
                <w:p w14:paraId="6B5A0EFF">
                  <w:pPr>
                    <w:spacing w:line="240" w:lineRule="exact"/>
                    <w:jc w:val="center"/>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油烟</w:t>
                  </w:r>
                </w:p>
              </w:tc>
              <w:tc>
                <w:tcPr>
                  <w:tcW w:w="1389" w:type="dxa"/>
                  <w:noWrap w:val="0"/>
                  <w:tcMar>
                    <w:top w:w="0" w:type="dxa"/>
                    <w:left w:w="0" w:type="dxa"/>
                    <w:bottom w:w="0" w:type="dxa"/>
                    <w:right w:w="0" w:type="dxa"/>
                  </w:tcMar>
                  <w:vAlign w:val="center"/>
                </w:tcPr>
                <w:p w14:paraId="276093E8">
                  <w:pPr>
                    <w:widowControl/>
                    <w:jc w:val="center"/>
                    <w:textAlignment w:val="center"/>
                    <w:rPr>
                      <w:rFonts w:hint="default" w:ascii="Times New Roman" w:hAnsi="Times New Roman" w:cs="Times New Roman"/>
                      <w:color w:val="auto"/>
                      <w:sz w:val="18"/>
                      <w:szCs w:val="18"/>
                      <w:lang w:eastAsia="zh-CN"/>
                    </w:rPr>
                  </w:pPr>
                  <w:r>
                    <w:rPr>
                      <w:rFonts w:hint="default" w:ascii="Times New Roman" w:hAnsi="Times New Roman" w:cs="Times New Roman"/>
                      <w:color w:val="auto"/>
                      <w:sz w:val="18"/>
                      <w:szCs w:val="18"/>
                      <w:lang w:eastAsia="zh-CN"/>
                    </w:rPr>
                    <w:t>1次/年</w:t>
                  </w:r>
                </w:p>
              </w:tc>
              <w:tc>
                <w:tcPr>
                  <w:tcW w:w="2174" w:type="dxa"/>
                  <w:noWrap w:val="0"/>
                  <w:tcMar>
                    <w:top w:w="0" w:type="dxa"/>
                    <w:left w:w="0" w:type="dxa"/>
                    <w:bottom w:w="0" w:type="dxa"/>
                    <w:right w:w="0" w:type="dxa"/>
                  </w:tcMar>
                  <w:vAlign w:val="center"/>
                </w:tcPr>
                <w:p w14:paraId="655F22DC">
                  <w:pPr>
                    <w:pStyle w:val="80"/>
                    <w:rPr>
                      <w:rFonts w:hint="eastAsia" w:cs="Times New Roman"/>
                      <w:color w:val="auto"/>
                      <w:sz w:val="18"/>
                      <w:szCs w:val="18"/>
                      <w:lang w:val="en-US" w:eastAsia="zh-CN"/>
                    </w:rPr>
                  </w:pPr>
                  <w:r>
                    <w:rPr>
                      <w:rFonts w:hint="eastAsia" w:cs="Times New Roman"/>
                      <w:color w:val="auto"/>
                      <w:sz w:val="18"/>
                      <w:szCs w:val="18"/>
                      <w:lang w:val="en-US" w:eastAsia="zh-CN"/>
                    </w:rPr>
                    <w:t>油烟</w:t>
                  </w:r>
                  <w:r>
                    <w:rPr>
                      <w:rFonts w:hint="default" w:ascii="Times New Roman" w:hAnsi="Times New Roman" w:cs="Times New Roman"/>
                      <w:color w:val="auto"/>
                      <w:sz w:val="18"/>
                      <w:szCs w:val="18"/>
                    </w:rPr>
                    <w:t>1</w:t>
                  </w:r>
                  <w:r>
                    <w:rPr>
                      <w:rFonts w:hint="eastAsia" w:ascii="Times New Roman" w:hAnsi="Times New Roman" w:cs="Times New Roman"/>
                      <w:color w:val="auto"/>
                      <w:sz w:val="18"/>
                      <w:szCs w:val="18"/>
                      <w:lang w:val="en-US" w:eastAsia="zh-CN"/>
                    </w:rPr>
                    <w:t>.5</w:t>
                  </w:r>
                  <w:r>
                    <w:rPr>
                      <w:rFonts w:hint="default" w:ascii="Times New Roman" w:hAnsi="Times New Roman" w:cs="Times New Roman"/>
                      <w:color w:val="auto"/>
                      <w:sz w:val="18"/>
                      <w:szCs w:val="18"/>
                    </w:rPr>
                    <w:t>mg/m</w:t>
                  </w:r>
                  <w:r>
                    <w:rPr>
                      <w:rFonts w:hint="default" w:ascii="Times New Roman" w:hAnsi="Times New Roman" w:cs="Times New Roman"/>
                      <w:color w:val="auto"/>
                      <w:sz w:val="18"/>
                      <w:szCs w:val="18"/>
                      <w:vertAlign w:val="superscript"/>
                    </w:rPr>
                    <w:t>3</w:t>
                  </w:r>
                </w:p>
              </w:tc>
            </w:tr>
            <w:tr w14:paraId="55A52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0" w:type="dxa"/>
                  <w:tcBorders>
                    <w:left w:val="single" w:color="auto" w:sz="2" w:space="0"/>
                  </w:tcBorders>
                  <w:noWrap w:val="0"/>
                  <w:vAlign w:val="center"/>
                </w:tcPr>
                <w:p w14:paraId="095EAC12">
                  <w:pPr>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无组织</w:t>
                  </w:r>
                </w:p>
              </w:tc>
              <w:tc>
                <w:tcPr>
                  <w:tcW w:w="1454" w:type="dxa"/>
                  <w:noWrap w:val="0"/>
                  <w:tcMar>
                    <w:top w:w="0" w:type="dxa"/>
                    <w:left w:w="0" w:type="dxa"/>
                    <w:bottom w:w="0" w:type="dxa"/>
                    <w:right w:w="0" w:type="dxa"/>
                  </w:tcMar>
                  <w:vAlign w:val="center"/>
                </w:tcPr>
                <w:p w14:paraId="75891920">
                  <w:pPr>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厂界外</w:t>
                  </w:r>
                </w:p>
              </w:tc>
              <w:tc>
                <w:tcPr>
                  <w:tcW w:w="1738" w:type="dxa"/>
                  <w:noWrap w:val="0"/>
                  <w:tcMar>
                    <w:top w:w="0" w:type="dxa"/>
                    <w:left w:w="0" w:type="dxa"/>
                    <w:bottom w:w="0" w:type="dxa"/>
                    <w:right w:w="0" w:type="dxa"/>
                  </w:tcMar>
                  <w:vAlign w:val="center"/>
                </w:tcPr>
                <w:p w14:paraId="3F73FE71">
                  <w:pPr>
                    <w:spacing w:line="240" w:lineRule="exact"/>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sz w:val="18"/>
                      <w:szCs w:val="18"/>
                    </w:rPr>
                    <w:t>颗粒物</w:t>
                  </w:r>
                  <w:r>
                    <w:rPr>
                      <w:rFonts w:hint="eastAsia" w:cs="Times New Roman"/>
                      <w:color w:val="auto"/>
                      <w:sz w:val="18"/>
                      <w:szCs w:val="18"/>
                      <w:lang w:eastAsia="zh-CN"/>
                    </w:rPr>
                    <w:t>、</w:t>
                  </w:r>
                  <w:r>
                    <w:rPr>
                      <w:rFonts w:hint="eastAsia" w:cs="Times New Roman"/>
                      <w:color w:val="auto"/>
                      <w:sz w:val="18"/>
                      <w:szCs w:val="18"/>
                      <w:lang w:val="en-US" w:eastAsia="zh-CN"/>
                    </w:rPr>
                    <w:t>氨气、臭气浓度</w:t>
                  </w:r>
                </w:p>
              </w:tc>
              <w:tc>
                <w:tcPr>
                  <w:tcW w:w="1389" w:type="dxa"/>
                  <w:noWrap w:val="0"/>
                  <w:tcMar>
                    <w:top w:w="0" w:type="dxa"/>
                    <w:left w:w="0" w:type="dxa"/>
                    <w:bottom w:w="0" w:type="dxa"/>
                    <w:right w:w="0" w:type="dxa"/>
                  </w:tcMar>
                  <w:vAlign w:val="center"/>
                </w:tcPr>
                <w:p w14:paraId="3E3077D0">
                  <w:pPr>
                    <w:widowControl/>
                    <w:jc w:val="center"/>
                    <w:textAlignment w:val="center"/>
                    <w:rPr>
                      <w:rFonts w:hint="default" w:ascii="Times New Roman" w:hAnsi="Times New Roman" w:eastAsia="宋体" w:cs="Times New Roman"/>
                      <w:color w:val="auto"/>
                      <w:kern w:val="0"/>
                      <w:sz w:val="18"/>
                      <w:szCs w:val="18"/>
                      <w:lang w:eastAsia="zh-CN" w:bidi="ar"/>
                    </w:rPr>
                  </w:pPr>
                  <w:r>
                    <w:rPr>
                      <w:rFonts w:hint="default" w:ascii="Times New Roman" w:hAnsi="Times New Roman" w:cs="Times New Roman"/>
                      <w:color w:val="auto"/>
                      <w:sz w:val="18"/>
                      <w:szCs w:val="18"/>
                      <w:lang w:eastAsia="zh-CN"/>
                    </w:rPr>
                    <w:t>1次/半年</w:t>
                  </w:r>
                </w:p>
              </w:tc>
              <w:tc>
                <w:tcPr>
                  <w:tcW w:w="2174" w:type="dxa"/>
                  <w:noWrap w:val="0"/>
                  <w:tcMar>
                    <w:top w:w="0" w:type="dxa"/>
                    <w:left w:w="0" w:type="dxa"/>
                    <w:bottom w:w="0" w:type="dxa"/>
                    <w:right w:w="0" w:type="dxa"/>
                  </w:tcMar>
                  <w:vAlign w:val="center"/>
                </w:tcPr>
                <w:p w14:paraId="3928637C">
                  <w:pPr>
                    <w:adjustRightInd w:val="0"/>
                    <w:snapToGrid w:val="0"/>
                    <w:jc w:val="center"/>
                    <w:rPr>
                      <w:rFonts w:hint="default" w:ascii="Times New Roman" w:hAnsi="Times New Roman" w:cs="Times New Roman"/>
                      <w:color w:val="auto"/>
                      <w:sz w:val="18"/>
                      <w:szCs w:val="18"/>
                      <w:vertAlign w:val="superscript"/>
                    </w:rPr>
                  </w:pPr>
                  <w:r>
                    <w:rPr>
                      <w:rFonts w:hint="eastAsia" w:cs="Times New Roman"/>
                      <w:color w:val="auto"/>
                      <w:sz w:val="18"/>
                      <w:szCs w:val="18"/>
                      <w:lang w:val="en-US" w:eastAsia="zh-CN"/>
                    </w:rPr>
                    <w:t>颗粒物</w:t>
                  </w:r>
                  <w:r>
                    <w:rPr>
                      <w:rFonts w:hint="default" w:ascii="Times New Roman" w:hAnsi="Times New Roman" w:cs="Times New Roman"/>
                      <w:color w:val="auto"/>
                      <w:sz w:val="18"/>
                      <w:szCs w:val="18"/>
                    </w:rPr>
                    <w:t>1.0 mg/m</w:t>
                  </w:r>
                  <w:r>
                    <w:rPr>
                      <w:rFonts w:hint="default" w:ascii="Times New Roman" w:hAnsi="Times New Roman" w:cs="Times New Roman"/>
                      <w:color w:val="auto"/>
                      <w:sz w:val="18"/>
                      <w:szCs w:val="18"/>
                      <w:vertAlign w:val="superscript"/>
                    </w:rPr>
                    <w:t>3</w:t>
                  </w:r>
                </w:p>
                <w:p w14:paraId="38A548C2">
                  <w:pPr>
                    <w:pStyle w:val="80"/>
                    <w:adjustRightInd w:val="0"/>
                    <w:snapToGrid w:val="0"/>
                    <w:spacing w:after="0"/>
                    <w:ind w:left="0" w:leftChars="0"/>
                    <w:jc w:val="center"/>
                    <w:rPr>
                      <w:rFonts w:hint="default" w:ascii="Times New Roman" w:hAnsi="Times New Roman" w:cs="Times New Roman"/>
                      <w:color w:val="auto"/>
                      <w:sz w:val="18"/>
                      <w:szCs w:val="18"/>
                      <w:vertAlign w:val="superscript"/>
                    </w:rPr>
                  </w:pPr>
                  <w:r>
                    <w:rPr>
                      <w:rFonts w:hint="eastAsia" w:cs="Times New Roman"/>
                      <w:color w:val="auto"/>
                      <w:sz w:val="18"/>
                      <w:szCs w:val="18"/>
                      <w:lang w:val="en-US" w:eastAsia="zh-CN"/>
                    </w:rPr>
                    <w:t>氨气</w:t>
                  </w:r>
                  <w:r>
                    <w:rPr>
                      <w:rFonts w:hint="default" w:ascii="Times New Roman" w:hAnsi="Times New Roman" w:cs="Times New Roman"/>
                      <w:color w:val="auto"/>
                      <w:sz w:val="18"/>
                      <w:szCs w:val="18"/>
                    </w:rPr>
                    <w:t>1</w:t>
                  </w:r>
                  <w:r>
                    <w:rPr>
                      <w:rFonts w:hint="eastAsia" w:ascii="Times New Roman" w:hAnsi="Times New Roman" w:cs="Times New Roman"/>
                      <w:color w:val="auto"/>
                      <w:sz w:val="18"/>
                      <w:szCs w:val="18"/>
                      <w:lang w:val="en-US" w:eastAsia="zh-CN"/>
                    </w:rPr>
                    <w:t>.5</w:t>
                  </w:r>
                  <w:r>
                    <w:rPr>
                      <w:rFonts w:hint="default" w:ascii="Times New Roman" w:hAnsi="Times New Roman" w:cs="Times New Roman"/>
                      <w:color w:val="auto"/>
                      <w:sz w:val="18"/>
                      <w:szCs w:val="18"/>
                    </w:rPr>
                    <w:t>mg/m</w:t>
                  </w:r>
                  <w:r>
                    <w:rPr>
                      <w:rFonts w:hint="default" w:ascii="Times New Roman" w:hAnsi="Times New Roman" w:cs="Times New Roman"/>
                      <w:color w:val="auto"/>
                      <w:sz w:val="18"/>
                      <w:szCs w:val="18"/>
                      <w:vertAlign w:val="superscript"/>
                    </w:rPr>
                    <w:t>3</w:t>
                  </w:r>
                </w:p>
                <w:p w14:paraId="2AB8322F">
                  <w:pPr>
                    <w:pStyle w:val="80"/>
                    <w:adjustRightInd w:val="0"/>
                    <w:snapToGrid w:val="0"/>
                    <w:spacing w:after="0"/>
                    <w:ind w:left="0" w:leftChars="0"/>
                    <w:jc w:val="center"/>
                    <w:rPr>
                      <w:rFonts w:hint="eastAsia" w:eastAsia="宋体"/>
                      <w:color w:val="auto"/>
                      <w:lang w:eastAsia="zh-CN"/>
                    </w:rPr>
                  </w:pPr>
                  <w:r>
                    <w:rPr>
                      <w:rFonts w:hint="eastAsia" w:cs="Times New Roman"/>
                      <w:color w:val="auto"/>
                      <w:sz w:val="18"/>
                      <w:szCs w:val="18"/>
                      <w:vertAlign w:val="baseline"/>
                      <w:lang w:val="en-US" w:eastAsia="zh-CN"/>
                    </w:rPr>
                    <w:t>臭气浓度16无量纲</w:t>
                  </w:r>
                </w:p>
              </w:tc>
            </w:tr>
          </w:tbl>
          <w:p w14:paraId="6789DA57">
            <w:pPr>
              <w:tabs>
                <w:tab w:val="left" w:pos="1800"/>
              </w:tabs>
              <w:adjustRightInd w:val="0"/>
              <w:snapToGrid w:val="0"/>
              <w:spacing w:line="360" w:lineRule="auto"/>
              <w:ind w:firstLine="422" w:firstLineChars="200"/>
              <w:rPr>
                <w:rFonts w:hint="default" w:ascii="Times New Roman" w:hAnsi="Times New Roman" w:cs="Times New Roman"/>
                <w:b/>
                <w:bCs/>
                <w:color w:val="auto"/>
                <w:kern w:val="24"/>
                <w:highlight w:val="none"/>
              </w:rPr>
            </w:pPr>
            <w:r>
              <w:rPr>
                <w:rFonts w:hint="default" w:ascii="Times New Roman" w:hAnsi="Times New Roman" w:cs="Times New Roman"/>
                <w:b/>
                <w:bCs/>
                <w:color w:val="auto"/>
                <w:kern w:val="24"/>
                <w:highlight w:val="none"/>
              </w:rPr>
              <w:t>二、废水</w:t>
            </w:r>
          </w:p>
          <w:p w14:paraId="77B31B6E">
            <w:pPr>
              <w:pStyle w:val="80"/>
              <w:spacing w:after="0" w:line="360" w:lineRule="auto"/>
              <w:ind w:left="0" w:leftChars="0"/>
              <w:jc w:val="left"/>
              <w:rPr>
                <w:rFonts w:hint="default" w:ascii="Times New Roman" w:hAnsi="Times New Roman" w:eastAsia="宋体" w:cs="Times New Roman"/>
                <w:b/>
                <w:bCs/>
                <w:color w:val="auto"/>
                <w:sz w:val="21"/>
                <w:szCs w:val="18"/>
                <w:highlight w:val="none"/>
              </w:rPr>
            </w:pPr>
            <w:r>
              <w:rPr>
                <w:rFonts w:hint="default" w:ascii="Times New Roman" w:hAnsi="Times New Roman" w:eastAsia="宋体" w:cs="Times New Roman"/>
                <w:b/>
                <w:bCs/>
                <w:color w:val="auto"/>
                <w:sz w:val="21"/>
                <w:szCs w:val="18"/>
                <w:highlight w:val="none"/>
              </w:rPr>
              <w:t>1、产排污环节、污染物治理设施及废气排放情况汇总</w:t>
            </w:r>
          </w:p>
          <w:p w14:paraId="1B3D7C93">
            <w:pPr>
              <w:adjustRightInd w:val="0"/>
              <w:snapToGrid w:val="0"/>
              <w:ind w:firstLine="422" w:firstLineChars="200"/>
              <w:jc w:val="center"/>
              <w:rPr>
                <w:rFonts w:hint="default" w:cs="Times New Roman"/>
                <w:b/>
                <w:bCs/>
                <w:color w:val="auto"/>
                <w:highlight w:val="none"/>
                <w:lang w:val="en-US" w:eastAsia="zh-CN"/>
              </w:rPr>
            </w:pPr>
            <w:r>
              <w:rPr>
                <w:rFonts w:hint="default" w:cs="Times New Roman"/>
                <w:b/>
                <w:bCs/>
                <w:color w:val="auto"/>
                <w:highlight w:val="none"/>
                <w:lang w:val="en-US" w:eastAsia="zh-CN"/>
              </w:rPr>
              <w:t>表4-</w:t>
            </w:r>
            <w:r>
              <w:rPr>
                <w:rFonts w:hint="eastAsia" w:cs="Times New Roman"/>
                <w:b/>
                <w:bCs/>
                <w:color w:val="auto"/>
                <w:highlight w:val="none"/>
                <w:lang w:val="en-US" w:eastAsia="zh-CN"/>
              </w:rPr>
              <w:t>24</w:t>
            </w:r>
            <w:r>
              <w:rPr>
                <w:rFonts w:hint="default" w:cs="Times New Roman"/>
                <w:b/>
                <w:bCs/>
                <w:color w:val="auto"/>
                <w:highlight w:val="none"/>
                <w:lang w:val="en-US" w:eastAsia="zh-CN"/>
              </w:rPr>
              <w:t>类别、污染物及污染治理设施信息表</w:t>
            </w:r>
          </w:p>
          <w:tbl>
            <w:tblPr>
              <w:tblStyle w:val="8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68"/>
              <w:gridCol w:w="902"/>
              <w:gridCol w:w="473"/>
              <w:gridCol w:w="535"/>
              <w:gridCol w:w="508"/>
              <w:gridCol w:w="642"/>
              <w:gridCol w:w="689"/>
              <w:gridCol w:w="496"/>
              <w:gridCol w:w="600"/>
              <w:gridCol w:w="595"/>
              <w:gridCol w:w="585"/>
              <w:gridCol w:w="610"/>
              <w:gridCol w:w="657"/>
              <w:gridCol w:w="610"/>
            </w:tblGrid>
            <w:tr w14:paraId="2753E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80" w:type="pct"/>
                  <w:vMerge w:val="restart"/>
                  <w:tcBorders>
                    <w:top w:val="single" w:color="auto" w:sz="4" w:space="0"/>
                    <w:left w:val="single" w:color="auto" w:sz="4" w:space="0"/>
                    <w:bottom w:val="single" w:color="auto" w:sz="4" w:space="0"/>
                    <w:right w:val="single" w:color="auto" w:sz="4" w:space="0"/>
                  </w:tcBorders>
                  <w:vAlign w:val="center"/>
                </w:tcPr>
                <w:p w14:paraId="3A367B5E">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产污环节</w:t>
                  </w:r>
                </w:p>
              </w:tc>
              <w:tc>
                <w:tcPr>
                  <w:tcW w:w="538" w:type="pct"/>
                  <w:vMerge w:val="restart"/>
                  <w:tcBorders>
                    <w:top w:val="single" w:color="auto" w:sz="4" w:space="0"/>
                    <w:left w:val="single" w:color="auto" w:sz="4" w:space="0"/>
                    <w:bottom w:val="single" w:color="auto" w:sz="4" w:space="0"/>
                    <w:right w:val="single" w:color="auto" w:sz="4" w:space="0"/>
                  </w:tcBorders>
                  <w:vAlign w:val="center"/>
                </w:tcPr>
                <w:p w14:paraId="34506369">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污染物</w:t>
                  </w:r>
                </w:p>
                <w:p w14:paraId="46DE5793">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种类</w:t>
                  </w:r>
                </w:p>
              </w:tc>
              <w:tc>
                <w:tcPr>
                  <w:tcW w:w="282" w:type="pct"/>
                  <w:vMerge w:val="restart"/>
                  <w:tcBorders>
                    <w:top w:val="single" w:color="auto" w:sz="4" w:space="0"/>
                    <w:left w:val="single" w:color="auto" w:sz="4" w:space="0"/>
                    <w:bottom w:val="single" w:color="auto" w:sz="4" w:space="0"/>
                    <w:right w:val="single" w:color="auto" w:sz="4" w:space="0"/>
                  </w:tcBorders>
                  <w:vAlign w:val="center"/>
                </w:tcPr>
                <w:p w14:paraId="22C607BB">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废水类别</w:t>
                  </w:r>
                </w:p>
              </w:tc>
              <w:tc>
                <w:tcPr>
                  <w:tcW w:w="1712" w:type="pct"/>
                  <w:gridSpan w:val="5"/>
                  <w:tcBorders>
                    <w:top w:val="single" w:color="auto" w:sz="4" w:space="0"/>
                    <w:left w:val="single" w:color="auto" w:sz="4" w:space="0"/>
                    <w:bottom w:val="single" w:color="auto" w:sz="4" w:space="0"/>
                    <w:right w:val="single" w:color="auto" w:sz="4" w:space="0"/>
                  </w:tcBorders>
                  <w:vAlign w:val="center"/>
                </w:tcPr>
                <w:p w14:paraId="58FA152F">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污染治理设施</w:t>
                  </w:r>
                </w:p>
              </w:tc>
              <w:tc>
                <w:tcPr>
                  <w:tcW w:w="358" w:type="pct"/>
                  <w:vMerge w:val="restart"/>
                  <w:tcBorders>
                    <w:top w:val="single" w:color="auto" w:sz="4" w:space="0"/>
                    <w:left w:val="single" w:color="auto" w:sz="4" w:space="0"/>
                    <w:bottom w:val="single" w:color="auto" w:sz="4" w:space="0"/>
                    <w:right w:val="single" w:color="auto" w:sz="4" w:space="0"/>
                  </w:tcBorders>
                  <w:vAlign w:val="center"/>
                </w:tcPr>
                <w:p w14:paraId="28A777AB">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w:t>
                  </w:r>
                </w:p>
                <w:p w14:paraId="2A41F8E2">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去向</w:t>
                  </w:r>
                </w:p>
              </w:tc>
              <w:tc>
                <w:tcPr>
                  <w:tcW w:w="355" w:type="pct"/>
                  <w:vMerge w:val="restart"/>
                  <w:tcBorders>
                    <w:top w:val="single" w:color="auto" w:sz="4" w:space="0"/>
                    <w:left w:val="single" w:color="auto" w:sz="4" w:space="0"/>
                    <w:bottom w:val="single" w:color="auto" w:sz="4" w:space="0"/>
                    <w:right w:val="single" w:color="auto" w:sz="4" w:space="0"/>
                  </w:tcBorders>
                  <w:vAlign w:val="center"/>
                </w:tcPr>
                <w:p w14:paraId="497580B7">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w:t>
                  </w:r>
                </w:p>
                <w:p w14:paraId="40D7B3D8">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方式</w:t>
                  </w:r>
                </w:p>
              </w:tc>
              <w:tc>
                <w:tcPr>
                  <w:tcW w:w="349" w:type="pct"/>
                  <w:vMerge w:val="restart"/>
                  <w:tcBorders>
                    <w:top w:val="single" w:color="auto" w:sz="4" w:space="0"/>
                    <w:left w:val="single" w:color="auto" w:sz="4" w:space="0"/>
                    <w:bottom w:val="single" w:color="auto" w:sz="4" w:space="0"/>
                    <w:right w:val="single" w:color="auto" w:sz="4" w:space="0"/>
                  </w:tcBorders>
                  <w:vAlign w:val="center"/>
                </w:tcPr>
                <w:p w14:paraId="196208CD">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w:t>
                  </w:r>
                </w:p>
                <w:p w14:paraId="5A713980">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规律</w:t>
                  </w:r>
                </w:p>
              </w:tc>
              <w:tc>
                <w:tcPr>
                  <w:tcW w:w="364" w:type="pct"/>
                  <w:vMerge w:val="restart"/>
                  <w:tcBorders>
                    <w:top w:val="single" w:color="auto" w:sz="4" w:space="0"/>
                    <w:left w:val="single" w:color="auto" w:sz="4" w:space="0"/>
                    <w:bottom w:val="single" w:color="auto" w:sz="4" w:space="0"/>
                    <w:right w:val="single" w:color="auto" w:sz="4" w:space="0"/>
                  </w:tcBorders>
                  <w:vAlign w:val="center"/>
                </w:tcPr>
                <w:p w14:paraId="617D77CE">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排放口编号</w:t>
                  </w:r>
                </w:p>
              </w:tc>
              <w:tc>
                <w:tcPr>
                  <w:tcW w:w="392" w:type="pct"/>
                  <w:vMerge w:val="restart"/>
                  <w:tcBorders>
                    <w:top w:val="single" w:color="auto" w:sz="4" w:space="0"/>
                    <w:left w:val="single" w:color="auto" w:sz="4" w:space="0"/>
                    <w:bottom w:val="single" w:color="auto" w:sz="4" w:space="0"/>
                    <w:right w:val="single" w:color="auto" w:sz="4" w:space="0"/>
                  </w:tcBorders>
                  <w:vAlign w:val="center"/>
                </w:tcPr>
                <w:p w14:paraId="1A797CC2">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排放口名称</w:t>
                  </w:r>
                </w:p>
              </w:tc>
              <w:tc>
                <w:tcPr>
                  <w:tcW w:w="364" w:type="pct"/>
                  <w:vMerge w:val="restart"/>
                  <w:tcBorders>
                    <w:top w:val="single" w:color="auto" w:sz="4" w:space="0"/>
                    <w:left w:val="single" w:color="auto" w:sz="4" w:space="0"/>
                    <w:bottom w:val="single" w:color="auto" w:sz="4" w:space="0"/>
                    <w:right w:val="single" w:color="auto" w:sz="4" w:space="0"/>
                  </w:tcBorders>
                  <w:vAlign w:val="center"/>
                </w:tcPr>
                <w:p w14:paraId="725BAFA3">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排放口类型</w:t>
                  </w:r>
                </w:p>
              </w:tc>
            </w:tr>
            <w:tr w14:paraId="12E3F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80" w:type="pct"/>
                  <w:vMerge w:val="continue"/>
                  <w:tcBorders>
                    <w:top w:val="single" w:color="auto" w:sz="4" w:space="0"/>
                    <w:left w:val="single" w:color="auto" w:sz="4" w:space="0"/>
                    <w:bottom w:val="single" w:color="auto" w:sz="4" w:space="0"/>
                    <w:right w:val="single" w:color="auto" w:sz="4" w:space="0"/>
                  </w:tcBorders>
                  <w:vAlign w:val="center"/>
                </w:tcPr>
                <w:p w14:paraId="57B1D57A">
                  <w:pPr>
                    <w:jc w:val="center"/>
                    <w:rPr>
                      <w:rFonts w:hint="default" w:ascii="Times New Roman" w:hAnsi="Times New Roman" w:cs="Times New Roman"/>
                      <w:color w:val="auto"/>
                      <w:sz w:val="18"/>
                      <w:szCs w:val="18"/>
                      <w:highlight w:val="none"/>
                    </w:rPr>
                  </w:pPr>
                </w:p>
              </w:tc>
              <w:tc>
                <w:tcPr>
                  <w:tcW w:w="538" w:type="pct"/>
                  <w:vMerge w:val="continue"/>
                  <w:tcBorders>
                    <w:top w:val="single" w:color="auto" w:sz="4" w:space="0"/>
                    <w:left w:val="single" w:color="auto" w:sz="4" w:space="0"/>
                    <w:bottom w:val="single" w:color="auto" w:sz="4" w:space="0"/>
                    <w:right w:val="single" w:color="auto" w:sz="4" w:space="0"/>
                  </w:tcBorders>
                  <w:vAlign w:val="center"/>
                </w:tcPr>
                <w:p w14:paraId="7A65CD90">
                  <w:pPr>
                    <w:jc w:val="center"/>
                    <w:rPr>
                      <w:rFonts w:hint="default" w:ascii="Times New Roman" w:hAnsi="Times New Roman" w:cs="Times New Roman"/>
                      <w:color w:val="auto"/>
                      <w:sz w:val="18"/>
                      <w:szCs w:val="18"/>
                      <w:highlight w:val="none"/>
                    </w:rPr>
                  </w:pPr>
                </w:p>
              </w:tc>
              <w:tc>
                <w:tcPr>
                  <w:tcW w:w="282" w:type="pct"/>
                  <w:vMerge w:val="continue"/>
                  <w:tcBorders>
                    <w:top w:val="single" w:color="auto" w:sz="4" w:space="0"/>
                    <w:left w:val="single" w:color="auto" w:sz="4" w:space="0"/>
                    <w:bottom w:val="single" w:color="auto" w:sz="4" w:space="0"/>
                    <w:right w:val="single" w:color="auto" w:sz="4" w:space="0"/>
                  </w:tcBorders>
                  <w:vAlign w:val="center"/>
                </w:tcPr>
                <w:p w14:paraId="689079E8">
                  <w:pPr>
                    <w:jc w:val="center"/>
                    <w:rPr>
                      <w:rFonts w:hint="default" w:ascii="Times New Roman" w:hAnsi="Times New Roman" w:cs="Times New Roman"/>
                      <w:color w:val="auto"/>
                      <w:sz w:val="18"/>
                      <w:szCs w:val="18"/>
                      <w:highlight w:val="none"/>
                    </w:rPr>
                  </w:pPr>
                </w:p>
              </w:tc>
              <w:tc>
                <w:tcPr>
                  <w:tcW w:w="319" w:type="pct"/>
                  <w:tcBorders>
                    <w:top w:val="single" w:color="auto" w:sz="4" w:space="0"/>
                    <w:left w:val="single" w:color="auto" w:sz="4" w:space="0"/>
                    <w:bottom w:val="single" w:color="auto" w:sz="4" w:space="0"/>
                    <w:right w:val="single" w:color="auto" w:sz="4" w:space="0"/>
                  </w:tcBorders>
                  <w:vAlign w:val="center"/>
                </w:tcPr>
                <w:p w14:paraId="01FD13CD">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设施类型</w:t>
                  </w:r>
                </w:p>
              </w:tc>
              <w:tc>
                <w:tcPr>
                  <w:tcW w:w="303" w:type="pct"/>
                  <w:tcBorders>
                    <w:top w:val="single" w:color="auto" w:sz="4" w:space="0"/>
                    <w:left w:val="single" w:color="auto" w:sz="4" w:space="0"/>
                    <w:bottom w:val="single" w:color="auto" w:sz="4" w:space="0"/>
                    <w:right w:val="single" w:color="auto" w:sz="4" w:space="0"/>
                  </w:tcBorders>
                  <w:vAlign w:val="center"/>
                </w:tcPr>
                <w:p w14:paraId="2EA93611">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处理</w:t>
                  </w:r>
                </w:p>
                <w:p w14:paraId="4963F418">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工艺</w:t>
                  </w:r>
                </w:p>
              </w:tc>
              <w:tc>
                <w:tcPr>
                  <w:tcW w:w="383" w:type="pct"/>
                  <w:tcBorders>
                    <w:top w:val="single" w:color="auto" w:sz="4" w:space="0"/>
                    <w:left w:val="single" w:color="auto" w:sz="4" w:space="0"/>
                    <w:bottom w:val="single" w:color="auto" w:sz="4" w:space="0"/>
                    <w:right w:val="single" w:color="auto" w:sz="4" w:space="0"/>
                  </w:tcBorders>
                  <w:vAlign w:val="center"/>
                </w:tcPr>
                <w:p w14:paraId="561EF63D">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处理</w:t>
                  </w:r>
                </w:p>
                <w:p w14:paraId="1F2A4DBC">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能力（t/h）</w:t>
                  </w:r>
                </w:p>
              </w:tc>
              <w:tc>
                <w:tcPr>
                  <w:tcW w:w="411" w:type="pct"/>
                  <w:tcBorders>
                    <w:top w:val="single" w:color="auto" w:sz="4" w:space="0"/>
                    <w:left w:val="single" w:color="auto" w:sz="4" w:space="0"/>
                    <w:bottom w:val="single" w:color="auto" w:sz="4" w:space="0"/>
                    <w:right w:val="single" w:color="auto" w:sz="4" w:space="0"/>
                  </w:tcBorders>
                  <w:vAlign w:val="center"/>
                </w:tcPr>
                <w:p w14:paraId="12AD2123">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是否为可行技术</w:t>
                  </w:r>
                </w:p>
              </w:tc>
              <w:tc>
                <w:tcPr>
                  <w:tcW w:w="294" w:type="pct"/>
                  <w:tcBorders>
                    <w:top w:val="single" w:color="auto" w:sz="4" w:space="0"/>
                    <w:left w:val="single" w:color="auto" w:sz="4" w:space="0"/>
                    <w:bottom w:val="single" w:color="auto" w:sz="4" w:space="0"/>
                    <w:right w:val="single" w:color="auto" w:sz="4" w:space="0"/>
                  </w:tcBorders>
                  <w:vAlign w:val="center"/>
                </w:tcPr>
                <w:p w14:paraId="29B152CD">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设施名称</w:t>
                  </w:r>
                </w:p>
              </w:tc>
              <w:tc>
                <w:tcPr>
                  <w:tcW w:w="358" w:type="pct"/>
                  <w:vMerge w:val="continue"/>
                  <w:tcBorders>
                    <w:top w:val="single" w:color="auto" w:sz="4" w:space="0"/>
                    <w:left w:val="single" w:color="auto" w:sz="4" w:space="0"/>
                    <w:bottom w:val="single" w:color="auto" w:sz="4" w:space="0"/>
                    <w:right w:val="single" w:color="auto" w:sz="4" w:space="0"/>
                  </w:tcBorders>
                  <w:vAlign w:val="center"/>
                </w:tcPr>
                <w:p w14:paraId="196E7DD3">
                  <w:pPr>
                    <w:jc w:val="center"/>
                    <w:rPr>
                      <w:rFonts w:hint="default" w:ascii="Times New Roman" w:hAnsi="Times New Roman" w:cs="Times New Roman"/>
                      <w:color w:val="auto"/>
                      <w:sz w:val="18"/>
                      <w:szCs w:val="18"/>
                      <w:highlight w:val="none"/>
                    </w:rPr>
                  </w:pPr>
                </w:p>
              </w:tc>
              <w:tc>
                <w:tcPr>
                  <w:tcW w:w="355" w:type="pct"/>
                  <w:vMerge w:val="continue"/>
                  <w:tcBorders>
                    <w:top w:val="single" w:color="auto" w:sz="4" w:space="0"/>
                    <w:left w:val="single" w:color="auto" w:sz="4" w:space="0"/>
                    <w:bottom w:val="single" w:color="auto" w:sz="4" w:space="0"/>
                    <w:right w:val="single" w:color="auto" w:sz="4" w:space="0"/>
                  </w:tcBorders>
                  <w:vAlign w:val="center"/>
                </w:tcPr>
                <w:p w14:paraId="346D2259">
                  <w:pPr>
                    <w:jc w:val="center"/>
                    <w:rPr>
                      <w:rFonts w:hint="default" w:ascii="Times New Roman" w:hAnsi="Times New Roman" w:cs="Times New Roman"/>
                      <w:color w:val="auto"/>
                      <w:sz w:val="18"/>
                      <w:szCs w:val="18"/>
                      <w:highlight w:val="none"/>
                    </w:rPr>
                  </w:pPr>
                </w:p>
              </w:tc>
              <w:tc>
                <w:tcPr>
                  <w:tcW w:w="349" w:type="pct"/>
                  <w:vMerge w:val="continue"/>
                  <w:tcBorders>
                    <w:top w:val="single" w:color="auto" w:sz="4" w:space="0"/>
                    <w:left w:val="single" w:color="auto" w:sz="4" w:space="0"/>
                    <w:bottom w:val="single" w:color="auto" w:sz="4" w:space="0"/>
                    <w:right w:val="single" w:color="auto" w:sz="4" w:space="0"/>
                  </w:tcBorders>
                  <w:vAlign w:val="center"/>
                </w:tcPr>
                <w:p w14:paraId="22C05184">
                  <w:pPr>
                    <w:jc w:val="center"/>
                    <w:rPr>
                      <w:rFonts w:hint="default" w:ascii="Times New Roman" w:hAnsi="Times New Roman" w:cs="Times New Roman"/>
                      <w:color w:val="auto"/>
                      <w:sz w:val="18"/>
                      <w:szCs w:val="18"/>
                      <w:highlight w:val="none"/>
                    </w:rPr>
                  </w:pPr>
                </w:p>
              </w:tc>
              <w:tc>
                <w:tcPr>
                  <w:tcW w:w="364" w:type="pct"/>
                  <w:vMerge w:val="continue"/>
                  <w:tcBorders>
                    <w:top w:val="single" w:color="auto" w:sz="4" w:space="0"/>
                    <w:left w:val="single" w:color="auto" w:sz="4" w:space="0"/>
                    <w:bottom w:val="single" w:color="auto" w:sz="4" w:space="0"/>
                    <w:right w:val="single" w:color="auto" w:sz="4" w:space="0"/>
                  </w:tcBorders>
                  <w:vAlign w:val="center"/>
                </w:tcPr>
                <w:p w14:paraId="2B189D2B">
                  <w:pPr>
                    <w:jc w:val="center"/>
                    <w:rPr>
                      <w:rFonts w:hint="default" w:ascii="Times New Roman" w:hAnsi="Times New Roman" w:cs="Times New Roman"/>
                      <w:color w:val="auto"/>
                      <w:sz w:val="18"/>
                      <w:szCs w:val="18"/>
                      <w:highlight w:val="none"/>
                    </w:rPr>
                  </w:pPr>
                </w:p>
              </w:tc>
              <w:tc>
                <w:tcPr>
                  <w:tcW w:w="392" w:type="pct"/>
                  <w:vMerge w:val="continue"/>
                  <w:tcBorders>
                    <w:top w:val="single" w:color="auto" w:sz="4" w:space="0"/>
                    <w:left w:val="single" w:color="auto" w:sz="4" w:space="0"/>
                    <w:bottom w:val="single" w:color="auto" w:sz="4" w:space="0"/>
                    <w:right w:val="single" w:color="auto" w:sz="4" w:space="0"/>
                  </w:tcBorders>
                  <w:vAlign w:val="center"/>
                </w:tcPr>
                <w:p w14:paraId="2F7A8026">
                  <w:pPr>
                    <w:jc w:val="center"/>
                    <w:rPr>
                      <w:rFonts w:hint="default" w:ascii="Times New Roman" w:hAnsi="Times New Roman" w:cs="Times New Roman"/>
                      <w:color w:val="auto"/>
                      <w:sz w:val="18"/>
                      <w:szCs w:val="18"/>
                      <w:highlight w:val="none"/>
                    </w:rPr>
                  </w:pPr>
                </w:p>
              </w:tc>
              <w:tc>
                <w:tcPr>
                  <w:tcW w:w="364" w:type="pct"/>
                  <w:vMerge w:val="continue"/>
                  <w:tcBorders>
                    <w:top w:val="single" w:color="auto" w:sz="4" w:space="0"/>
                    <w:left w:val="single" w:color="auto" w:sz="4" w:space="0"/>
                    <w:bottom w:val="single" w:color="auto" w:sz="4" w:space="0"/>
                    <w:right w:val="single" w:color="auto" w:sz="4" w:space="0"/>
                  </w:tcBorders>
                  <w:vAlign w:val="center"/>
                </w:tcPr>
                <w:p w14:paraId="6622B3D7">
                  <w:pPr>
                    <w:jc w:val="center"/>
                    <w:rPr>
                      <w:rFonts w:hint="default" w:ascii="Times New Roman" w:hAnsi="Times New Roman" w:cs="Times New Roman"/>
                      <w:color w:val="auto"/>
                      <w:sz w:val="18"/>
                      <w:szCs w:val="18"/>
                      <w:highlight w:val="none"/>
                    </w:rPr>
                  </w:pPr>
                </w:p>
              </w:tc>
            </w:tr>
            <w:tr w14:paraId="425F1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80" w:type="pct"/>
                  <w:tcBorders>
                    <w:top w:val="single" w:color="auto" w:sz="4" w:space="0"/>
                    <w:left w:val="single" w:color="auto" w:sz="4" w:space="0"/>
                    <w:bottom w:val="single" w:color="auto" w:sz="4" w:space="0"/>
                    <w:right w:val="single" w:color="auto" w:sz="4" w:space="0"/>
                  </w:tcBorders>
                  <w:vAlign w:val="center"/>
                </w:tcPr>
                <w:p w14:paraId="0E7ECAAF">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职工生活</w:t>
                  </w:r>
                </w:p>
              </w:tc>
              <w:tc>
                <w:tcPr>
                  <w:tcW w:w="538" w:type="pct"/>
                  <w:tcBorders>
                    <w:top w:val="single" w:color="auto" w:sz="4" w:space="0"/>
                    <w:left w:val="single" w:color="auto" w:sz="4" w:space="0"/>
                    <w:bottom w:val="single" w:color="auto" w:sz="4" w:space="0"/>
                    <w:right w:val="single" w:color="auto" w:sz="4" w:space="0"/>
                  </w:tcBorders>
                  <w:vAlign w:val="center"/>
                </w:tcPr>
                <w:p w14:paraId="50B69A67">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pH、COD、氨氮、BOD</w:t>
                  </w:r>
                  <w:r>
                    <w:rPr>
                      <w:rFonts w:hint="default" w:ascii="Times New Roman" w:hAnsi="Times New Roman" w:cs="Times New Roman"/>
                      <w:color w:val="auto"/>
                      <w:sz w:val="18"/>
                      <w:szCs w:val="18"/>
                      <w:highlight w:val="none"/>
                      <w:vertAlign w:val="subscript"/>
                    </w:rPr>
                    <w:t>5</w:t>
                  </w:r>
                  <w:r>
                    <w:rPr>
                      <w:rFonts w:hint="default" w:ascii="Times New Roman" w:hAnsi="Times New Roman" w:cs="Times New Roman"/>
                      <w:color w:val="auto"/>
                      <w:sz w:val="18"/>
                      <w:szCs w:val="18"/>
                      <w:highlight w:val="none"/>
                    </w:rPr>
                    <w:t>、悬浮物、总磷</w:t>
                  </w:r>
                </w:p>
              </w:tc>
              <w:tc>
                <w:tcPr>
                  <w:tcW w:w="282" w:type="pct"/>
                  <w:tcBorders>
                    <w:top w:val="single" w:color="auto" w:sz="4" w:space="0"/>
                    <w:left w:val="single" w:color="auto" w:sz="4" w:space="0"/>
                    <w:bottom w:val="single" w:color="auto" w:sz="4" w:space="0"/>
                    <w:right w:val="single" w:color="auto" w:sz="4" w:space="0"/>
                  </w:tcBorders>
                  <w:vAlign w:val="center"/>
                </w:tcPr>
                <w:p w14:paraId="05CC56D5">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生活</w:t>
                  </w:r>
                  <w:r>
                    <w:rPr>
                      <w:rFonts w:hint="default" w:ascii="Times New Roman" w:hAnsi="Times New Roman" w:cs="Times New Roman"/>
                      <w:color w:val="auto"/>
                      <w:sz w:val="18"/>
                      <w:szCs w:val="18"/>
                      <w:highlight w:val="none"/>
                      <w:lang w:val="en-US" w:eastAsia="zh-CN"/>
                    </w:rPr>
                    <w:t>污水</w:t>
                  </w:r>
                </w:p>
              </w:tc>
              <w:tc>
                <w:tcPr>
                  <w:tcW w:w="319" w:type="pct"/>
                  <w:tcBorders>
                    <w:top w:val="single" w:color="auto" w:sz="4" w:space="0"/>
                    <w:left w:val="single" w:color="auto" w:sz="4" w:space="0"/>
                    <w:right w:val="single" w:color="auto" w:sz="4" w:space="0"/>
                  </w:tcBorders>
                  <w:vAlign w:val="center"/>
                </w:tcPr>
                <w:p w14:paraId="3C54816A">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预处理设施</w:t>
                  </w:r>
                </w:p>
              </w:tc>
              <w:tc>
                <w:tcPr>
                  <w:tcW w:w="303" w:type="pct"/>
                  <w:tcBorders>
                    <w:top w:val="single" w:color="auto" w:sz="4" w:space="0"/>
                    <w:left w:val="single" w:color="auto" w:sz="4" w:space="0"/>
                    <w:right w:val="single" w:color="auto" w:sz="4" w:space="0"/>
                  </w:tcBorders>
                  <w:vAlign w:val="center"/>
                </w:tcPr>
                <w:p w14:paraId="6B2B463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均质+沉淀</w:t>
                  </w:r>
                </w:p>
              </w:tc>
              <w:tc>
                <w:tcPr>
                  <w:tcW w:w="383" w:type="pct"/>
                  <w:tcBorders>
                    <w:top w:val="single" w:color="auto" w:sz="4" w:space="0"/>
                    <w:left w:val="single" w:color="auto" w:sz="4" w:space="0"/>
                    <w:right w:val="single" w:color="auto" w:sz="4" w:space="0"/>
                  </w:tcBorders>
                  <w:vAlign w:val="center"/>
                </w:tcPr>
                <w:p w14:paraId="17210B54">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0.2</w:t>
                  </w:r>
                </w:p>
              </w:tc>
              <w:tc>
                <w:tcPr>
                  <w:tcW w:w="411" w:type="pct"/>
                  <w:tcBorders>
                    <w:top w:val="single" w:color="auto" w:sz="4" w:space="0"/>
                    <w:left w:val="single" w:color="auto" w:sz="4" w:space="0"/>
                    <w:right w:val="single" w:color="auto" w:sz="4" w:space="0"/>
                  </w:tcBorders>
                  <w:vAlign w:val="center"/>
                </w:tcPr>
                <w:p w14:paraId="037648B3">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是</w:t>
                  </w:r>
                </w:p>
              </w:tc>
              <w:tc>
                <w:tcPr>
                  <w:tcW w:w="294" w:type="pct"/>
                  <w:tcBorders>
                    <w:top w:val="single" w:color="auto" w:sz="4" w:space="0"/>
                    <w:left w:val="single" w:color="auto" w:sz="4" w:space="0"/>
                    <w:right w:val="single" w:color="auto" w:sz="4" w:space="0"/>
                  </w:tcBorders>
                  <w:vAlign w:val="center"/>
                </w:tcPr>
                <w:p w14:paraId="4CF69AC9">
                  <w:pPr>
                    <w:jc w:val="both"/>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化粪池</w:t>
                  </w:r>
                </w:p>
              </w:tc>
              <w:tc>
                <w:tcPr>
                  <w:tcW w:w="358" w:type="pct"/>
                  <w:tcBorders>
                    <w:top w:val="single" w:color="auto" w:sz="4" w:space="0"/>
                    <w:left w:val="single" w:color="auto" w:sz="4" w:space="0"/>
                    <w:right w:val="single" w:color="auto" w:sz="4" w:space="0"/>
                  </w:tcBorders>
                  <w:vAlign w:val="center"/>
                </w:tcPr>
                <w:p w14:paraId="66DC8A66">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环卫清运</w:t>
                  </w:r>
                  <w:r>
                    <w:rPr>
                      <w:rFonts w:hint="eastAsia"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不外排</w:t>
                  </w:r>
                </w:p>
              </w:tc>
              <w:tc>
                <w:tcPr>
                  <w:tcW w:w="355" w:type="pct"/>
                  <w:tcBorders>
                    <w:top w:val="single" w:color="auto" w:sz="4" w:space="0"/>
                    <w:left w:val="single" w:color="auto" w:sz="4" w:space="0"/>
                    <w:right w:val="single" w:color="auto" w:sz="4" w:space="0"/>
                  </w:tcBorders>
                  <w:vAlign w:val="center"/>
                </w:tcPr>
                <w:p w14:paraId="4E26F4DE">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不外排</w:t>
                  </w:r>
                </w:p>
              </w:tc>
              <w:tc>
                <w:tcPr>
                  <w:tcW w:w="349" w:type="pct"/>
                  <w:tcBorders>
                    <w:top w:val="single" w:color="auto" w:sz="4" w:space="0"/>
                    <w:left w:val="single" w:color="auto" w:sz="4" w:space="0"/>
                    <w:right w:val="single" w:color="auto" w:sz="4" w:space="0"/>
                  </w:tcBorders>
                  <w:vAlign w:val="center"/>
                </w:tcPr>
                <w:p w14:paraId="64C94867">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364" w:type="pct"/>
                  <w:tcBorders>
                    <w:top w:val="single" w:color="auto" w:sz="4" w:space="0"/>
                    <w:left w:val="single" w:color="auto" w:sz="4" w:space="0"/>
                    <w:right w:val="single" w:color="auto" w:sz="4" w:space="0"/>
                  </w:tcBorders>
                  <w:vAlign w:val="center"/>
                </w:tcPr>
                <w:p w14:paraId="0AA5E9D0">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392" w:type="pct"/>
                  <w:tcBorders>
                    <w:top w:val="single" w:color="auto" w:sz="4" w:space="0"/>
                    <w:left w:val="single" w:color="auto" w:sz="4" w:space="0"/>
                    <w:right w:val="single" w:color="auto" w:sz="4" w:space="0"/>
                  </w:tcBorders>
                  <w:vAlign w:val="center"/>
                </w:tcPr>
                <w:p w14:paraId="640CE43A">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364" w:type="pct"/>
                  <w:tcBorders>
                    <w:top w:val="single" w:color="auto" w:sz="4" w:space="0"/>
                    <w:left w:val="single" w:color="auto" w:sz="4" w:space="0"/>
                    <w:right w:val="single" w:color="auto" w:sz="4" w:space="0"/>
                  </w:tcBorders>
                  <w:vAlign w:val="center"/>
                </w:tcPr>
                <w:p w14:paraId="56023317">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bl>
          <w:p w14:paraId="3DDE0654">
            <w:pPr>
              <w:pStyle w:val="80"/>
              <w:spacing w:after="0" w:line="360" w:lineRule="auto"/>
              <w:ind w:left="0" w:leftChars="0"/>
              <w:jc w:val="left"/>
              <w:rPr>
                <w:rFonts w:hint="default" w:ascii="Times New Roman" w:hAnsi="Times New Roman" w:eastAsia="宋体" w:cs="Times New Roman"/>
                <w:b/>
                <w:bCs/>
                <w:color w:val="auto"/>
                <w:sz w:val="21"/>
                <w:szCs w:val="18"/>
                <w:highlight w:val="none"/>
              </w:rPr>
            </w:pPr>
            <w:r>
              <w:rPr>
                <w:rFonts w:hint="default" w:ascii="Times New Roman" w:hAnsi="Times New Roman" w:eastAsia="宋体" w:cs="Times New Roman"/>
                <w:b/>
                <w:bCs/>
                <w:color w:val="auto"/>
                <w:sz w:val="21"/>
                <w:szCs w:val="18"/>
                <w:highlight w:val="none"/>
              </w:rPr>
              <w:t>2、源强分析</w:t>
            </w:r>
          </w:p>
          <w:p w14:paraId="32EFF34B">
            <w:pPr>
              <w:tabs>
                <w:tab w:val="left" w:pos="1800"/>
              </w:tabs>
              <w:adjustRightInd w:val="0"/>
              <w:snapToGrid w:val="0"/>
              <w:spacing w:line="360" w:lineRule="auto"/>
              <w:ind w:firstLine="420" w:firstLineChars="200"/>
              <w:rPr>
                <w:rFonts w:hint="default" w:ascii="Times New Roman" w:hAnsi="Times New Roman" w:cs="Times New Roman" w:eastAsiaTheme="minorEastAsia"/>
                <w:color w:val="auto"/>
                <w:kern w:val="24"/>
                <w:szCs w:val="21"/>
                <w:highlight w:val="none"/>
              </w:rPr>
            </w:pPr>
            <w:r>
              <w:rPr>
                <w:rFonts w:hint="eastAsia" w:cs="Times New Roman" w:eastAsiaTheme="minorEastAsia"/>
                <w:color w:val="auto"/>
                <w:szCs w:val="21"/>
                <w:highlight w:val="none"/>
                <w:lang w:eastAsia="zh-CN"/>
              </w:rPr>
              <w:t>一期项目</w:t>
            </w:r>
            <w:r>
              <w:rPr>
                <w:rFonts w:hint="default" w:ascii="Times New Roman" w:hAnsi="Times New Roman" w:cs="Times New Roman" w:eastAsiaTheme="minorEastAsia"/>
                <w:color w:val="auto"/>
                <w:szCs w:val="21"/>
                <w:highlight w:val="none"/>
              </w:rPr>
              <w:t>生活污水产生量为</w:t>
            </w:r>
            <w:r>
              <w:rPr>
                <w:rFonts w:hint="default" w:ascii="Times New Roman" w:hAnsi="Times New Roman" w:cs="Times New Roman" w:eastAsiaTheme="minorEastAsia"/>
                <w:color w:val="auto"/>
                <w:szCs w:val="21"/>
                <w:highlight w:val="none"/>
                <w:lang w:val="en-US" w:eastAsia="zh-CN"/>
              </w:rPr>
              <w:t>499.2</w:t>
            </w:r>
            <w:r>
              <w:rPr>
                <w:rFonts w:hint="default" w:ascii="Times New Roman" w:hAnsi="Times New Roman" w:cs="Times New Roman" w:eastAsiaTheme="minorEastAsia"/>
                <w:color w:val="auto"/>
                <w:szCs w:val="21"/>
                <w:highlight w:val="none"/>
              </w:rPr>
              <w:t>m</w:t>
            </w:r>
            <w:r>
              <w:rPr>
                <w:rFonts w:hint="default" w:ascii="Times New Roman" w:hAnsi="Times New Roman" w:cs="Times New Roman" w:eastAsiaTheme="minorEastAsia"/>
                <w:color w:val="auto"/>
                <w:szCs w:val="21"/>
                <w:highlight w:val="none"/>
                <w:vertAlign w:val="superscript"/>
              </w:rPr>
              <w:t>3</w:t>
            </w:r>
            <w:r>
              <w:rPr>
                <w:rFonts w:hint="default" w:ascii="Times New Roman" w:hAnsi="Times New Roman" w:cs="Times New Roman" w:eastAsiaTheme="minorEastAsia"/>
                <w:color w:val="auto"/>
                <w:szCs w:val="21"/>
                <w:highlight w:val="none"/>
              </w:rPr>
              <w:t>/a，核算因子为pH、</w:t>
            </w:r>
            <w:r>
              <w:rPr>
                <w:rFonts w:hint="default" w:ascii="Times New Roman" w:hAnsi="Times New Roman" w:cs="Times New Roman" w:eastAsiaTheme="minorEastAsia"/>
                <w:color w:val="auto"/>
                <w:kern w:val="24"/>
                <w:szCs w:val="21"/>
                <w:highlight w:val="none"/>
              </w:rPr>
              <w:t>COD、BOD</w:t>
            </w:r>
            <w:r>
              <w:rPr>
                <w:rFonts w:hint="default" w:ascii="Times New Roman" w:hAnsi="Times New Roman" w:cs="Times New Roman" w:eastAsiaTheme="minorEastAsia"/>
                <w:color w:val="auto"/>
                <w:kern w:val="24"/>
                <w:szCs w:val="21"/>
                <w:highlight w:val="none"/>
                <w:vertAlign w:val="subscript"/>
              </w:rPr>
              <w:t>5</w:t>
            </w:r>
            <w:r>
              <w:rPr>
                <w:rFonts w:hint="default" w:ascii="Times New Roman" w:hAnsi="Times New Roman" w:cs="Times New Roman" w:eastAsiaTheme="minorEastAsia"/>
                <w:color w:val="auto"/>
                <w:kern w:val="24"/>
                <w:szCs w:val="21"/>
                <w:highlight w:val="none"/>
              </w:rPr>
              <w:t>、氨氮、SS、总磷</w:t>
            </w:r>
            <w:r>
              <w:rPr>
                <w:rFonts w:hint="default" w:ascii="Times New Roman" w:hAnsi="Times New Roman" w:cs="Times New Roman" w:eastAsiaTheme="minorEastAsia"/>
                <w:color w:val="auto"/>
                <w:kern w:val="24"/>
                <w:szCs w:val="21"/>
                <w:highlight w:val="none"/>
                <w:lang w:eastAsia="zh-CN"/>
              </w:rPr>
              <w:t>、</w:t>
            </w:r>
            <w:r>
              <w:rPr>
                <w:rFonts w:hint="default" w:ascii="Times New Roman" w:hAnsi="Times New Roman" w:cs="Times New Roman" w:eastAsiaTheme="minorEastAsia"/>
                <w:color w:val="auto"/>
                <w:kern w:val="24"/>
                <w:szCs w:val="21"/>
                <w:highlight w:val="none"/>
                <w:lang w:val="en-US" w:eastAsia="zh-CN"/>
              </w:rPr>
              <w:t>动植物油</w:t>
            </w:r>
            <w:r>
              <w:rPr>
                <w:rFonts w:hint="default" w:ascii="Times New Roman" w:hAnsi="Times New Roman" w:cs="Times New Roman" w:eastAsiaTheme="minorEastAsia"/>
                <w:color w:val="auto"/>
                <w:kern w:val="24"/>
                <w:szCs w:val="21"/>
                <w:highlight w:val="none"/>
              </w:rPr>
              <w:t>；参照《排放源统计调查产排污核算方法和系数手册附表生活源产排污核算系数手册》和类比相关行业废水源强，生活污水产生源强见表4-</w:t>
            </w:r>
            <w:r>
              <w:rPr>
                <w:rFonts w:hint="eastAsia" w:cs="Times New Roman" w:eastAsiaTheme="minorEastAsia"/>
                <w:color w:val="auto"/>
                <w:kern w:val="24"/>
                <w:szCs w:val="21"/>
                <w:highlight w:val="none"/>
                <w:lang w:val="en-US" w:eastAsia="zh-CN"/>
              </w:rPr>
              <w:t>25</w:t>
            </w:r>
            <w:r>
              <w:rPr>
                <w:rFonts w:hint="default" w:ascii="Times New Roman" w:hAnsi="Times New Roman" w:cs="Times New Roman" w:eastAsiaTheme="minorEastAsia"/>
                <w:color w:val="auto"/>
                <w:kern w:val="24"/>
                <w:szCs w:val="21"/>
                <w:highlight w:val="none"/>
              </w:rPr>
              <w:t>。</w:t>
            </w:r>
          </w:p>
          <w:p w14:paraId="28D2CE0F">
            <w:pPr>
              <w:pStyle w:val="80"/>
              <w:spacing w:after="0"/>
              <w:ind w:left="0" w:leftChars="0" w:firstLine="0" w:firstLineChars="0"/>
              <w:jc w:val="center"/>
              <w:rPr>
                <w:rFonts w:hint="default" w:cs="Times New Roman"/>
                <w:b/>
                <w:bCs/>
                <w:color w:val="auto"/>
                <w:sz w:val="21"/>
                <w:szCs w:val="21"/>
                <w:highlight w:val="none"/>
                <w:lang w:val="en-US" w:eastAsia="zh-CN"/>
              </w:rPr>
            </w:pPr>
            <w:r>
              <w:rPr>
                <w:rFonts w:hint="default" w:cs="Times New Roman"/>
                <w:b/>
                <w:bCs/>
                <w:color w:val="auto"/>
                <w:sz w:val="21"/>
                <w:szCs w:val="21"/>
                <w:highlight w:val="none"/>
                <w:lang w:val="en-US" w:eastAsia="zh-CN"/>
              </w:rPr>
              <w:t>表4-</w:t>
            </w:r>
            <w:r>
              <w:rPr>
                <w:rFonts w:hint="eastAsia" w:cs="Times New Roman"/>
                <w:b/>
                <w:bCs/>
                <w:color w:val="auto"/>
                <w:sz w:val="21"/>
                <w:szCs w:val="21"/>
                <w:highlight w:val="none"/>
                <w:lang w:val="en-US" w:eastAsia="zh-CN"/>
              </w:rPr>
              <w:t>25一期项目</w:t>
            </w:r>
            <w:r>
              <w:rPr>
                <w:rFonts w:hint="default" w:cs="Times New Roman"/>
                <w:b/>
                <w:bCs/>
                <w:color w:val="auto"/>
                <w:sz w:val="21"/>
                <w:szCs w:val="21"/>
                <w:highlight w:val="none"/>
                <w:lang w:val="en-US" w:eastAsia="zh-CN"/>
              </w:rPr>
              <w:t>外排废水水质情况一览表</w:t>
            </w:r>
          </w:p>
          <w:tbl>
            <w:tblPr>
              <w:tblStyle w:val="81"/>
              <w:tblW w:w="490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08"/>
              <w:gridCol w:w="789"/>
              <w:gridCol w:w="1046"/>
              <w:gridCol w:w="1272"/>
              <w:gridCol w:w="1697"/>
              <w:gridCol w:w="1272"/>
              <w:gridCol w:w="1327"/>
            </w:tblGrid>
            <w:tr w14:paraId="3E4CD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3" w:hRule="atLeast"/>
                <w:jc w:val="center"/>
              </w:trPr>
              <w:tc>
                <w:tcPr>
                  <w:tcW w:w="492" w:type="pct"/>
                  <w:vMerge w:val="restart"/>
                  <w:tcBorders>
                    <w:top w:val="single" w:color="auto" w:sz="4" w:space="0"/>
                    <w:left w:val="single" w:color="auto" w:sz="4" w:space="0"/>
                    <w:bottom w:val="single" w:color="auto" w:sz="4" w:space="0"/>
                    <w:right w:val="single" w:color="auto" w:sz="4" w:space="0"/>
                  </w:tcBorders>
                  <w:vAlign w:val="center"/>
                </w:tcPr>
                <w:p w14:paraId="59E444EB">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废水来源</w:t>
                  </w:r>
                </w:p>
              </w:tc>
              <w:tc>
                <w:tcPr>
                  <w:tcW w:w="480" w:type="pct"/>
                  <w:vMerge w:val="restart"/>
                  <w:tcBorders>
                    <w:top w:val="single" w:color="auto" w:sz="4" w:space="0"/>
                    <w:left w:val="single" w:color="auto" w:sz="4" w:space="0"/>
                    <w:bottom w:val="single" w:color="auto" w:sz="4" w:space="0"/>
                    <w:right w:val="single" w:color="auto" w:sz="4" w:space="0"/>
                  </w:tcBorders>
                  <w:vAlign w:val="center"/>
                </w:tcPr>
                <w:p w14:paraId="2AEF6833">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废水排放量m</w:t>
                  </w:r>
                  <w:r>
                    <w:rPr>
                      <w:rFonts w:hint="default" w:ascii="Times New Roman" w:hAnsi="Times New Roman" w:cs="Times New Roman"/>
                      <w:b/>
                      <w:bCs/>
                      <w:color w:val="auto"/>
                      <w:sz w:val="18"/>
                      <w:szCs w:val="18"/>
                      <w:highlight w:val="none"/>
                      <w:vertAlign w:val="superscript"/>
                    </w:rPr>
                    <w:t>3</w:t>
                  </w:r>
                  <w:r>
                    <w:rPr>
                      <w:rFonts w:hint="default" w:ascii="Times New Roman" w:hAnsi="Times New Roman" w:cs="Times New Roman"/>
                      <w:b/>
                      <w:bCs/>
                      <w:color w:val="auto"/>
                      <w:sz w:val="18"/>
                      <w:szCs w:val="18"/>
                      <w:highlight w:val="none"/>
                    </w:rPr>
                    <w:t>/a</w:t>
                  </w:r>
                </w:p>
              </w:tc>
              <w:tc>
                <w:tcPr>
                  <w:tcW w:w="637" w:type="pct"/>
                  <w:vMerge w:val="restart"/>
                  <w:tcBorders>
                    <w:top w:val="single" w:color="auto" w:sz="4" w:space="0"/>
                    <w:left w:val="single" w:color="auto" w:sz="4" w:space="0"/>
                    <w:bottom w:val="single" w:color="auto" w:sz="4" w:space="0"/>
                    <w:right w:val="single" w:color="auto" w:sz="4" w:space="0"/>
                  </w:tcBorders>
                  <w:vAlign w:val="center"/>
                </w:tcPr>
                <w:p w14:paraId="1D6CD782">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污染因子</w:t>
                  </w:r>
                </w:p>
              </w:tc>
              <w:tc>
                <w:tcPr>
                  <w:tcW w:w="1807" w:type="pct"/>
                  <w:gridSpan w:val="2"/>
                  <w:tcBorders>
                    <w:top w:val="single" w:color="auto" w:sz="4" w:space="0"/>
                    <w:left w:val="single" w:color="auto" w:sz="4" w:space="0"/>
                    <w:bottom w:val="single" w:color="auto" w:sz="4" w:space="0"/>
                    <w:right w:val="single" w:color="auto" w:sz="4" w:space="0"/>
                  </w:tcBorders>
                  <w:vAlign w:val="center"/>
                </w:tcPr>
                <w:p w14:paraId="25CBD03B">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产生情况</w:t>
                  </w:r>
                </w:p>
              </w:tc>
              <w:tc>
                <w:tcPr>
                  <w:tcW w:w="1582" w:type="pct"/>
                  <w:gridSpan w:val="2"/>
                  <w:tcBorders>
                    <w:top w:val="single" w:color="auto" w:sz="4" w:space="0"/>
                    <w:left w:val="single" w:color="auto" w:sz="4" w:space="0"/>
                    <w:bottom w:val="single" w:color="auto" w:sz="4" w:space="0"/>
                    <w:right w:val="single" w:color="auto" w:sz="4" w:space="0"/>
                  </w:tcBorders>
                  <w:vAlign w:val="center"/>
                </w:tcPr>
                <w:p w14:paraId="60B6D238">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排放情况</w:t>
                  </w:r>
                </w:p>
              </w:tc>
            </w:tr>
            <w:tr w14:paraId="4788C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7" w:hRule="atLeast"/>
                <w:jc w:val="center"/>
              </w:trPr>
              <w:tc>
                <w:tcPr>
                  <w:tcW w:w="492" w:type="pct"/>
                  <w:vMerge w:val="continue"/>
                  <w:tcBorders>
                    <w:top w:val="single" w:color="auto" w:sz="4" w:space="0"/>
                    <w:left w:val="single" w:color="auto" w:sz="4" w:space="0"/>
                    <w:bottom w:val="single" w:color="auto" w:sz="4" w:space="0"/>
                    <w:right w:val="single" w:color="auto" w:sz="4" w:space="0"/>
                  </w:tcBorders>
                  <w:vAlign w:val="center"/>
                </w:tcPr>
                <w:p w14:paraId="7D2AA9FA">
                  <w:pPr>
                    <w:jc w:val="center"/>
                    <w:rPr>
                      <w:rFonts w:hint="default" w:ascii="Times New Roman" w:hAnsi="Times New Roman" w:cs="Times New Roman"/>
                      <w:b/>
                      <w:bCs/>
                      <w:color w:val="auto"/>
                      <w:sz w:val="18"/>
                      <w:szCs w:val="18"/>
                      <w:highlight w:val="none"/>
                    </w:rPr>
                  </w:pPr>
                </w:p>
              </w:tc>
              <w:tc>
                <w:tcPr>
                  <w:tcW w:w="480" w:type="pct"/>
                  <w:vMerge w:val="continue"/>
                  <w:tcBorders>
                    <w:top w:val="single" w:color="auto" w:sz="4" w:space="0"/>
                    <w:left w:val="single" w:color="auto" w:sz="4" w:space="0"/>
                    <w:bottom w:val="single" w:color="auto" w:sz="4" w:space="0"/>
                    <w:right w:val="single" w:color="auto" w:sz="4" w:space="0"/>
                  </w:tcBorders>
                  <w:vAlign w:val="center"/>
                </w:tcPr>
                <w:p w14:paraId="73E1BF7E">
                  <w:pPr>
                    <w:jc w:val="center"/>
                    <w:rPr>
                      <w:rFonts w:hint="default" w:ascii="Times New Roman" w:hAnsi="Times New Roman" w:cs="Times New Roman"/>
                      <w:b/>
                      <w:bCs/>
                      <w:color w:val="auto"/>
                      <w:sz w:val="18"/>
                      <w:szCs w:val="18"/>
                      <w:highlight w:val="none"/>
                    </w:rPr>
                  </w:pPr>
                </w:p>
              </w:tc>
              <w:tc>
                <w:tcPr>
                  <w:tcW w:w="637" w:type="pct"/>
                  <w:vMerge w:val="continue"/>
                  <w:tcBorders>
                    <w:top w:val="single" w:color="auto" w:sz="4" w:space="0"/>
                    <w:left w:val="single" w:color="auto" w:sz="4" w:space="0"/>
                    <w:bottom w:val="single" w:color="auto" w:sz="4" w:space="0"/>
                    <w:right w:val="single" w:color="auto" w:sz="4" w:space="0"/>
                  </w:tcBorders>
                  <w:vAlign w:val="center"/>
                </w:tcPr>
                <w:p w14:paraId="5172EA53">
                  <w:pPr>
                    <w:jc w:val="center"/>
                    <w:rPr>
                      <w:rFonts w:hint="default" w:ascii="Times New Roman" w:hAnsi="Times New Roman" w:cs="Times New Roman"/>
                      <w:b/>
                      <w:bCs/>
                      <w:color w:val="auto"/>
                      <w:sz w:val="18"/>
                      <w:szCs w:val="18"/>
                      <w:highlight w:val="none"/>
                    </w:rPr>
                  </w:pPr>
                </w:p>
              </w:tc>
              <w:tc>
                <w:tcPr>
                  <w:tcW w:w="774" w:type="pct"/>
                  <w:tcBorders>
                    <w:top w:val="single" w:color="auto" w:sz="4" w:space="0"/>
                    <w:left w:val="single" w:color="auto" w:sz="4" w:space="0"/>
                    <w:bottom w:val="single" w:color="auto" w:sz="4" w:space="0"/>
                    <w:right w:val="single" w:color="auto" w:sz="4" w:space="0"/>
                  </w:tcBorders>
                  <w:vAlign w:val="center"/>
                </w:tcPr>
                <w:p w14:paraId="21B62585">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产生浓度</w:t>
                  </w:r>
                </w:p>
                <w:p w14:paraId="3C30B1FB">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（mg/L）</w:t>
                  </w:r>
                </w:p>
              </w:tc>
              <w:tc>
                <w:tcPr>
                  <w:tcW w:w="1033" w:type="pct"/>
                  <w:tcBorders>
                    <w:top w:val="single" w:color="auto" w:sz="4" w:space="0"/>
                    <w:left w:val="single" w:color="auto" w:sz="4" w:space="0"/>
                    <w:bottom w:val="single" w:color="auto" w:sz="4" w:space="0"/>
                    <w:right w:val="single" w:color="auto" w:sz="4" w:space="0"/>
                  </w:tcBorders>
                  <w:vAlign w:val="center"/>
                </w:tcPr>
                <w:p w14:paraId="3F08FA7D">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产生量</w:t>
                  </w:r>
                </w:p>
                <w:p w14:paraId="67B7EC92">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（t/a）</w:t>
                  </w:r>
                </w:p>
              </w:tc>
              <w:tc>
                <w:tcPr>
                  <w:tcW w:w="774" w:type="pct"/>
                  <w:tcBorders>
                    <w:top w:val="single" w:color="auto" w:sz="4" w:space="0"/>
                    <w:left w:val="single" w:color="auto" w:sz="4" w:space="0"/>
                    <w:bottom w:val="single" w:color="auto" w:sz="4" w:space="0"/>
                    <w:right w:val="single" w:color="auto" w:sz="4" w:space="0"/>
                  </w:tcBorders>
                  <w:vAlign w:val="center"/>
                </w:tcPr>
                <w:p w14:paraId="05FB0A0B">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排放浓度</w:t>
                  </w:r>
                </w:p>
                <w:p w14:paraId="5DB016C3">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（mg/L）</w:t>
                  </w:r>
                </w:p>
              </w:tc>
              <w:tc>
                <w:tcPr>
                  <w:tcW w:w="808" w:type="pct"/>
                  <w:tcBorders>
                    <w:top w:val="single" w:color="auto" w:sz="4" w:space="0"/>
                    <w:left w:val="single" w:color="auto" w:sz="4" w:space="0"/>
                    <w:bottom w:val="single" w:color="auto" w:sz="4" w:space="0"/>
                    <w:right w:val="single" w:color="auto" w:sz="4" w:space="0"/>
                  </w:tcBorders>
                  <w:vAlign w:val="center"/>
                </w:tcPr>
                <w:p w14:paraId="5F022AC1">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排放量</w:t>
                  </w:r>
                </w:p>
                <w:p w14:paraId="77B2773C">
                  <w:pPr>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（t/a）</w:t>
                  </w:r>
                </w:p>
              </w:tc>
            </w:tr>
            <w:tr w14:paraId="3C0DB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jc w:val="center"/>
              </w:trPr>
              <w:tc>
                <w:tcPr>
                  <w:tcW w:w="492" w:type="pct"/>
                  <w:vMerge w:val="restart"/>
                  <w:tcBorders>
                    <w:top w:val="single" w:color="auto" w:sz="4" w:space="0"/>
                    <w:left w:val="single" w:color="auto" w:sz="4" w:space="0"/>
                    <w:right w:val="single" w:color="auto" w:sz="4" w:space="0"/>
                  </w:tcBorders>
                  <w:vAlign w:val="center"/>
                </w:tcPr>
                <w:p w14:paraId="1334E56A">
                  <w:pPr>
                    <w:widowControl/>
                    <w:jc w:val="center"/>
                    <w:textAlignment w:val="bottom"/>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生活</w:t>
                  </w:r>
                  <w:r>
                    <w:rPr>
                      <w:rFonts w:hint="default" w:ascii="Times New Roman" w:hAnsi="Times New Roman" w:cs="Times New Roman"/>
                      <w:color w:val="auto"/>
                      <w:sz w:val="18"/>
                      <w:szCs w:val="18"/>
                      <w:highlight w:val="none"/>
                      <w:lang w:val="en-US" w:eastAsia="zh-CN"/>
                    </w:rPr>
                    <w:t>污水</w:t>
                  </w:r>
                </w:p>
              </w:tc>
              <w:tc>
                <w:tcPr>
                  <w:tcW w:w="480" w:type="pct"/>
                  <w:vMerge w:val="restart"/>
                  <w:tcBorders>
                    <w:top w:val="single" w:color="auto" w:sz="4" w:space="0"/>
                    <w:left w:val="single" w:color="auto" w:sz="4" w:space="0"/>
                    <w:right w:val="single" w:color="auto" w:sz="4" w:space="0"/>
                  </w:tcBorders>
                  <w:vAlign w:val="center"/>
                </w:tcPr>
                <w:p w14:paraId="4B73FF3C">
                  <w:pPr>
                    <w:widowControl/>
                    <w:jc w:val="center"/>
                    <w:textAlignment w:val="bottom"/>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499.2</w:t>
                  </w:r>
                </w:p>
              </w:tc>
              <w:tc>
                <w:tcPr>
                  <w:tcW w:w="637" w:type="pct"/>
                  <w:tcBorders>
                    <w:top w:val="single" w:color="auto" w:sz="4" w:space="0"/>
                    <w:left w:val="single" w:color="auto" w:sz="4" w:space="0"/>
                    <w:bottom w:val="single" w:color="auto" w:sz="4" w:space="0"/>
                    <w:right w:val="single" w:color="auto" w:sz="4" w:space="0"/>
                  </w:tcBorders>
                  <w:vAlign w:val="center"/>
                </w:tcPr>
                <w:p w14:paraId="73F88801">
                  <w:pPr>
                    <w:widowControl/>
                    <w:jc w:val="center"/>
                    <w:textAlignment w:val="bottom"/>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pH</w:t>
                  </w:r>
                </w:p>
              </w:tc>
              <w:tc>
                <w:tcPr>
                  <w:tcW w:w="774" w:type="pct"/>
                  <w:tcBorders>
                    <w:top w:val="single" w:color="auto" w:sz="4" w:space="0"/>
                    <w:left w:val="single" w:color="auto" w:sz="4" w:space="0"/>
                    <w:bottom w:val="single" w:color="auto" w:sz="4" w:space="0"/>
                    <w:right w:val="single" w:color="auto" w:sz="4" w:space="0"/>
                  </w:tcBorders>
                  <w:vAlign w:val="center"/>
                </w:tcPr>
                <w:p w14:paraId="46EC3359">
                  <w:pPr>
                    <w:widowControl/>
                    <w:jc w:val="center"/>
                    <w:textAlignment w:val="bottom"/>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6.5-7.5</w:t>
                  </w:r>
                </w:p>
              </w:tc>
              <w:tc>
                <w:tcPr>
                  <w:tcW w:w="1033" w:type="pct"/>
                  <w:tcBorders>
                    <w:top w:val="single" w:color="auto" w:sz="4" w:space="0"/>
                    <w:left w:val="single" w:color="auto" w:sz="4" w:space="0"/>
                    <w:bottom w:val="single" w:color="auto" w:sz="4" w:space="0"/>
                    <w:right w:val="single" w:color="auto" w:sz="4" w:space="0"/>
                  </w:tcBorders>
                  <w:vAlign w:val="center"/>
                </w:tcPr>
                <w:p w14:paraId="1C004943">
                  <w:pPr>
                    <w:widowControl/>
                    <w:jc w:val="center"/>
                    <w:textAlignment w:val="bottom"/>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1582" w:type="pct"/>
                  <w:gridSpan w:val="2"/>
                  <w:vMerge w:val="restart"/>
                  <w:tcBorders>
                    <w:top w:val="single" w:color="auto" w:sz="4" w:space="0"/>
                    <w:left w:val="single" w:color="auto" w:sz="4" w:space="0"/>
                    <w:right w:val="single" w:color="auto" w:sz="4" w:space="0"/>
                  </w:tcBorders>
                  <w:vAlign w:val="center"/>
                </w:tcPr>
                <w:p w14:paraId="20C43374">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环卫部门清运不外排</w:t>
                  </w:r>
                </w:p>
              </w:tc>
            </w:tr>
            <w:tr w14:paraId="7E173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2" w:type="pct"/>
                  <w:vMerge w:val="continue"/>
                  <w:tcBorders>
                    <w:left w:val="single" w:color="auto" w:sz="4" w:space="0"/>
                    <w:right w:val="single" w:color="auto" w:sz="4" w:space="0"/>
                  </w:tcBorders>
                  <w:vAlign w:val="center"/>
                </w:tcPr>
                <w:p w14:paraId="20ED4C65">
                  <w:pPr>
                    <w:widowControl/>
                    <w:jc w:val="center"/>
                    <w:textAlignment w:val="bottom"/>
                    <w:rPr>
                      <w:rFonts w:hint="default" w:ascii="Times New Roman" w:hAnsi="Times New Roman" w:cs="Times New Roman"/>
                      <w:color w:val="auto"/>
                      <w:sz w:val="18"/>
                      <w:szCs w:val="18"/>
                      <w:highlight w:val="none"/>
                    </w:rPr>
                  </w:pPr>
                </w:p>
              </w:tc>
              <w:tc>
                <w:tcPr>
                  <w:tcW w:w="480" w:type="pct"/>
                  <w:vMerge w:val="continue"/>
                  <w:tcBorders>
                    <w:left w:val="single" w:color="auto" w:sz="4" w:space="0"/>
                    <w:right w:val="single" w:color="auto" w:sz="4" w:space="0"/>
                  </w:tcBorders>
                  <w:vAlign w:val="center"/>
                </w:tcPr>
                <w:p w14:paraId="577BED7E">
                  <w:pPr>
                    <w:widowControl/>
                    <w:jc w:val="center"/>
                    <w:textAlignment w:val="bottom"/>
                    <w:rPr>
                      <w:rFonts w:hint="default" w:ascii="Times New Roman" w:hAnsi="Times New Roman" w:cs="Times New Roman"/>
                      <w:color w:val="auto"/>
                      <w:sz w:val="18"/>
                      <w:szCs w:val="18"/>
                      <w:highlight w:val="none"/>
                    </w:rPr>
                  </w:pPr>
                </w:p>
              </w:tc>
              <w:tc>
                <w:tcPr>
                  <w:tcW w:w="637" w:type="pct"/>
                  <w:tcBorders>
                    <w:top w:val="single" w:color="auto" w:sz="4" w:space="0"/>
                    <w:left w:val="single" w:color="auto" w:sz="4" w:space="0"/>
                    <w:bottom w:val="single" w:color="auto" w:sz="4" w:space="0"/>
                    <w:right w:val="single" w:color="auto" w:sz="4" w:space="0"/>
                  </w:tcBorders>
                  <w:vAlign w:val="center"/>
                </w:tcPr>
                <w:p w14:paraId="3E1C1BCC">
                  <w:pPr>
                    <w:widowControl/>
                    <w:jc w:val="center"/>
                    <w:textAlignment w:val="bottom"/>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COD</w:t>
                  </w:r>
                </w:p>
              </w:tc>
              <w:tc>
                <w:tcPr>
                  <w:tcW w:w="774" w:type="pct"/>
                  <w:tcBorders>
                    <w:top w:val="single" w:color="auto" w:sz="4" w:space="0"/>
                    <w:left w:val="single" w:color="auto" w:sz="4" w:space="0"/>
                    <w:bottom w:val="single" w:color="auto" w:sz="4" w:space="0"/>
                    <w:right w:val="single" w:color="auto" w:sz="4" w:space="0"/>
                  </w:tcBorders>
                  <w:vAlign w:val="center"/>
                </w:tcPr>
                <w:p w14:paraId="4055AD7D">
                  <w:pPr>
                    <w:widowControl/>
                    <w:jc w:val="center"/>
                    <w:textAlignment w:val="bottom"/>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465</w:t>
                  </w:r>
                </w:p>
              </w:tc>
              <w:tc>
                <w:tcPr>
                  <w:tcW w:w="1033" w:type="pct"/>
                  <w:tcBorders>
                    <w:top w:val="single" w:color="auto" w:sz="4" w:space="0"/>
                    <w:left w:val="single" w:color="auto" w:sz="4" w:space="0"/>
                    <w:bottom w:val="single" w:color="auto" w:sz="4" w:space="0"/>
                    <w:right w:val="single" w:color="auto" w:sz="4" w:space="0"/>
                  </w:tcBorders>
                  <w:vAlign w:val="center"/>
                </w:tcPr>
                <w:p w14:paraId="54F76061">
                  <w:pPr>
                    <w:widowControl/>
                    <w:jc w:val="center"/>
                    <w:textAlignment w:val="bottom"/>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0.232</w:t>
                  </w:r>
                </w:p>
              </w:tc>
              <w:tc>
                <w:tcPr>
                  <w:tcW w:w="1582" w:type="pct"/>
                  <w:gridSpan w:val="2"/>
                  <w:vMerge w:val="continue"/>
                  <w:tcBorders>
                    <w:left w:val="single" w:color="auto" w:sz="4" w:space="0"/>
                    <w:right w:val="single" w:color="auto" w:sz="4" w:space="0"/>
                  </w:tcBorders>
                  <w:vAlign w:val="center"/>
                </w:tcPr>
                <w:p w14:paraId="745745B3">
                  <w:pPr>
                    <w:widowControl/>
                    <w:jc w:val="center"/>
                    <w:textAlignment w:val="center"/>
                    <w:rPr>
                      <w:rFonts w:hint="default" w:ascii="Times New Roman" w:hAnsi="Times New Roman" w:cs="Times New Roman"/>
                      <w:color w:val="auto"/>
                      <w:sz w:val="18"/>
                      <w:szCs w:val="18"/>
                      <w:highlight w:val="yellow"/>
                    </w:rPr>
                  </w:pPr>
                </w:p>
              </w:tc>
            </w:tr>
            <w:tr w14:paraId="4209B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2" w:type="pct"/>
                  <w:vMerge w:val="continue"/>
                  <w:tcBorders>
                    <w:left w:val="single" w:color="auto" w:sz="4" w:space="0"/>
                    <w:right w:val="single" w:color="auto" w:sz="4" w:space="0"/>
                  </w:tcBorders>
                  <w:vAlign w:val="center"/>
                </w:tcPr>
                <w:p w14:paraId="6AD1E09D">
                  <w:pPr>
                    <w:widowControl/>
                    <w:jc w:val="center"/>
                    <w:textAlignment w:val="bottom"/>
                    <w:rPr>
                      <w:rFonts w:hint="default" w:ascii="Times New Roman" w:hAnsi="Times New Roman" w:cs="Times New Roman"/>
                      <w:color w:val="auto"/>
                      <w:sz w:val="18"/>
                      <w:szCs w:val="18"/>
                      <w:highlight w:val="none"/>
                    </w:rPr>
                  </w:pPr>
                </w:p>
              </w:tc>
              <w:tc>
                <w:tcPr>
                  <w:tcW w:w="480" w:type="pct"/>
                  <w:vMerge w:val="continue"/>
                  <w:tcBorders>
                    <w:left w:val="single" w:color="auto" w:sz="4" w:space="0"/>
                    <w:right w:val="single" w:color="auto" w:sz="4" w:space="0"/>
                  </w:tcBorders>
                  <w:vAlign w:val="center"/>
                </w:tcPr>
                <w:p w14:paraId="20B26D9C">
                  <w:pPr>
                    <w:widowControl/>
                    <w:jc w:val="center"/>
                    <w:textAlignment w:val="bottom"/>
                    <w:rPr>
                      <w:rFonts w:hint="default" w:ascii="Times New Roman" w:hAnsi="Times New Roman" w:cs="Times New Roman"/>
                      <w:color w:val="auto"/>
                      <w:sz w:val="18"/>
                      <w:szCs w:val="18"/>
                      <w:highlight w:val="none"/>
                    </w:rPr>
                  </w:pPr>
                </w:p>
              </w:tc>
              <w:tc>
                <w:tcPr>
                  <w:tcW w:w="637" w:type="pct"/>
                  <w:tcBorders>
                    <w:top w:val="single" w:color="auto" w:sz="4" w:space="0"/>
                    <w:left w:val="single" w:color="auto" w:sz="4" w:space="0"/>
                    <w:bottom w:val="single" w:color="auto" w:sz="4" w:space="0"/>
                    <w:right w:val="single" w:color="auto" w:sz="4" w:space="0"/>
                  </w:tcBorders>
                  <w:vAlign w:val="center"/>
                </w:tcPr>
                <w:p w14:paraId="3158982F">
                  <w:pPr>
                    <w:widowControl/>
                    <w:jc w:val="center"/>
                    <w:textAlignment w:val="bottom"/>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BOD</w:t>
                  </w:r>
                  <w:r>
                    <w:rPr>
                      <w:rFonts w:hint="default" w:ascii="Times New Roman" w:hAnsi="Times New Roman" w:cs="Times New Roman"/>
                      <w:color w:val="auto"/>
                      <w:sz w:val="18"/>
                      <w:szCs w:val="18"/>
                      <w:highlight w:val="none"/>
                      <w:vertAlign w:val="subscript"/>
                    </w:rPr>
                    <w:t>5</w:t>
                  </w:r>
                </w:p>
              </w:tc>
              <w:tc>
                <w:tcPr>
                  <w:tcW w:w="774" w:type="pct"/>
                  <w:tcBorders>
                    <w:top w:val="single" w:color="auto" w:sz="4" w:space="0"/>
                    <w:left w:val="single" w:color="auto" w:sz="4" w:space="0"/>
                    <w:bottom w:val="single" w:color="auto" w:sz="4" w:space="0"/>
                    <w:right w:val="single" w:color="auto" w:sz="4" w:space="0"/>
                  </w:tcBorders>
                  <w:vAlign w:val="center"/>
                </w:tcPr>
                <w:p w14:paraId="17F5C26D">
                  <w:pPr>
                    <w:widowControl/>
                    <w:jc w:val="center"/>
                    <w:textAlignment w:val="bottom"/>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150</w:t>
                  </w:r>
                </w:p>
              </w:tc>
              <w:tc>
                <w:tcPr>
                  <w:tcW w:w="1033" w:type="pct"/>
                  <w:tcBorders>
                    <w:top w:val="single" w:color="auto" w:sz="4" w:space="0"/>
                    <w:left w:val="single" w:color="auto" w:sz="4" w:space="0"/>
                    <w:bottom w:val="single" w:color="auto" w:sz="4" w:space="0"/>
                    <w:right w:val="single" w:color="auto" w:sz="4" w:space="0"/>
                  </w:tcBorders>
                  <w:vAlign w:val="center"/>
                </w:tcPr>
                <w:p w14:paraId="1EAC83B2">
                  <w:pPr>
                    <w:widowControl/>
                    <w:jc w:val="center"/>
                    <w:textAlignment w:val="bottom"/>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0.075</w:t>
                  </w:r>
                </w:p>
              </w:tc>
              <w:tc>
                <w:tcPr>
                  <w:tcW w:w="1582" w:type="pct"/>
                  <w:gridSpan w:val="2"/>
                  <w:vMerge w:val="continue"/>
                  <w:tcBorders>
                    <w:left w:val="single" w:color="auto" w:sz="4" w:space="0"/>
                    <w:right w:val="single" w:color="auto" w:sz="4" w:space="0"/>
                  </w:tcBorders>
                  <w:vAlign w:val="center"/>
                </w:tcPr>
                <w:p w14:paraId="6A77D201">
                  <w:pPr>
                    <w:widowControl/>
                    <w:jc w:val="center"/>
                    <w:textAlignment w:val="center"/>
                    <w:rPr>
                      <w:rFonts w:hint="default" w:ascii="Times New Roman" w:hAnsi="Times New Roman" w:cs="Times New Roman"/>
                      <w:color w:val="auto"/>
                      <w:sz w:val="18"/>
                      <w:szCs w:val="18"/>
                      <w:highlight w:val="yellow"/>
                    </w:rPr>
                  </w:pPr>
                </w:p>
              </w:tc>
            </w:tr>
            <w:tr w14:paraId="13D08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2" w:type="pct"/>
                  <w:vMerge w:val="continue"/>
                  <w:tcBorders>
                    <w:left w:val="single" w:color="auto" w:sz="4" w:space="0"/>
                    <w:right w:val="single" w:color="auto" w:sz="4" w:space="0"/>
                  </w:tcBorders>
                  <w:vAlign w:val="center"/>
                </w:tcPr>
                <w:p w14:paraId="4D9D81E2">
                  <w:pPr>
                    <w:widowControl/>
                    <w:jc w:val="center"/>
                    <w:textAlignment w:val="bottom"/>
                    <w:rPr>
                      <w:rFonts w:hint="default" w:ascii="Times New Roman" w:hAnsi="Times New Roman" w:cs="Times New Roman"/>
                      <w:color w:val="auto"/>
                      <w:sz w:val="18"/>
                      <w:szCs w:val="18"/>
                      <w:highlight w:val="none"/>
                    </w:rPr>
                  </w:pPr>
                </w:p>
              </w:tc>
              <w:tc>
                <w:tcPr>
                  <w:tcW w:w="480" w:type="pct"/>
                  <w:vMerge w:val="continue"/>
                  <w:tcBorders>
                    <w:left w:val="single" w:color="auto" w:sz="4" w:space="0"/>
                    <w:right w:val="single" w:color="auto" w:sz="4" w:space="0"/>
                  </w:tcBorders>
                  <w:vAlign w:val="center"/>
                </w:tcPr>
                <w:p w14:paraId="61C15A15">
                  <w:pPr>
                    <w:widowControl/>
                    <w:jc w:val="center"/>
                    <w:textAlignment w:val="bottom"/>
                    <w:rPr>
                      <w:rFonts w:hint="default" w:ascii="Times New Roman" w:hAnsi="Times New Roman" w:cs="Times New Roman"/>
                      <w:color w:val="auto"/>
                      <w:sz w:val="18"/>
                      <w:szCs w:val="18"/>
                      <w:highlight w:val="none"/>
                    </w:rPr>
                  </w:pPr>
                </w:p>
              </w:tc>
              <w:tc>
                <w:tcPr>
                  <w:tcW w:w="637" w:type="pct"/>
                  <w:tcBorders>
                    <w:top w:val="single" w:color="auto" w:sz="4" w:space="0"/>
                    <w:left w:val="single" w:color="auto" w:sz="4" w:space="0"/>
                    <w:bottom w:val="single" w:color="auto" w:sz="4" w:space="0"/>
                    <w:right w:val="single" w:color="auto" w:sz="4" w:space="0"/>
                  </w:tcBorders>
                  <w:vAlign w:val="center"/>
                </w:tcPr>
                <w:p w14:paraId="7B506BC9">
                  <w:pPr>
                    <w:widowControl/>
                    <w:jc w:val="center"/>
                    <w:textAlignment w:val="bottom"/>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SS</w:t>
                  </w:r>
                </w:p>
              </w:tc>
              <w:tc>
                <w:tcPr>
                  <w:tcW w:w="774" w:type="pct"/>
                  <w:tcBorders>
                    <w:top w:val="single" w:color="auto" w:sz="4" w:space="0"/>
                    <w:left w:val="single" w:color="auto" w:sz="4" w:space="0"/>
                    <w:bottom w:val="single" w:color="auto" w:sz="4" w:space="0"/>
                    <w:right w:val="single" w:color="auto" w:sz="4" w:space="0"/>
                  </w:tcBorders>
                  <w:vAlign w:val="center"/>
                </w:tcPr>
                <w:p w14:paraId="5E1D0660">
                  <w:pPr>
                    <w:widowControl/>
                    <w:jc w:val="center"/>
                    <w:textAlignment w:val="bottom"/>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300</w:t>
                  </w:r>
                </w:p>
              </w:tc>
              <w:tc>
                <w:tcPr>
                  <w:tcW w:w="1033" w:type="pct"/>
                  <w:tcBorders>
                    <w:top w:val="single" w:color="auto" w:sz="4" w:space="0"/>
                    <w:left w:val="single" w:color="auto" w:sz="4" w:space="0"/>
                    <w:bottom w:val="single" w:color="auto" w:sz="4" w:space="0"/>
                    <w:right w:val="single" w:color="auto" w:sz="4" w:space="0"/>
                  </w:tcBorders>
                  <w:vAlign w:val="center"/>
                </w:tcPr>
                <w:p w14:paraId="31D4D0B8">
                  <w:pPr>
                    <w:widowControl/>
                    <w:jc w:val="center"/>
                    <w:textAlignment w:val="bottom"/>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0.15</w:t>
                  </w:r>
                </w:p>
              </w:tc>
              <w:tc>
                <w:tcPr>
                  <w:tcW w:w="1582" w:type="pct"/>
                  <w:gridSpan w:val="2"/>
                  <w:vMerge w:val="continue"/>
                  <w:tcBorders>
                    <w:left w:val="single" w:color="auto" w:sz="4" w:space="0"/>
                    <w:right w:val="single" w:color="auto" w:sz="4" w:space="0"/>
                  </w:tcBorders>
                  <w:vAlign w:val="center"/>
                </w:tcPr>
                <w:p w14:paraId="4E3B591F">
                  <w:pPr>
                    <w:widowControl/>
                    <w:jc w:val="center"/>
                    <w:textAlignment w:val="center"/>
                    <w:rPr>
                      <w:rFonts w:hint="default" w:ascii="Times New Roman" w:hAnsi="Times New Roman" w:cs="Times New Roman"/>
                      <w:color w:val="auto"/>
                      <w:sz w:val="18"/>
                      <w:szCs w:val="18"/>
                      <w:highlight w:val="yellow"/>
                    </w:rPr>
                  </w:pPr>
                </w:p>
              </w:tc>
            </w:tr>
            <w:tr w14:paraId="2E298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2" w:type="pct"/>
                  <w:vMerge w:val="continue"/>
                  <w:tcBorders>
                    <w:left w:val="single" w:color="auto" w:sz="4" w:space="0"/>
                    <w:right w:val="single" w:color="auto" w:sz="4" w:space="0"/>
                  </w:tcBorders>
                  <w:vAlign w:val="center"/>
                </w:tcPr>
                <w:p w14:paraId="4ABE0015">
                  <w:pPr>
                    <w:widowControl/>
                    <w:jc w:val="center"/>
                    <w:textAlignment w:val="bottom"/>
                    <w:rPr>
                      <w:rFonts w:hint="default" w:ascii="Times New Roman" w:hAnsi="Times New Roman" w:cs="Times New Roman"/>
                      <w:color w:val="auto"/>
                      <w:sz w:val="18"/>
                      <w:szCs w:val="18"/>
                      <w:highlight w:val="none"/>
                    </w:rPr>
                  </w:pPr>
                </w:p>
              </w:tc>
              <w:tc>
                <w:tcPr>
                  <w:tcW w:w="480" w:type="pct"/>
                  <w:vMerge w:val="continue"/>
                  <w:tcBorders>
                    <w:left w:val="single" w:color="auto" w:sz="4" w:space="0"/>
                    <w:right w:val="single" w:color="auto" w:sz="4" w:space="0"/>
                  </w:tcBorders>
                  <w:vAlign w:val="center"/>
                </w:tcPr>
                <w:p w14:paraId="02972D32">
                  <w:pPr>
                    <w:widowControl/>
                    <w:jc w:val="center"/>
                    <w:textAlignment w:val="bottom"/>
                    <w:rPr>
                      <w:rFonts w:hint="default" w:ascii="Times New Roman" w:hAnsi="Times New Roman" w:cs="Times New Roman"/>
                      <w:color w:val="auto"/>
                      <w:sz w:val="18"/>
                      <w:szCs w:val="18"/>
                      <w:highlight w:val="none"/>
                    </w:rPr>
                  </w:pPr>
                </w:p>
              </w:tc>
              <w:tc>
                <w:tcPr>
                  <w:tcW w:w="637" w:type="pct"/>
                  <w:tcBorders>
                    <w:top w:val="single" w:color="auto" w:sz="4" w:space="0"/>
                    <w:left w:val="single" w:color="auto" w:sz="4" w:space="0"/>
                    <w:bottom w:val="single" w:color="auto" w:sz="4" w:space="0"/>
                    <w:right w:val="single" w:color="auto" w:sz="4" w:space="0"/>
                  </w:tcBorders>
                  <w:vAlign w:val="center"/>
                </w:tcPr>
                <w:p w14:paraId="2BB525EA">
                  <w:pPr>
                    <w:widowControl/>
                    <w:jc w:val="center"/>
                    <w:textAlignment w:val="bottom"/>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氨氮</w:t>
                  </w:r>
                </w:p>
              </w:tc>
              <w:tc>
                <w:tcPr>
                  <w:tcW w:w="774" w:type="pct"/>
                  <w:tcBorders>
                    <w:top w:val="single" w:color="auto" w:sz="4" w:space="0"/>
                    <w:left w:val="single" w:color="auto" w:sz="4" w:space="0"/>
                    <w:bottom w:val="single" w:color="auto" w:sz="4" w:space="0"/>
                    <w:right w:val="single" w:color="auto" w:sz="4" w:space="0"/>
                  </w:tcBorders>
                  <w:vAlign w:val="center"/>
                </w:tcPr>
                <w:p w14:paraId="5EEABAA9">
                  <w:pPr>
                    <w:widowControl/>
                    <w:jc w:val="center"/>
                    <w:textAlignment w:val="bottom"/>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53.2</w:t>
                  </w:r>
                </w:p>
              </w:tc>
              <w:tc>
                <w:tcPr>
                  <w:tcW w:w="1033" w:type="pct"/>
                  <w:tcBorders>
                    <w:top w:val="single" w:color="auto" w:sz="4" w:space="0"/>
                    <w:left w:val="single" w:color="auto" w:sz="4" w:space="0"/>
                    <w:bottom w:val="single" w:color="auto" w:sz="4" w:space="0"/>
                    <w:right w:val="single" w:color="auto" w:sz="4" w:space="0"/>
                  </w:tcBorders>
                  <w:vAlign w:val="center"/>
                </w:tcPr>
                <w:p w14:paraId="160075AC">
                  <w:pPr>
                    <w:widowControl/>
                    <w:jc w:val="center"/>
                    <w:textAlignment w:val="bottom"/>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0.0266</w:t>
                  </w:r>
                </w:p>
              </w:tc>
              <w:tc>
                <w:tcPr>
                  <w:tcW w:w="1582" w:type="pct"/>
                  <w:gridSpan w:val="2"/>
                  <w:vMerge w:val="continue"/>
                  <w:tcBorders>
                    <w:left w:val="single" w:color="auto" w:sz="4" w:space="0"/>
                    <w:right w:val="single" w:color="auto" w:sz="4" w:space="0"/>
                  </w:tcBorders>
                  <w:vAlign w:val="center"/>
                </w:tcPr>
                <w:p w14:paraId="24955F9D">
                  <w:pPr>
                    <w:widowControl/>
                    <w:jc w:val="center"/>
                    <w:textAlignment w:val="center"/>
                    <w:rPr>
                      <w:rFonts w:hint="default" w:ascii="Times New Roman" w:hAnsi="Times New Roman" w:cs="Times New Roman"/>
                      <w:color w:val="auto"/>
                      <w:sz w:val="18"/>
                      <w:szCs w:val="18"/>
                      <w:highlight w:val="yellow"/>
                    </w:rPr>
                  </w:pPr>
                </w:p>
              </w:tc>
            </w:tr>
            <w:tr w14:paraId="43BE4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2" w:type="pct"/>
                  <w:vMerge w:val="continue"/>
                  <w:tcBorders>
                    <w:left w:val="single" w:color="auto" w:sz="4" w:space="0"/>
                    <w:right w:val="single" w:color="auto" w:sz="4" w:space="0"/>
                  </w:tcBorders>
                  <w:vAlign w:val="center"/>
                </w:tcPr>
                <w:p w14:paraId="130CCFE5">
                  <w:pPr>
                    <w:widowControl/>
                    <w:jc w:val="center"/>
                    <w:textAlignment w:val="bottom"/>
                    <w:rPr>
                      <w:rFonts w:hint="default" w:ascii="Times New Roman" w:hAnsi="Times New Roman" w:cs="Times New Roman"/>
                      <w:color w:val="auto"/>
                      <w:sz w:val="18"/>
                      <w:szCs w:val="18"/>
                      <w:highlight w:val="none"/>
                    </w:rPr>
                  </w:pPr>
                </w:p>
              </w:tc>
              <w:tc>
                <w:tcPr>
                  <w:tcW w:w="480" w:type="pct"/>
                  <w:vMerge w:val="continue"/>
                  <w:tcBorders>
                    <w:left w:val="single" w:color="auto" w:sz="4" w:space="0"/>
                    <w:right w:val="single" w:color="auto" w:sz="4" w:space="0"/>
                  </w:tcBorders>
                  <w:vAlign w:val="center"/>
                </w:tcPr>
                <w:p w14:paraId="5A84F9B7">
                  <w:pPr>
                    <w:widowControl/>
                    <w:jc w:val="center"/>
                    <w:textAlignment w:val="bottom"/>
                    <w:rPr>
                      <w:rFonts w:hint="default" w:ascii="Times New Roman" w:hAnsi="Times New Roman" w:cs="Times New Roman"/>
                      <w:color w:val="auto"/>
                      <w:sz w:val="18"/>
                      <w:szCs w:val="18"/>
                      <w:highlight w:val="none"/>
                    </w:rPr>
                  </w:pPr>
                </w:p>
              </w:tc>
              <w:tc>
                <w:tcPr>
                  <w:tcW w:w="637" w:type="pct"/>
                  <w:tcBorders>
                    <w:top w:val="single" w:color="auto" w:sz="4" w:space="0"/>
                    <w:left w:val="single" w:color="auto" w:sz="4" w:space="0"/>
                    <w:bottom w:val="single" w:color="auto" w:sz="4" w:space="0"/>
                    <w:right w:val="single" w:color="auto" w:sz="4" w:space="0"/>
                  </w:tcBorders>
                  <w:vAlign w:val="center"/>
                </w:tcPr>
                <w:p w14:paraId="25D257DC">
                  <w:pPr>
                    <w:widowControl/>
                    <w:jc w:val="center"/>
                    <w:textAlignment w:val="bottom"/>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总磷</w:t>
                  </w:r>
                </w:p>
              </w:tc>
              <w:tc>
                <w:tcPr>
                  <w:tcW w:w="774" w:type="pct"/>
                  <w:tcBorders>
                    <w:top w:val="single" w:color="auto" w:sz="4" w:space="0"/>
                    <w:left w:val="single" w:color="auto" w:sz="4" w:space="0"/>
                    <w:bottom w:val="single" w:color="auto" w:sz="4" w:space="0"/>
                    <w:right w:val="single" w:color="auto" w:sz="4" w:space="0"/>
                  </w:tcBorders>
                  <w:vAlign w:val="center"/>
                </w:tcPr>
                <w:p w14:paraId="6CE7C229">
                  <w:pPr>
                    <w:widowControl/>
                    <w:jc w:val="center"/>
                    <w:textAlignment w:val="bottom"/>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5.76</w:t>
                  </w:r>
                </w:p>
              </w:tc>
              <w:tc>
                <w:tcPr>
                  <w:tcW w:w="1033" w:type="pct"/>
                  <w:tcBorders>
                    <w:top w:val="single" w:color="auto" w:sz="4" w:space="0"/>
                    <w:left w:val="single" w:color="auto" w:sz="4" w:space="0"/>
                    <w:bottom w:val="single" w:color="auto" w:sz="4" w:space="0"/>
                    <w:right w:val="single" w:color="auto" w:sz="4" w:space="0"/>
                  </w:tcBorders>
                  <w:vAlign w:val="center"/>
                </w:tcPr>
                <w:p w14:paraId="6AF7DCBA">
                  <w:pPr>
                    <w:widowControl/>
                    <w:jc w:val="center"/>
                    <w:textAlignment w:val="bottom"/>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0.0029</w:t>
                  </w:r>
                </w:p>
              </w:tc>
              <w:tc>
                <w:tcPr>
                  <w:tcW w:w="1582" w:type="pct"/>
                  <w:gridSpan w:val="2"/>
                  <w:vMerge w:val="continue"/>
                  <w:tcBorders>
                    <w:left w:val="single" w:color="auto" w:sz="4" w:space="0"/>
                    <w:bottom w:val="single" w:color="auto" w:sz="4" w:space="0"/>
                    <w:right w:val="single" w:color="auto" w:sz="4" w:space="0"/>
                  </w:tcBorders>
                  <w:vAlign w:val="center"/>
                </w:tcPr>
                <w:p w14:paraId="2B8C0D1D">
                  <w:pPr>
                    <w:widowControl/>
                    <w:jc w:val="center"/>
                    <w:textAlignment w:val="center"/>
                    <w:rPr>
                      <w:rFonts w:hint="default" w:ascii="Times New Roman" w:hAnsi="Times New Roman" w:cs="Times New Roman"/>
                      <w:color w:val="auto"/>
                      <w:sz w:val="18"/>
                      <w:szCs w:val="18"/>
                      <w:highlight w:val="yellow"/>
                    </w:rPr>
                  </w:pPr>
                </w:p>
              </w:tc>
            </w:tr>
          </w:tbl>
          <w:p w14:paraId="6B1D7BAD">
            <w:pPr>
              <w:pStyle w:val="80"/>
              <w:spacing w:after="0" w:line="360" w:lineRule="auto"/>
              <w:ind w:left="0" w:leftChars="0"/>
              <w:jc w:val="left"/>
              <w:rPr>
                <w:rFonts w:hint="default" w:ascii="Times New Roman" w:hAnsi="Times New Roman" w:eastAsia="宋体" w:cs="Times New Roman"/>
                <w:b/>
                <w:bCs/>
                <w:color w:val="auto"/>
                <w:sz w:val="21"/>
                <w:szCs w:val="18"/>
                <w:highlight w:val="none"/>
              </w:rPr>
            </w:pPr>
            <w:r>
              <w:rPr>
                <w:rFonts w:hint="eastAsia" w:cs="Times New Roman"/>
                <w:b/>
                <w:bCs/>
                <w:color w:val="auto"/>
                <w:sz w:val="21"/>
                <w:szCs w:val="18"/>
                <w:highlight w:val="none"/>
                <w:lang w:val="en-US" w:eastAsia="zh-CN"/>
              </w:rPr>
              <w:t>3</w:t>
            </w:r>
            <w:r>
              <w:rPr>
                <w:rFonts w:hint="default" w:ascii="Times New Roman" w:hAnsi="Times New Roman" w:eastAsia="宋体" w:cs="Times New Roman"/>
                <w:b/>
                <w:bCs/>
                <w:color w:val="auto"/>
                <w:sz w:val="21"/>
                <w:szCs w:val="18"/>
                <w:highlight w:val="none"/>
              </w:rPr>
              <w:t>、影响分析</w:t>
            </w:r>
          </w:p>
          <w:p w14:paraId="1426471D">
            <w:pPr>
              <w:pStyle w:val="732"/>
              <w:snapToGrid w:val="0"/>
              <w:spacing w:line="360" w:lineRule="auto"/>
              <w:ind w:firstLine="420" w:firstLineChars="200"/>
              <w:jc w:val="both"/>
              <w:rPr>
                <w:rFonts w:hint="default" w:ascii="Times New Roman" w:hAnsi="Times New Roman" w:cs="Times New Roman"/>
                <w:color w:val="auto"/>
                <w:sz w:val="21"/>
                <w:szCs w:val="21"/>
                <w:highlight w:val="none"/>
              </w:rPr>
            </w:pPr>
            <w:r>
              <w:rPr>
                <w:rFonts w:hint="eastAsia" w:cs="Times New Roman" w:eastAsiaTheme="minorEastAsia"/>
                <w:color w:val="auto"/>
                <w:sz w:val="21"/>
                <w:szCs w:val="21"/>
                <w:highlight w:val="none"/>
                <w:lang w:eastAsia="zh-CN"/>
              </w:rPr>
              <w:t>一期项目</w:t>
            </w:r>
            <w:r>
              <w:rPr>
                <w:rFonts w:hint="default" w:ascii="Times New Roman" w:hAnsi="Times New Roman" w:cs="Times New Roman" w:eastAsiaTheme="minorEastAsia"/>
                <w:color w:val="auto"/>
                <w:sz w:val="21"/>
                <w:szCs w:val="21"/>
                <w:highlight w:val="none"/>
              </w:rPr>
              <w:t>废水主要污染物为pH、COD、BOD</w:t>
            </w:r>
            <w:r>
              <w:rPr>
                <w:rFonts w:hint="default" w:ascii="Times New Roman" w:hAnsi="Times New Roman" w:cs="Times New Roman" w:eastAsiaTheme="minorEastAsia"/>
                <w:color w:val="auto"/>
                <w:sz w:val="21"/>
                <w:szCs w:val="21"/>
                <w:highlight w:val="none"/>
                <w:vertAlign w:val="subscript"/>
              </w:rPr>
              <w:t>5</w:t>
            </w:r>
            <w:r>
              <w:rPr>
                <w:rFonts w:hint="default" w:ascii="Times New Roman" w:hAnsi="Times New Roman" w:cs="Times New Roman" w:eastAsiaTheme="minorEastAsia"/>
                <w:color w:val="auto"/>
                <w:sz w:val="21"/>
                <w:szCs w:val="21"/>
                <w:highlight w:val="none"/>
              </w:rPr>
              <w:t>、SS、总磷、氨氮等常规因子，</w:t>
            </w:r>
            <w:r>
              <w:rPr>
                <w:rFonts w:hint="eastAsia" w:cs="Times New Roman"/>
                <w:color w:val="auto"/>
                <w:sz w:val="21"/>
                <w:szCs w:val="21"/>
                <w:highlight w:val="none"/>
                <w:lang w:eastAsia="zh-CN"/>
              </w:rPr>
              <w:t>一期项目</w:t>
            </w:r>
            <w:r>
              <w:rPr>
                <w:rFonts w:hint="default" w:ascii="Times New Roman" w:hAnsi="Times New Roman" w:cs="Times New Roman"/>
                <w:color w:val="auto"/>
                <w:sz w:val="21"/>
                <w:szCs w:val="21"/>
                <w:highlight w:val="none"/>
              </w:rPr>
              <w:t>废水</w:t>
            </w:r>
            <w:r>
              <w:rPr>
                <w:rFonts w:hint="default" w:ascii="Times New Roman" w:hAnsi="Times New Roman" w:cs="Times New Roman" w:eastAsiaTheme="minorEastAsia"/>
                <w:color w:val="auto"/>
                <w:sz w:val="21"/>
                <w:szCs w:val="21"/>
                <w:highlight w:val="none"/>
              </w:rPr>
              <w:t>为员工生活产生的生活污水。经化粪池预处理后由环卫部门定期清运。因此，在采取分类收集、分区防渗等环保措施下，</w:t>
            </w:r>
            <w:r>
              <w:rPr>
                <w:rFonts w:hint="eastAsia" w:cs="Times New Roman" w:eastAsiaTheme="minorEastAsia"/>
                <w:color w:val="auto"/>
                <w:sz w:val="21"/>
                <w:szCs w:val="21"/>
                <w:highlight w:val="none"/>
                <w:lang w:eastAsia="zh-CN"/>
              </w:rPr>
              <w:t>一期项目</w:t>
            </w:r>
            <w:r>
              <w:rPr>
                <w:rFonts w:hint="default" w:ascii="Times New Roman" w:hAnsi="Times New Roman" w:cs="Times New Roman" w:eastAsiaTheme="minorEastAsia"/>
                <w:color w:val="auto"/>
                <w:sz w:val="21"/>
                <w:szCs w:val="21"/>
                <w:highlight w:val="none"/>
              </w:rPr>
              <w:t>废水不会对周边地表水环境造成影响。</w:t>
            </w:r>
          </w:p>
          <w:p w14:paraId="17A9F599">
            <w:pPr>
              <w:pStyle w:val="80"/>
              <w:spacing w:after="0" w:line="360" w:lineRule="auto"/>
              <w:ind w:left="0" w:leftChars="0"/>
              <w:jc w:val="left"/>
              <w:rPr>
                <w:rFonts w:hint="default" w:ascii="Times New Roman" w:hAnsi="Times New Roman" w:eastAsia="宋体" w:cs="Times New Roman"/>
                <w:b/>
                <w:bCs/>
                <w:color w:val="auto"/>
                <w:sz w:val="21"/>
                <w:szCs w:val="18"/>
                <w:highlight w:val="none"/>
              </w:rPr>
            </w:pPr>
            <w:r>
              <w:rPr>
                <w:rFonts w:hint="eastAsia" w:cs="Times New Roman"/>
                <w:b/>
                <w:bCs/>
                <w:color w:val="auto"/>
                <w:sz w:val="21"/>
                <w:szCs w:val="18"/>
                <w:highlight w:val="none"/>
                <w:lang w:val="en-US" w:eastAsia="zh-CN"/>
              </w:rPr>
              <w:t>4</w:t>
            </w:r>
            <w:r>
              <w:rPr>
                <w:rFonts w:hint="default" w:ascii="Times New Roman" w:hAnsi="Times New Roman" w:eastAsia="宋体" w:cs="Times New Roman"/>
                <w:b/>
                <w:bCs/>
                <w:color w:val="auto"/>
                <w:sz w:val="21"/>
                <w:szCs w:val="18"/>
                <w:highlight w:val="none"/>
              </w:rPr>
              <w:t>、自行监测方案</w:t>
            </w:r>
          </w:p>
          <w:p w14:paraId="1A56D8F7">
            <w:pPr>
              <w:pStyle w:val="732"/>
              <w:snapToGrid w:val="0"/>
              <w:spacing w:line="360" w:lineRule="auto"/>
              <w:ind w:firstLine="420" w:firstLineChars="200"/>
              <w:jc w:val="both"/>
              <w:rPr>
                <w:rFonts w:hint="default" w:ascii="Times New Roman" w:hAnsi="Times New Roman" w:cs="Times New Roman" w:eastAsiaTheme="minorEastAsia"/>
                <w:color w:val="auto"/>
                <w:sz w:val="21"/>
                <w:szCs w:val="21"/>
                <w:highlight w:val="none"/>
              </w:rPr>
            </w:pPr>
            <w:r>
              <w:rPr>
                <w:rFonts w:hint="eastAsia" w:cs="Times New Roman" w:eastAsiaTheme="minorEastAsia"/>
                <w:color w:val="auto"/>
                <w:sz w:val="21"/>
                <w:szCs w:val="21"/>
                <w:highlight w:val="none"/>
                <w:lang w:eastAsia="zh-CN"/>
              </w:rPr>
              <w:t>一期项目</w:t>
            </w:r>
            <w:r>
              <w:rPr>
                <w:rFonts w:hint="default" w:ascii="Times New Roman" w:hAnsi="Times New Roman" w:cs="Times New Roman" w:eastAsiaTheme="minorEastAsia"/>
                <w:color w:val="auto"/>
                <w:sz w:val="21"/>
                <w:szCs w:val="21"/>
                <w:highlight w:val="none"/>
                <w:lang w:eastAsia="zh-CN"/>
              </w:rPr>
              <w:t>不涉及</w:t>
            </w:r>
            <w:r>
              <w:rPr>
                <w:rFonts w:hint="default" w:ascii="Times New Roman" w:hAnsi="Times New Roman" w:cs="Times New Roman" w:eastAsiaTheme="minorEastAsia"/>
                <w:color w:val="auto"/>
                <w:sz w:val="21"/>
                <w:szCs w:val="21"/>
                <w:highlight w:val="none"/>
              </w:rPr>
              <w:t>废水排放口，无需进行废水自行监测。</w:t>
            </w:r>
          </w:p>
          <w:p w14:paraId="10EC40D2">
            <w:pPr>
              <w:spacing w:line="420" w:lineRule="exact"/>
              <w:ind w:firstLine="422" w:firstLineChars="200"/>
              <w:rPr>
                <w:rFonts w:hint="default" w:ascii="Times New Roman" w:hAnsi="Times New Roman" w:cs="Times New Roman"/>
                <w:b/>
                <w:bCs/>
                <w:color w:val="auto"/>
              </w:rPr>
            </w:pPr>
            <w:r>
              <w:rPr>
                <w:rFonts w:hint="default" w:ascii="Times New Roman" w:hAnsi="Times New Roman" w:cs="Times New Roman"/>
                <w:b/>
                <w:bCs/>
                <w:color w:val="auto"/>
              </w:rPr>
              <w:t>三、噪声：</w:t>
            </w:r>
          </w:p>
          <w:p w14:paraId="3F6FE392">
            <w:pPr>
              <w:spacing w:line="420" w:lineRule="exact"/>
              <w:ind w:firstLine="422" w:firstLineChars="200"/>
              <w:rPr>
                <w:rFonts w:hint="default" w:ascii="Times New Roman" w:hAnsi="Times New Roman" w:cs="Times New Roman"/>
                <w:b/>
                <w:bCs/>
                <w:color w:val="auto"/>
                <w:highlight w:val="none"/>
                <w:lang w:val="de-DE"/>
              </w:rPr>
            </w:pPr>
            <w:r>
              <w:rPr>
                <w:rFonts w:hint="default" w:ascii="Times New Roman" w:hAnsi="Times New Roman" w:cs="Times New Roman"/>
                <w:b/>
                <w:bCs/>
                <w:color w:val="auto"/>
                <w:highlight w:val="none"/>
                <w:lang w:val="de-DE"/>
              </w:rPr>
              <w:t>1、噪声源强及降噪措施</w:t>
            </w:r>
          </w:p>
          <w:p w14:paraId="55E631BC">
            <w:pPr>
              <w:spacing w:line="420" w:lineRule="exact"/>
              <w:ind w:firstLine="420" w:firstLineChars="200"/>
              <w:rPr>
                <w:rFonts w:hint="default" w:ascii="Times New Roman" w:hAnsi="Times New Roman" w:cs="Times New Roman"/>
                <w:bCs/>
                <w:color w:val="auto"/>
                <w:highlight w:val="none"/>
              </w:rPr>
            </w:pPr>
            <w:r>
              <w:rPr>
                <w:rFonts w:hint="eastAsia" w:cs="Times New Roman"/>
                <w:bCs/>
                <w:color w:val="auto"/>
                <w:highlight w:val="none"/>
                <w:lang w:eastAsia="zh-CN"/>
              </w:rPr>
              <w:t>一期项目</w:t>
            </w:r>
            <w:r>
              <w:rPr>
                <w:rFonts w:hint="default" w:ascii="Times New Roman" w:hAnsi="Times New Roman" w:cs="Times New Roman"/>
                <w:color w:val="auto"/>
                <w:highlight w:val="none"/>
              </w:rPr>
              <w:t>声源主要是</w:t>
            </w:r>
            <w:r>
              <w:rPr>
                <w:rFonts w:hint="eastAsia" w:cs="Times New Roman"/>
                <w:color w:val="auto"/>
                <w:highlight w:val="none"/>
                <w:lang w:eastAsia="zh-CN"/>
              </w:rPr>
              <w:t>破碎机、原料筛、造粒机、包装机、空压机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风机</w:t>
            </w:r>
            <w:r>
              <w:rPr>
                <w:rFonts w:hint="default" w:ascii="Times New Roman" w:hAnsi="Times New Roman" w:cs="Times New Roman"/>
                <w:color w:val="auto"/>
                <w:highlight w:val="none"/>
              </w:rPr>
              <w:t>等设备</w:t>
            </w:r>
            <w:r>
              <w:rPr>
                <w:rFonts w:hint="default" w:ascii="Times New Roman" w:hAnsi="Times New Roman" w:cs="Times New Roman"/>
                <w:color w:val="auto"/>
                <w:highlight w:val="none"/>
                <w:lang w:val="de-DE"/>
              </w:rPr>
              <w:t>产生的噪声，根据国内同类行业的车间内噪声值的经验数据，其噪声级在</w:t>
            </w:r>
            <w:r>
              <w:rPr>
                <w:rFonts w:hint="eastAsia" w:cs="Times New Roman"/>
                <w:color w:val="auto"/>
                <w:highlight w:val="none"/>
                <w:lang w:val="en-US" w:eastAsia="zh-CN"/>
              </w:rPr>
              <w:t>60-90</w:t>
            </w:r>
            <w:r>
              <w:rPr>
                <w:rFonts w:hint="default" w:ascii="Times New Roman" w:hAnsi="Times New Roman" w:cs="Times New Roman"/>
                <w:color w:val="auto"/>
                <w:highlight w:val="none"/>
                <w:lang w:val="de-DE"/>
              </w:rPr>
              <w:t>dB（A）之间</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年运行时间</w:t>
            </w:r>
            <w:r>
              <w:rPr>
                <w:rFonts w:hint="default" w:ascii="Times New Roman" w:hAnsi="Times New Roman" w:cs="Times New Roman"/>
                <w:color w:val="auto"/>
                <w:highlight w:val="none"/>
                <w:lang w:val="en-US" w:eastAsia="zh-CN"/>
              </w:rPr>
              <w:t>7200h，昼夜均运行。</w:t>
            </w:r>
            <w:r>
              <w:rPr>
                <w:rFonts w:hint="default" w:ascii="Times New Roman" w:hAnsi="Times New Roman" w:cs="Times New Roman"/>
                <w:color w:val="auto"/>
                <w:highlight w:val="none"/>
              </w:rPr>
              <w:t>根据不同的噪声设备采取针对性的噪声治理措施如基础减振、柔性接口、隔音房、消音器、隔声罩等设施，采用消音措施后可削减现有源强20～25dB（A）。噪声源详情见下表。</w:t>
            </w:r>
          </w:p>
          <w:p w14:paraId="24CD27C3">
            <w:pPr>
              <w:spacing w:line="420" w:lineRule="exact"/>
              <w:ind w:firstLine="422" w:firstLineChars="200"/>
              <w:jc w:val="center"/>
              <w:rPr>
                <w:rFonts w:hint="default" w:ascii="Times New Roman" w:hAnsi="Times New Roman" w:eastAsia="宋体" w:cs="Times New Roman"/>
                <w:b/>
                <w:color w:val="auto"/>
                <w:sz w:val="24"/>
                <w:szCs w:val="24"/>
                <w:highlight w:val="none"/>
                <w:lang w:eastAsia="zh-CN"/>
              </w:rPr>
            </w:pPr>
            <w:r>
              <w:rPr>
                <w:rFonts w:hint="default" w:ascii="Times New Roman" w:hAnsi="Times New Roman" w:cs="Times New Roman"/>
                <w:b/>
                <w:bCs/>
                <w:color w:val="auto"/>
                <w:highlight w:val="none"/>
              </w:rPr>
              <w:t>表4-</w:t>
            </w:r>
            <w:r>
              <w:rPr>
                <w:rFonts w:hint="eastAsia" w:cs="Times New Roman"/>
                <w:b/>
                <w:bCs/>
                <w:color w:val="auto"/>
                <w:highlight w:val="none"/>
                <w:lang w:val="en-US" w:eastAsia="zh-CN"/>
              </w:rPr>
              <w:t>26一期项目</w:t>
            </w:r>
            <w:r>
              <w:rPr>
                <w:rFonts w:hint="default" w:ascii="Times New Roman" w:hAnsi="Times New Roman" w:cs="Times New Roman"/>
                <w:b/>
                <w:bCs/>
                <w:color w:val="auto"/>
                <w:highlight w:val="none"/>
              </w:rPr>
              <w:t>设备噪声产生情况</w:t>
            </w:r>
            <w:r>
              <w:rPr>
                <w:rFonts w:hint="default" w:ascii="Times New Roman" w:hAnsi="Times New Roman" w:cs="Times New Roman"/>
                <w:b/>
                <w:bCs/>
                <w:color w:val="auto"/>
                <w:highlight w:val="none"/>
                <w:lang w:eastAsia="zh-CN"/>
              </w:rPr>
              <w:t>（室内声源）</w:t>
            </w:r>
          </w:p>
          <w:tbl>
            <w:tblPr>
              <w:tblStyle w:val="1390"/>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90"/>
              <w:gridCol w:w="251"/>
              <w:gridCol w:w="930"/>
              <w:gridCol w:w="862"/>
              <w:gridCol w:w="543"/>
              <w:gridCol w:w="417"/>
              <w:gridCol w:w="430"/>
              <w:gridCol w:w="402"/>
              <w:gridCol w:w="377"/>
              <w:gridCol w:w="772"/>
              <w:gridCol w:w="881"/>
              <w:gridCol w:w="590"/>
              <w:gridCol w:w="502"/>
              <w:gridCol w:w="774"/>
              <w:gridCol w:w="449"/>
            </w:tblGrid>
            <w:tr w14:paraId="5E1BC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115" w:type="pct"/>
                  <w:vMerge w:val="restart"/>
                  <w:noWrap w:val="0"/>
                  <w:vAlign w:val="center"/>
                </w:tcPr>
                <w:p w14:paraId="61E3D55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2743B84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序号</w:t>
                  </w:r>
                </w:p>
              </w:tc>
              <w:tc>
                <w:tcPr>
                  <w:tcW w:w="189" w:type="pct"/>
                  <w:vMerge w:val="restart"/>
                  <w:noWrap w:val="0"/>
                  <w:vAlign w:val="center"/>
                </w:tcPr>
                <w:p w14:paraId="33FDEF8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33A48D4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建筑物 名称</w:t>
                  </w:r>
                </w:p>
              </w:tc>
              <w:tc>
                <w:tcPr>
                  <w:tcW w:w="575" w:type="pct"/>
                  <w:vMerge w:val="restart"/>
                  <w:noWrap w:val="0"/>
                  <w:vAlign w:val="center"/>
                </w:tcPr>
                <w:p w14:paraId="1358FEF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7C5CC64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声源名称</w:t>
                  </w:r>
                </w:p>
              </w:tc>
              <w:tc>
                <w:tcPr>
                  <w:tcW w:w="514" w:type="pct"/>
                  <w:vMerge w:val="restart"/>
                  <w:noWrap w:val="0"/>
                  <w:vAlign w:val="center"/>
                </w:tcPr>
                <w:p w14:paraId="2DD6A53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4CDD17A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型号</w:t>
                  </w:r>
                </w:p>
              </w:tc>
              <w:tc>
                <w:tcPr>
                  <w:tcW w:w="344" w:type="pct"/>
                  <w:noWrap w:val="0"/>
                  <w:vAlign w:val="center"/>
                </w:tcPr>
                <w:p w14:paraId="6437930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声源源强</w:t>
                  </w:r>
                </w:p>
              </w:tc>
              <w:tc>
                <w:tcPr>
                  <w:tcW w:w="269" w:type="pct"/>
                  <w:vMerge w:val="restart"/>
                  <w:noWrap w:val="0"/>
                  <w:vAlign w:val="center"/>
                </w:tcPr>
                <w:p w14:paraId="10C7DC1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41B5609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声源控制措施</w:t>
                  </w:r>
                </w:p>
              </w:tc>
              <w:tc>
                <w:tcPr>
                  <w:tcW w:w="782" w:type="pct"/>
                  <w:gridSpan w:val="3"/>
                  <w:noWrap w:val="0"/>
                  <w:vAlign w:val="center"/>
                </w:tcPr>
                <w:p w14:paraId="2AE2DF4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空间相对位置</w:t>
                  </w:r>
                  <w:r>
                    <w:rPr>
                      <w:rFonts w:hint="default" w:ascii="Times New Roman" w:hAnsi="Times New Roman" w:eastAsia="Times New Roman" w:cs="Times New Roman"/>
                      <w:b/>
                      <w:bCs/>
                      <w:snapToGrid w:val="0"/>
                      <w:color w:val="auto"/>
                      <w:spacing w:val="0"/>
                      <w:kern w:val="0"/>
                      <w:sz w:val="18"/>
                      <w:szCs w:val="18"/>
                      <w:highlight w:val="none"/>
                    </w:rPr>
                    <w:t>/m</w:t>
                  </w:r>
                </w:p>
              </w:tc>
              <w:tc>
                <w:tcPr>
                  <w:tcW w:w="481" w:type="pct"/>
                  <w:vMerge w:val="restart"/>
                  <w:noWrap w:val="0"/>
                  <w:vAlign w:val="center"/>
                </w:tcPr>
                <w:p w14:paraId="104ADF5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距室内</w:t>
                  </w:r>
                </w:p>
                <w:p w14:paraId="1B0AF82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边界距</w:t>
                  </w:r>
                </w:p>
                <w:p w14:paraId="27DC1B0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离</w:t>
                  </w:r>
                  <w:r>
                    <w:rPr>
                      <w:rFonts w:hint="default" w:ascii="Times New Roman" w:hAnsi="Times New Roman" w:eastAsia="Times New Roman" w:cs="Times New Roman"/>
                      <w:b/>
                      <w:bCs/>
                      <w:snapToGrid w:val="0"/>
                      <w:color w:val="auto"/>
                      <w:spacing w:val="0"/>
                      <w:kern w:val="0"/>
                      <w:sz w:val="18"/>
                      <w:szCs w:val="18"/>
                      <w:highlight w:val="none"/>
                    </w:rPr>
                    <w:t>/m</w:t>
                  </w:r>
                </w:p>
              </w:tc>
              <w:tc>
                <w:tcPr>
                  <w:tcW w:w="546" w:type="pct"/>
                  <w:vMerge w:val="restart"/>
                  <w:noWrap w:val="0"/>
                  <w:vAlign w:val="center"/>
                </w:tcPr>
                <w:p w14:paraId="2D8485A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ascii="Times New Roman" w:hAnsi="Times New Roman" w:eastAsia="宋体" w:cs="Times New Roman"/>
                      <w:snapToGrid w:val="0"/>
                      <w:color w:val="auto"/>
                      <w:spacing w:val="0"/>
                      <w:kern w:val="0"/>
                      <w:sz w:val="18"/>
                      <w:szCs w:val="18"/>
                      <w:highlight w:val="none"/>
                      <w:lang w:eastAsia="zh-CN"/>
                    </w:rPr>
                  </w:pPr>
                  <w:r>
                    <w:rPr>
                      <w:rFonts w:hint="default" w:ascii="Times New Roman" w:hAnsi="Times New Roman" w:eastAsia="宋体" w:cs="Times New Roman"/>
                      <w:snapToGrid w:val="0"/>
                      <w:color w:val="auto"/>
                      <w:spacing w:val="0"/>
                      <w:kern w:val="0"/>
                      <w:sz w:val="18"/>
                      <w:szCs w:val="18"/>
                      <w:highlight w:val="none"/>
                    </w:rPr>
                    <w:t xml:space="preserve">室内边 界声级 </w:t>
                  </w:r>
                  <w:r>
                    <w:rPr>
                      <w:rFonts w:hint="default" w:ascii="Times New Roman" w:hAnsi="Times New Roman" w:eastAsia="Times New Roman" w:cs="Times New Roman"/>
                      <w:b/>
                      <w:bCs/>
                      <w:snapToGrid w:val="0"/>
                      <w:color w:val="auto"/>
                      <w:spacing w:val="0"/>
                      <w:kern w:val="0"/>
                      <w:sz w:val="18"/>
                      <w:szCs w:val="18"/>
                      <w:highlight w:val="none"/>
                    </w:rPr>
                    <w:t>/dB</w:t>
                  </w:r>
                  <w:r>
                    <w:rPr>
                      <w:rFonts w:hint="eastAsia" w:eastAsia="宋体" w:cs="Times New Roman"/>
                      <w:b/>
                      <w:bCs/>
                      <w:snapToGrid w:val="0"/>
                      <w:color w:val="auto"/>
                      <w:spacing w:val="0"/>
                      <w:kern w:val="0"/>
                      <w:sz w:val="18"/>
                      <w:szCs w:val="18"/>
                      <w:highlight w:val="none"/>
                      <w:lang w:eastAsia="zh-CN"/>
                    </w:rPr>
                    <w:t>（</w:t>
                  </w:r>
                  <w:r>
                    <w:rPr>
                      <w:rFonts w:hint="default" w:ascii="Times New Roman" w:hAnsi="Times New Roman" w:eastAsia="Times New Roman" w:cs="Times New Roman"/>
                      <w:b/>
                      <w:bCs/>
                      <w:snapToGrid w:val="0"/>
                      <w:color w:val="auto"/>
                      <w:spacing w:val="0"/>
                      <w:kern w:val="0"/>
                      <w:sz w:val="18"/>
                      <w:szCs w:val="18"/>
                      <w:highlight w:val="none"/>
                    </w:rPr>
                    <w:t>A</w:t>
                  </w:r>
                  <w:r>
                    <w:rPr>
                      <w:rFonts w:hint="eastAsia" w:eastAsia="宋体" w:cs="Times New Roman"/>
                      <w:b/>
                      <w:bCs/>
                      <w:snapToGrid w:val="0"/>
                      <w:color w:val="auto"/>
                      <w:spacing w:val="0"/>
                      <w:kern w:val="0"/>
                      <w:sz w:val="18"/>
                      <w:szCs w:val="18"/>
                      <w:highlight w:val="none"/>
                      <w:lang w:eastAsia="zh-CN"/>
                    </w:rPr>
                    <w:t>）</w:t>
                  </w:r>
                </w:p>
              </w:tc>
              <w:tc>
                <w:tcPr>
                  <w:tcW w:w="157" w:type="pct"/>
                  <w:vMerge w:val="restart"/>
                  <w:noWrap w:val="0"/>
                  <w:vAlign w:val="center"/>
                </w:tcPr>
                <w:p w14:paraId="7EFBCF6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3EFC0E8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运行时段</w:t>
                  </w:r>
                </w:p>
              </w:tc>
              <w:tc>
                <w:tcPr>
                  <w:tcW w:w="252" w:type="pct"/>
                  <w:vMerge w:val="restart"/>
                  <w:noWrap w:val="0"/>
                  <w:vAlign w:val="center"/>
                </w:tcPr>
                <w:p w14:paraId="25BC7D5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ascii="Times New Roman" w:hAnsi="Times New Roman" w:eastAsia="宋体" w:cs="Times New Roman"/>
                      <w:snapToGrid w:val="0"/>
                      <w:color w:val="auto"/>
                      <w:spacing w:val="0"/>
                      <w:kern w:val="0"/>
                      <w:sz w:val="18"/>
                      <w:szCs w:val="18"/>
                      <w:highlight w:val="none"/>
                      <w:lang w:eastAsia="zh-CN"/>
                    </w:rPr>
                  </w:pPr>
                  <w:r>
                    <w:rPr>
                      <w:rFonts w:hint="default" w:ascii="Times New Roman" w:hAnsi="Times New Roman" w:eastAsia="宋体" w:cs="Times New Roman"/>
                      <w:snapToGrid w:val="0"/>
                      <w:color w:val="auto"/>
                      <w:spacing w:val="0"/>
                      <w:kern w:val="0"/>
                      <w:sz w:val="18"/>
                      <w:szCs w:val="18"/>
                      <w:highlight w:val="none"/>
                    </w:rPr>
                    <w:t xml:space="preserve">建筑物插 入损失 </w:t>
                  </w:r>
                  <w:r>
                    <w:rPr>
                      <w:rFonts w:hint="default" w:ascii="Times New Roman" w:hAnsi="Times New Roman" w:eastAsia="Times New Roman" w:cs="Times New Roman"/>
                      <w:b/>
                      <w:bCs/>
                      <w:snapToGrid w:val="0"/>
                      <w:color w:val="auto"/>
                      <w:spacing w:val="0"/>
                      <w:kern w:val="0"/>
                      <w:sz w:val="18"/>
                      <w:szCs w:val="18"/>
                      <w:highlight w:val="none"/>
                    </w:rPr>
                    <w:t>/dB</w:t>
                  </w:r>
                  <w:r>
                    <w:rPr>
                      <w:rFonts w:hint="eastAsia" w:eastAsia="宋体" w:cs="Times New Roman"/>
                      <w:b/>
                      <w:bCs/>
                      <w:snapToGrid w:val="0"/>
                      <w:color w:val="auto"/>
                      <w:spacing w:val="0"/>
                      <w:kern w:val="0"/>
                      <w:sz w:val="18"/>
                      <w:szCs w:val="18"/>
                      <w:highlight w:val="none"/>
                      <w:lang w:eastAsia="zh-CN"/>
                    </w:rPr>
                    <w:t>（</w:t>
                  </w:r>
                  <w:r>
                    <w:rPr>
                      <w:rFonts w:hint="default" w:ascii="Times New Roman" w:hAnsi="Times New Roman" w:eastAsia="Times New Roman" w:cs="Times New Roman"/>
                      <w:b/>
                      <w:bCs/>
                      <w:snapToGrid w:val="0"/>
                      <w:color w:val="auto"/>
                      <w:spacing w:val="0"/>
                      <w:kern w:val="0"/>
                      <w:sz w:val="18"/>
                      <w:szCs w:val="18"/>
                      <w:highlight w:val="none"/>
                    </w:rPr>
                    <w:t>A</w:t>
                  </w:r>
                  <w:r>
                    <w:rPr>
                      <w:rFonts w:hint="eastAsia" w:eastAsia="宋体" w:cs="Times New Roman"/>
                      <w:b/>
                      <w:bCs/>
                      <w:snapToGrid w:val="0"/>
                      <w:color w:val="auto"/>
                      <w:spacing w:val="0"/>
                      <w:kern w:val="0"/>
                      <w:sz w:val="18"/>
                      <w:szCs w:val="18"/>
                      <w:highlight w:val="none"/>
                      <w:lang w:eastAsia="zh-CN"/>
                    </w:rPr>
                    <w:t>）</w:t>
                  </w:r>
                </w:p>
              </w:tc>
              <w:tc>
                <w:tcPr>
                  <w:tcW w:w="770" w:type="pct"/>
                  <w:gridSpan w:val="2"/>
                  <w:noWrap w:val="0"/>
                  <w:vAlign w:val="center"/>
                </w:tcPr>
                <w:p w14:paraId="5FD017B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建筑物外噪声</w:t>
                  </w:r>
                </w:p>
              </w:tc>
            </w:tr>
            <w:tr w14:paraId="48EEE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72" w:hRule="atLeast"/>
              </w:trPr>
              <w:tc>
                <w:tcPr>
                  <w:tcW w:w="115" w:type="pct"/>
                  <w:vMerge w:val="continue"/>
                  <w:noWrap w:val="0"/>
                  <w:vAlign w:val="center"/>
                </w:tcPr>
                <w:p w14:paraId="1AF07EC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189" w:type="pct"/>
                  <w:vMerge w:val="continue"/>
                  <w:noWrap w:val="0"/>
                  <w:vAlign w:val="center"/>
                </w:tcPr>
                <w:p w14:paraId="4665527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vMerge w:val="continue"/>
                  <w:noWrap w:val="0"/>
                  <w:vAlign w:val="center"/>
                </w:tcPr>
                <w:p w14:paraId="79D8AA5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14" w:type="pct"/>
                  <w:vMerge w:val="continue"/>
                  <w:noWrap w:val="0"/>
                  <w:vAlign w:val="center"/>
                </w:tcPr>
                <w:p w14:paraId="6B8BB3F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344" w:type="pct"/>
                  <w:noWrap w:val="0"/>
                  <w:vAlign w:val="center"/>
                </w:tcPr>
                <w:p w14:paraId="660AADC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ascii="Times New Roman" w:hAnsi="Times New Roman" w:eastAsia="宋体" w:cs="Times New Roman"/>
                      <w:snapToGrid w:val="0"/>
                      <w:color w:val="auto"/>
                      <w:spacing w:val="0"/>
                      <w:kern w:val="0"/>
                      <w:sz w:val="18"/>
                      <w:szCs w:val="18"/>
                      <w:highlight w:val="none"/>
                      <w:lang w:eastAsia="zh-CN"/>
                    </w:rPr>
                  </w:pPr>
                  <w:r>
                    <w:rPr>
                      <w:rFonts w:hint="default" w:ascii="Times New Roman" w:hAnsi="Times New Roman" w:eastAsia="宋体" w:cs="Times New Roman"/>
                      <w:snapToGrid w:val="0"/>
                      <w:color w:val="auto"/>
                      <w:spacing w:val="0"/>
                      <w:kern w:val="0"/>
                      <w:sz w:val="18"/>
                      <w:szCs w:val="18"/>
                      <w:highlight w:val="none"/>
                    </w:rPr>
                    <w:t xml:space="preserve">声功率级 </w:t>
                  </w:r>
                  <w:r>
                    <w:rPr>
                      <w:rFonts w:hint="default" w:ascii="Times New Roman" w:hAnsi="Times New Roman" w:eastAsia="Times New Roman" w:cs="Times New Roman"/>
                      <w:b/>
                      <w:bCs/>
                      <w:snapToGrid w:val="0"/>
                      <w:color w:val="auto"/>
                      <w:spacing w:val="0"/>
                      <w:kern w:val="0"/>
                      <w:sz w:val="18"/>
                      <w:szCs w:val="18"/>
                      <w:highlight w:val="none"/>
                    </w:rPr>
                    <w:t>/dB</w:t>
                  </w:r>
                  <w:r>
                    <w:rPr>
                      <w:rFonts w:hint="eastAsia" w:eastAsia="宋体" w:cs="Times New Roman"/>
                      <w:b/>
                      <w:bCs/>
                      <w:snapToGrid w:val="0"/>
                      <w:color w:val="auto"/>
                      <w:spacing w:val="0"/>
                      <w:kern w:val="0"/>
                      <w:sz w:val="18"/>
                      <w:szCs w:val="18"/>
                      <w:highlight w:val="none"/>
                      <w:lang w:eastAsia="zh-CN"/>
                    </w:rPr>
                    <w:t>（</w:t>
                  </w:r>
                  <w:r>
                    <w:rPr>
                      <w:rFonts w:hint="default" w:ascii="Times New Roman" w:hAnsi="Times New Roman" w:eastAsia="Times New Roman" w:cs="Times New Roman"/>
                      <w:b/>
                      <w:bCs/>
                      <w:snapToGrid w:val="0"/>
                      <w:color w:val="auto"/>
                      <w:spacing w:val="0"/>
                      <w:kern w:val="0"/>
                      <w:sz w:val="18"/>
                      <w:szCs w:val="18"/>
                      <w:highlight w:val="none"/>
                    </w:rPr>
                    <w:t>A</w:t>
                  </w:r>
                  <w:r>
                    <w:rPr>
                      <w:rFonts w:hint="eastAsia" w:eastAsia="宋体" w:cs="Times New Roman"/>
                      <w:b/>
                      <w:bCs/>
                      <w:snapToGrid w:val="0"/>
                      <w:color w:val="auto"/>
                      <w:spacing w:val="0"/>
                      <w:kern w:val="0"/>
                      <w:sz w:val="18"/>
                      <w:szCs w:val="18"/>
                      <w:highlight w:val="none"/>
                      <w:lang w:eastAsia="zh-CN"/>
                    </w:rPr>
                    <w:t>）</w:t>
                  </w:r>
                </w:p>
              </w:tc>
              <w:tc>
                <w:tcPr>
                  <w:tcW w:w="269" w:type="pct"/>
                  <w:vMerge w:val="continue"/>
                  <w:noWrap w:val="0"/>
                  <w:vAlign w:val="center"/>
                </w:tcPr>
                <w:p w14:paraId="687A576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277" w:type="pct"/>
                  <w:noWrap w:val="0"/>
                  <w:vAlign w:val="center"/>
                </w:tcPr>
                <w:p w14:paraId="7A7E871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b/>
                      <w:bCs/>
                      <w:i/>
                      <w:iCs/>
                      <w:snapToGrid w:val="0"/>
                      <w:color w:val="auto"/>
                      <w:spacing w:val="0"/>
                      <w:kern w:val="0"/>
                      <w:sz w:val="18"/>
                      <w:szCs w:val="18"/>
                      <w:highlight w:val="none"/>
                    </w:rPr>
                    <w:t>X</w:t>
                  </w:r>
                </w:p>
              </w:tc>
              <w:tc>
                <w:tcPr>
                  <w:tcW w:w="260" w:type="pct"/>
                  <w:noWrap w:val="0"/>
                  <w:vAlign w:val="center"/>
                </w:tcPr>
                <w:p w14:paraId="623FB3A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b/>
                      <w:bCs/>
                      <w:i/>
                      <w:iCs/>
                      <w:snapToGrid w:val="0"/>
                      <w:color w:val="auto"/>
                      <w:spacing w:val="0"/>
                      <w:kern w:val="0"/>
                      <w:sz w:val="18"/>
                      <w:szCs w:val="18"/>
                      <w:highlight w:val="none"/>
                    </w:rPr>
                    <w:t>Y</w:t>
                  </w:r>
                </w:p>
              </w:tc>
              <w:tc>
                <w:tcPr>
                  <w:tcW w:w="244" w:type="pct"/>
                  <w:noWrap w:val="0"/>
                  <w:vAlign w:val="center"/>
                </w:tcPr>
                <w:p w14:paraId="4C0D9B1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b/>
                      <w:bCs/>
                      <w:i/>
                      <w:iCs/>
                      <w:snapToGrid w:val="0"/>
                      <w:color w:val="auto"/>
                      <w:spacing w:val="0"/>
                      <w:kern w:val="0"/>
                      <w:sz w:val="18"/>
                      <w:szCs w:val="18"/>
                      <w:highlight w:val="none"/>
                    </w:rPr>
                    <w:t>Z</w:t>
                  </w:r>
                </w:p>
              </w:tc>
              <w:tc>
                <w:tcPr>
                  <w:tcW w:w="481" w:type="pct"/>
                  <w:vMerge w:val="continue"/>
                  <w:noWrap w:val="0"/>
                  <w:vAlign w:val="center"/>
                </w:tcPr>
                <w:p w14:paraId="40C7EDF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46" w:type="pct"/>
                  <w:vMerge w:val="continue"/>
                  <w:noWrap w:val="0"/>
                  <w:vAlign w:val="center"/>
                </w:tcPr>
                <w:p w14:paraId="6253858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157" w:type="pct"/>
                  <w:vMerge w:val="continue"/>
                  <w:noWrap w:val="0"/>
                  <w:vAlign w:val="center"/>
                </w:tcPr>
                <w:p w14:paraId="2A4CDBB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252" w:type="pct"/>
                  <w:vMerge w:val="continue"/>
                  <w:noWrap w:val="0"/>
                  <w:vAlign w:val="center"/>
                </w:tcPr>
                <w:p w14:paraId="295E9E6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482" w:type="pct"/>
                  <w:noWrap w:val="0"/>
                  <w:vAlign w:val="center"/>
                </w:tcPr>
                <w:p w14:paraId="40F454E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ascii="Times New Roman" w:hAnsi="Times New Roman" w:eastAsia="宋体" w:cs="Times New Roman"/>
                      <w:snapToGrid w:val="0"/>
                      <w:color w:val="auto"/>
                      <w:spacing w:val="0"/>
                      <w:kern w:val="0"/>
                      <w:sz w:val="18"/>
                      <w:szCs w:val="18"/>
                      <w:highlight w:val="none"/>
                      <w:lang w:eastAsia="zh-CN"/>
                    </w:rPr>
                  </w:pPr>
                  <w:r>
                    <w:rPr>
                      <w:rFonts w:hint="default" w:ascii="Times New Roman" w:hAnsi="Times New Roman" w:eastAsia="宋体" w:cs="Times New Roman"/>
                      <w:snapToGrid w:val="0"/>
                      <w:color w:val="auto"/>
                      <w:spacing w:val="0"/>
                      <w:kern w:val="0"/>
                      <w:sz w:val="18"/>
                      <w:szCs w:val="18"/>
                      <w:highlight w:val="none"/>
                    </w:rPr>
                    <w:t xml:space="preserve">声压级 </w:t>
                  </w:r>
                  <w:r>
                    <w:rPr>
                      <w:rFonts w:hint="default" w:ascii="Times New Roman" w:hAnsi="Times New Roman" w:eastAsia="Times New Roman" w:cs="Times New Roman"/>
                      <w:b/>
                      <w:bCs/>
                      <w:snapToGrid w:val="0"/>
                      <w:color w:val="auto"/>
                      <w:spacing w:val="0"/>
                      <w:kern w:val="0"/>
                      <w:sz w:val="18"/>
                      <w:szCs w:val="18"/>
                      <w:highlight w:val="none"/>
                    </w:rPr>
                    <w:t>/dB</w:t>
                  </w:r>
                  <w:r>
                    <w:rPr>
                      <w:rFonts w:hint="eastAsia" w:eastAsia="宋体" w:cs="Times New Roman"/>
                      <w:b/>
                      <w:bCs/>
                      <w:snapToGrid w:val="0"/>
                      <w:color w:val="auto"/>
                      <w:spacing w:val="0"/>
                      <w:kern w:val="0"/>
                      <w:sz w:val="18"/>
                      <w:szCs w:val="18"/>
                      <w:highlight w:val="none"/>
                      <w:lang w:eastAsia="zh-CN"/>
                    </w:rPr>
                    <w:t>（</w:t>
                  </w:r>
                  <w:r>
                    <w:rPr>
                      <w:rFonts w:hint="default" w:ascii="Times New Roman" w:hAnsi="Times New Roman" w:eastAsia="Times New Roman" w:cs="Times New Roman"/>
                      <w:b/>
                      <w:bCs/>
                      <w:snapToGrid w:val="0"/>
                      <w:color w:val="auto"/>
                      <w:spacing w:val="0"/>
                      <w:kern w:val="0"/>
                      <w:sz w:val="18"/>
                      <w:szCs w:val="18"/>
                      <w:highlight w:val="none"/>
                    </w:rPr>
                    <w:t>A</w:t>
                  </w:r>
                  <w:r>
                    <w:rPr>
                      <w:rFonts w:hint="eastAsia" w:eastAsia="宋体" w:cs="Times New Roman"/>
                      <w:b/>
                      <w:bCs/>
                      <w:snapToGrid w:val="0"/>
                      <w:color w:val="auto"/>
                      <w:spacing w:val="0"/>
                      <w:kern w:val="0"/>
                      <w:sz w:val="18"/>
                      <w:szCs w:val="18"/>
                      <w:highlight w:val="none"/>
                      <w:lang w:eastAsia="zh-CN"/>
                    </w:rPr>
                    <w:t>）</w:t>
                  </w:r>
                </w:p>
              </w:tc>
              <w:tc>
                <w:tcPr>
                  <w:tcW w:w="288" w:type="pct"/>
                  <w:noWrap w:val="0"/>
                  <w:vAlign w:val="center"/>
                </w:tcPr>
                <w:p w14:paraId="69A36E7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建筑物 外距离</w:t>
                  </w:r>
                </w:p>
              </w:tc>
            </w:tr>
            <w:tr w14:paraId="52B46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15" w:type="pct"/>
                  <w:noWrap w:val="0"/>
                  <w:vAlign w:val="center"/>
                </w:tcPr>
                <w:p w14:paraId="53C87C0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c>
                <w:tcPr>
                  <w:tcW w:w="189" w:type="pct"/>
                  <w:vMerge w:val="restart"/>
                  <w:noWrap w:val="0"/>
                  <w:vAlign w:val="center"/>
                </w:tcPr>
                <w:p w14:paraId="6A0C9D7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生产车间</w:t>
                  </w:r>
                </w:p>
              </w:tc>
              <w:tc>
                <w:tcPr>
                  <w:tcW w:w="575" w:type="pct"/>
                  <w:noWrap w:val="0"/>
                  <w:vAlign w:val="center"/>
                </w:tcPr>
                <w:p w14:paraId="33D3CCE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尿素破碎机</w:t>
                  </w:r>
                </w:p>
              </w:tc>
              <w:tc>
                <w:tcPr>
                  <w:tcW w:w="514" w:type="pct"/>
                  <w:noWrap w:val="0"/>
                  <w:vAlign w:val="center"/>
                </w:tcPr>
                <w:p w14:paraId="3563C33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WLF800</w:t>
                  </w:r>
                </w:p>
              </w:tc>
              <w:tc>
                <w:tcPr>
                  <w:tcW w:w="344" w:type="pct"/>
                  <w:noWrap w:val="0"/>
                  <w:vAlign w:val="center"/>
                </w:tcPr>
                <w:p w14:paraId="2CC0EF3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90</w:t>
                  </w:r>
                </w:p>
              </w:tc>
              <w:tc>
                <w:tcPr>
                  <w:tcW w:w="269" w:type="pct"/>
                  <w:vMerge w:val="restart"/>
                  <w:noWrap w:val="0"/>
                  <w:vAlign w:val="center"/>
                </w:tcPr>
                <w:p w14:paraId="73BF300E">
                  <w:pPr>
                    <w:widowControl/>
                    <w:adjustRightInd w:val="0"/>
                    <w:snapToGrid w:val="0"/>
                    <w:jc w:val="center"/>
                    <w:rPr>
                      <w:rFonts w:hint="default" w:ascii="Times New Roman" w:hAnsi="Times New Roman" w:cs="Times New Roman" w:eastAsiaTheme="minorEastAsia"/>
                      <w:color w:val="auto"/>
                      <w:spacing w:val="-1"/>
                      <w:sz w:val="18"/>
                      <w:szCs w:val="18"/>
                      <w:highlight w:val="none"/>
                    </w:rPr>
                  </w:pPr>
                  <w:r>
                    <w:rPr>
                      <w:rFonts w:hint="default" w:ascii="Times New Roman" w:hAnsi="Times New Roman" w:cs="Times New Roman" w:eastAsiaTheme="minorEastAsia"/>
                      <w:color w:val="auto"/>
                      <w:spacing w:val="-1"/>
                      <w:sz w:val="18"/>
                      <w:szCs w:val="18"/>
                      <w:highlight w:val="none"/>
                    </w:rPr>
                    <w:t>减振、隔声</w:t>
                  </w:r>
                </w:p>
                <w:p w14:paraId="3E543D7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39EF2930">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-94</w:t>
                  </w:r>
                </w:p>
              </w:tc>
              <w:tc>
                <w:tcPr>
                  <w:tcW w:w="260" w:type="pct"/>
                  <w:noWrap w:val="0"/>
                  <w:vAlign w:val="center"/>
                </w:tcPr>
                <w:p w14:paraId="310D235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-3</w:t>
                  </w:r>
                </w:p>
              </w:tc>
              <w:tc>
                <w:tcPr>
                  <w:tcW w:w="244" w:type="pct"/>
                  <w:noWrap w:val="0"/>
                  <w:vAlign w:val="center"/>
                </w:tcPr>
                <w:p w14:paraId="1446278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w:t>
                  </w:r>
                </w:p>
              </w:tc>
              <w:tc>
                <w:tcPr>
                  <w:tcW w:w="481" w:type="pct"/>
                  <w:noWrap w:val="0"/>
                  <w:vAlign w:val="center"/>
                </w:tcPr>
                <w:p w14:paraId="0B125F4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42</w:t>
                  </w:r>
                  <w:r>
                    <w:rPr>
                      <w:rFonts w:hint="default" w:ascii="Times New Roman" w:hAnsi="Times New Roman" w:eastAsia="宋体" w:cs="Times New Roman"/>
                      <w:snapToGrid w:val="0"/>
                      <w:color w:val="auto"/>
                      <w:spacing w:val="0"/>
                      <w:kern w:val="0"/>
                      <w:sz w:val="18"/>
                      <w:szCs w:val="18"/>
                      <w:highlight w:val="none"/>
                      <w:lang w:val="en-US" w:eastAsia="zh-CN"/>
                    </w:rPr>
                    <w:t>m</w:t>
                  </w:r>
                </w:p>
                <w:p w14:paraId="3789372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84</w:t>
                  </w:r>
                  <w:r>
                    <w:rPr>
                      <w:rFonts w:hint="default" w:ascii="Times New Roman" w:hAnsi="Times New Roman" w:eastAsia="宋体" w:cs="Times New Roman"/>
                      <w:snapToGrid w:val="0"/>
                      <w:color w:val="auto"/>
                      <w:spacing w:val="0"/>
                      <w:kern w:val="0"/>
                      <w:sz w:val="18"/>
                      <w:szCs w:val="18"/>
                      <w:highlight w:val="none"/>
                      <w:lang w:val="en-US" w:eastAsia="zh-CN"/>
                    </w:rPr>
                    <w:t>m</w:t>
                  </w:r>
                </w:p>
                <w:p w14:paraId="02A88B1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62</w:t>
                  </w:r>
                  <w:r>
                    <w:rPr>
                      <w:rFonts w:hint="default" w:ascii="Times New Roman" w:hAnsi="Times New Roman" w:eastAsia="宋体" w:cs="Times New Roman"/>
                      <w:snapToGrid w:val="0"/>
                      <w:color w:val="auto"/>
                      <w:spacing w:val="0"/>
                      <w:kern w:val="0"/>
                      <w:sz w:val="18"/>
                      <w:szCs w:val="18"/>
                      <w:highlight w:val="none"/>
                      <w:lang w:val="en-US" w:eastAsia="zh-CN"/>
                    </w:rPr>
                    <w:t>m</w:t>
                  </w:r>
                </w:p>
                <w:p w14:paraId="0D875DD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8</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326E89D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57.5</w:t>
                  </w:r>
                </w:p>
                <w:p w14:paraId="5A8369F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51.5</w:t>
                  </w:r>
                </w:p>
                <w:p w14:paraId="47BA9F1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54.2</w:t>
                  </w:r>
                </w:p>
                <w:p w14:paraId="199573C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71.9</w:t>
                  </w:r>
                </w:p>
              </w:tc>
              <w:tc>
                <w:tcPr>
                  <w:tcW w:w="157" w:type="pct"/>
                  <w:vMerge w:val="restart"/>
                  <w:noWrap w:val="0"/>
                  <w:vAlign w:val="center"/>
                </w:tcPr>
                <w:p w14:paraId="3D9A7BD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7200h/a</w:t>
                  </w:r>
                </w:p>
              </w:tc>
              <w:tc>
                <w:tcPr>
                  <w:tcW w:w="252" w:type="pct"/>
                  <w:noWrap w:val="0"/>
                  <w:vAlign w:val="center"/>
                </w:tcPr>
                <w:p w14:paraId="42A913C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lang w:val="en-US"/>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3FD6A22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37.5</w:t>
                  </w:r>
                </w:p>
                <w:p w14:paraId="58A39EA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31.5</w:t>
                  </w:r>
                </w:p>
                <w:p w14:paraId="07A8A89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34.2</w:t>
                  </w:r>
                </w:p>
                <w:p w14:paraId="6ECF58E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41.9</w:t>
                  </w:r>
                </w:p>
              </w:tc>
              <w:tc>
                <w:tcPr>
                  <w:tcW w:w="288" w:type="pct"/>
                  <w:noWrap w:val="0"/>
                  <w:vAlign w:val="center"/>
                </w:tcPr>
                <w:p w14:paraId="4EEA98D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7DFBF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noWrap w:val="0"/>
                  <w:vAlign w:val="center"/>
                </w:tcPr>
                <w:p w14:paraId="46D9872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2</w:t>
                  </w:r>
                </w:p>
              </w:tc>
              <w:tc>
                <w:tcPr>
                  <w:tcW w:w="189" w:type="pct"/>
                  <w:vMerge w:val="continue"/>
                  <w:noWrap w:val="0"/>
                  <w:vAlign w:val="center"/>
                </w:tcPr>
                <w:p w14:paraId="5DDB2AA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10625AC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大块破碎机</w:t>
                  </w:r>
                </w:p>
              </w:tc>
              <w:tc>
                <w:tcPr>
                  <w:tcW w:w="514" w:type="pct"/>
                  <w:noWrap w:val="0"/>
                  <w:vAlign w:val="center"/>
                </w:tcPr>
                <w:p w14:paraId="592CE64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CF800</w:t>
                  </w:r>
                </w:p>
              </w:tc>
              <w:tc>
                <w:tcPr>
                  <w:tcW w:w="344" w:type="pct"/>
                  <w:noWrap w:val="0"/>
                  <w:vAlign w:val="center"/>
                </w:tcPr>
                <w:p w14:paraId="1FB680D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90</w:t>
                  </w:r>
                </w:p>
              </w:tc>
              <w:tc>
                <w:tcPr>
                  <w:tcW w:w="269" w:type="pct"/>
                  <w:vMerge w:val="continue"/>
                  <w:noWrap w:val="0"/>
                  <w:vAlign w:val="center"/>
                </w:tcPr>
                <w:p w14:paraId="15E0B88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22C5AA1B">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-96</w:t>
                  </w:r>
                </w:p>
              </w:tc>
              <w:tc>
                <w:tcPr>
                  <w:tcW w:w="260" w:type="pct"/>
                  <w:noWrap w:val="0"/>
                  <w:vAlign w:val="center"/>
                </w:tcPr>
                <w:p w14:paraId="01C8BD33">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-11</w:t>
                  </w:r>
                </w:p>
              </w:tc>
              <w:tc>
                <w:tcPr>
                  <w:tcW w:w="244" w:type="pct"/>
                  <w:noWrap w:val="0"/>
                  <w:vAlign w:val="center"/>
                </w:tcPr>
                <w:p w14:paraId="70F06F9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w:t>
                  </w:r>
                </w:p>
              </w:tc>
              <w:tc>
                <w:tcPr>
                  <w:tcW w:w="481" w:type="pct"/>
                  <w:noWrap w:val="0"/>
                  <w:vAlign w:val="center"/>
                </w:tcPr>
                <w:p w14:paraId="4AD5C7A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29D907D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84</w:t>
                  </w:r>
                  <w:r>
                    <w:rPr>
                      <w:rFonts w:hint="default" w:ascii="Times New Roman" w:hAnsi="Times New Roman" w:eastAsia="宋体" w:cs="Times New Roman"/>
                      <w:snapToGrid w:val="0"/>
                      <w:color w:val="auto"/>
                      <w:spacing w:val="0"/>
                      <w:kern w:val="0"/>
                      <w:sz w:val="18"/>
                      <w:szCs w:val="18"/>
                      <w:highlight w:val="none"/>
                      <w:lang w:val="en-US" w:eastAsia="zh-CN"/>
                    </w:rPr>
                    <w:t>m</w:t>
                  </w:r>
                </w:p>
                <w:p w14:paraId="0A30D3A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705EB06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8</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23AFCD9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57.1</w:t>
                  </w:r>
                </w:p>
                <w:p w14:paraId="1EADEA8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51.5</w:t>
                  </w:r>
                </w:p>
                <w:p w14:paraId="150AF6A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56.0</w:t>
                  </w:r>
                </w:p>
                <w:p w14:paraId="7567286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71.9</w:t>
                  </w:r>
                </w:p>
              </w:tc>
              <w:tc>
                <w:tcPr>
                  <w:tcW w:w="157" w:type="pct"/>
                  <w:vMerge w:val="continue"/>
                  <w:noWrap w:val="0"/>
                  <w:vAlign w:val="center"/>
                </w:tcPr>
                <w:p w14:paraId="5BCBA92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p>
              </w:tc>
              <w:tc>
                <w:tcPr>
                  <w:tcW w:w="252" w:type="pct"/>
                  <w:noWrap w:val="0"/>
                  <w:vAlign w:val="center"/>
                </w:tcPr>
                <w:p w14:paraId="659E08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594C042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37.1</w:t>
                  </w:r>
                </w:p>
                <w:p w14:paraId="29D1EE4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31.5</w:t>
                  </w:r>
                </w:p>
                <w:p w14:paraId="116766A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36.0</w:t>
                  </w:r>
                </w:p>
                <w:p w14:paraId="71848BF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41.9</w:t>
                  </w:r>
                </w:p>
              </w:tc>
              <w:tc>
                <w:tcPr>
                  <w:tcW w:w="288" w:type="pct"/>
                  <w:noWrap w:val="0"/>
                  <w:vAlign w:val="center"/>
                </w:tcPr>
                <w:p w14:paraId="67166EB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73F0B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noWrap w:val="0"/>
                  <w:vAlign w:val="center"/>
                </w:tcPr>
                <w:p w14:paraId="0BAE88E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3</w:t>
                  </w:r>
                </w:p>
              </w:tc>
              <w:tc>
                <w:tcPr>
                  <w:tcW w:w="189" w:type="pct"/>
                  <w:vMerge w:val="continue"/>
                  <w:noWrap w:val="0"/>
                  <w:vAlign w:val="center"/>
                </w:tcPr>
                <w:p w14:paraId="53C5EF0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69B0B88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原料筛</w:t>
                  </w:r>
                </w:p>
              </w:tc>
              <w:tc>
                <w:tcPr>
                  <w:tcW w:w="514" w:type="pct"/>
                  <w:noWrap w:val="0"/>
                  <w:vAlign w:val="center"/>
                </w:tcPr>
                <w:p w14:paraId="40500BA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φ1.8×4m</w:t>
                  </w:r>
                </w:p>
              </w:tc>
              <w:tc>
                <w:tcPr>
                  <w:tcW w:w="344" w:type="pct"/>
                  <w:noWrap w:val="0"/>
                  <w:vAlign w:val="center"/>
                </w:tcPr>
                <w:p w14:paraId="777F1B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15CDD0D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11DC43FC">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-96</w:t>
                  </w:r>
                </w:p>
              </w:tc>
              <w:tc>
                <w:tcPr>
                  <w:tcW w:w="260" w:type="pct"/>
                  <w:noWrap w:val="0"/>
                  <w:vAlign w:val="center"/>
                </w:tcPr>
                <w:p w14:paraId="67EDE05F">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5</w:t>
                  </w:r>
                </w:p>
              </w:tc>
              <w:tc>
                <w:tcPr>
                  <w:tcW w:w="244" w:type="pct"/>
                  <w:noWrap w:val="0"/>
                  <w:vAlign w:val="center"/>
                </w:tcPr>
                <w:p w14:paraId="1F4CD7F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w:t>
                  </w:r>
                </w:p>
              </w:tc>
              <w:tc>
                <w:tcPr>
                  <w:tcW w:w="481" w:type="pct"/>
                  <w:noWrap w:val="0"/>
                  <w:vAlign w:val="center"/>
                </w:tcPr>
                <w:p w14:paraId="6D08F12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40</w:t>
                  </w:r>
                  <w:r>
                    <w:rPr>
                      <w:rFonts w:hint="default" w:ascii="Times New Roman" w:hAnsi="Times New Roman" w:eastAsia="宋体" w:cs="Times New Roman"/>
                      <w:snapToGrid w:val="0"/>
                      <w:color w:val="auto"/>
                      <w:spacing w:val="0"/>
                      <w:kern w:val="0"/>
                      <w:sz w:val="18"/>
                      <w:szCs w:val="18"/>
                      <w:highlight w:val="none"/>
                      <w:lang w:val="en-US" w:eastAsia="zh-CN"/>
                    </w:rPr>
                    <w:t>m</w:t>
                  </w:r>
                </w:p>
                <w:p w14:paraId="1B94A72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84</w:t>
                  </w:r>
                  <w:r>
                    <w:rPr>
                      <w:rFonts w:hint="default" w:ascii="Times New Roman" w:hAnsi="Times New Roman" w:eastAsia="宋体" w:cs="Times New Roman"/>
                      <w:snapToGrid w:val="0"/>
                      <w:color w:val="auto"/>
                      <w:spacing w:val="0"/>
                      <w:kern w:val="0"/>
                      <w:sz w:val="18"/>
                      <w:szCs w:val="18"/>
                      <w:highlight w:val="none"/>
                      <w:lang w:val="en-US" w:eastAsia="zh-CN"/>
                    </w:rPr>
                    <w:t>m</w:t>
                  </w:r>
                </w:p>
                <w:p w14:paraId="4200336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64</w:t>
                  </w:r>
                  <w:r>
                    <w:rPr>
                      <w:rFonts w:hint="default" w:ascii="Times New Roman" w:hAnsi="Times New Roman" w:eastAsia="宋体" w:cs="Times New Roman"/>
                      <w:snapToGrid w:val="0"/>
                      <w:color w:val="auto"/>
                      <w:spacing w:val="0"/>
                      <w:kern w:val="0"/>
                      <w:sz w:val="18"/>
                      <w:szCs w:val="18"/>
                      <w:highlight w:val="none"/>
                      <w:lang w:val="en-US" w:eastAsia="zh-CN"/>
                    </w:rPr>
                    <w:t>m</w:t>
                  </w:r>
                </w:p>
                <w:p w14:paraId="69AC24A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8</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2D49937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53.0</w:t>
                  </w:r>
                </w:p>
                <w:p w14:paraId="339C3A8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46.5</w:t>
                  </w:r>
                </w:p>
                <w:p w14:paraId="170FF4F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48.9</w:t>
                  </w:r>
                </w:p>
                <w:p w14:paraId="17CEB77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66.9</w:t>
                  </w:r>
                </w:p>
              </w:tc>
              <w:tc>
                <w:tcPr>
                  <w:tcW w:w="157" w:type="pct"/>
                  <w:vMerge w:val="continue"/>
                  <w:noWrap w:val="0"/>
                  <w:vAlign w:val="center"/>
                </w:tcPr>
                <w:p w14:paraId="206751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252" w:type="pct"/>
                  <w:noWrap w:val="0"/>
                  <w:vAlign w:val="center"/>
                </w:tcPr>
                <w:p w14:paraId="3CD858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6AEB05A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33.0</w:t>
                  </w:r>
                </w:p>
                <w:p w14:paraId="55F622C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26.5</w:t>
                  </w:r>
                </w:p>
                <w:p w14:paraId="05C27A3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28.9</w:t>
                  </w:r>
                </w:p>
                <w:p w14:paraId="7877FDE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46.9</w:t>
                  </w:r>
                </w:p>
              </w:tc>
              <w:tc>
                <w:tcPr>
                  <w:tcW w:w="288" w:type="pct"/>
                  <w:noWrap w:val="0"/>
                  <w:vAlign w:val="center"/>
                </w:tcPr>
                <w:p w14:paraId="01D79EE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711AA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65A20F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4</w:t>
                  </w:r>
                </w:p>
              </w:tc>
              <w:tc>
                <w:tcPr>
                  <w:tcW w:w="189" w:type="pct"/>
                  <w:vMerge w:val="continue"/>
                  <w:noWrap w:val="0"/>
                  <w:vAlign w:val="center"/>
                </w:tcPr>
                <w:p w14:paraId="5786361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527BDDB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原料筛</w:t>
                  </w:r>
                </w:p>
              </w:tc>
              <w:tc>
                <w:tcPr>
                  <w:tcW w:w="514" w:type="pct"/>
                  <w:shd w:val="clear" w:color="auto" w:fill="auto"/>
                  <w:noWrap w:val="0"/>
                  <w:vAlign w:val="center"/>
                </w:tcPr>
                <w:p w14:paraId="48E761D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φ1.8×4m</w:t>
                  </w:r>
                </w:p>
              </w:tc>
              <w:tc>
                <w:tcPr>
                  <w:tcW w:w="344" w:type="pct"/>
                  <w:shd w:val="clear" w:color="auto" w:fill="auto"/>
                  <w:noWrap w:val="0"/>
                  <w:vAlign w:val="center"/>
                </w:tcPr>
                <w:p w14:paraId="6BDF941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4493411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shd w:val="clear" w:color="auto" w:fill="auto"/>
                  <w:noWrap w:val="0"/>
                  <w:vAlign w:val="center"/>
                </w:tcPr>
                <w:p w14:paraId="5991227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-92</w:t>
                  </w:r>
                </w:p>
              </w:tc>
              <w:tc>
                <w:tcPr>
                  <w:tcW w:w="260" w:type="pct"/>
                  <w:shd w:val="clear" w:color="auto" w:fill="auto"/>
                  <w:noWrap w:val="0"/>
                  <w:vAlign w:val="center"/>
                </w:tcPr>
                <w:p w14:paraId="5F14BE81">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6</w:t>
                  </w:r>
                </w:p>
              </w:tc>
              <w:tc>
                <w:tcPr>
                  <w:tcW w:w="244" w:type="pct"/>
                  <w:shd w:val="clear" w:color="auto" w:fill="auto"/>
                  <w:noWrap w:val="0"/>
                  <w:vAlign w:val="center"/>
                </w:tcPr>
                <w:p w14:paraId="3ED9DBA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2</w:t>
                  </w:r>
                </w:p>
              </w:tc>
              <w:tc>
                <w:tcPr>
                  <w:tcW w:w="481" w:type="pct"/>
                  <w:shd w:val="clear" w:color="auto" w:fill="auto"/>
                  <w:noWrap w:val="0"/>
                  <w:vAlign w:val="center"/>
                </w:tcPr>
                <w:p w14:paraId="18C771B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38</w:t>
                  </w:r>
                  <w:r>
                    <w:rPr>
                      <w:rFonts w:hint="default" w:ascii="Times New Roman" w:hAnsi="Times New Roman" w:eastAsia="宋体" w:cs="Times New Roman"/>
                      <w:snapToGrid w:val="0"/>
                      <w:color w:val="auto"/>
                      <w:spacing w:val="0"/>
                      <w:kern w:val="0"/>
                      <w:sz w:val="18"/>
                      <w:szCs w:val="18"/>
                      <w:highlight w:val="none"/>
                      <w:lang w:val="en-US" w:eastAsia="zh-CN"/>
                    </w:rPr>
                    <w:t>m</w:t>
                  </w:r>
                </w:p>
                <w:p w14:paraId="54A77BE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84</w:t>
                  </w:r>
                  <w:r>
                    <w:rPr>
                      <w:rFonts w:hint="default" w:ascii="Times New Roman" w:hAnsi="Times New Roman" w:eastAsia="宋体" w:cs="Times New Roman"/>
                      <w:snapToGrid w:val="0"/>
                      <w:color w:val="auto"/>
                      <w:spacing w:val="0"/>
                      <w:kern w:val="0"/>
                      <w:sz w:val="18"/>
                      <w:szCs w:val="18"/>
                      <w:highlight w:val="none"/>
                      <w:lang w:val="en-US" w:eastAsia="zh-CN"/>
                    </w:rPr>
                    <w:t>m</w:t>
                  </w:r>
                </w:p>
                <w:p w14:paraId="10206B3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66</w:t>
                  </w:r>
                  <w:r>
                    <w:rPr>
                      <w:rFonts w:hint="default" w:ascii="Times New Roman" w:hAnsi="Times New Roman" w:eastAsia="宋体" w:cs="Times New Roman"/>
                      <w:snapToGrid w:val="0"/>
                      <w:color w:val="auto"/>
                      <w:spacing w:val="0"/>
                      <w:kern w:val="0"/>
                      <w:sz w:val="18"/>
                      <w:szCs w:val="18"/>
                      <w:highlight w:val="none"/>
                      <w:lang w:val="en-US" w:eastAsia="zh-CN"/>
                    </w:rPr>
                    <w:t>m</w:t>
                  </w:r>
                </w:p>
                <w:p w14:paraId="4484059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8</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shd w:val="clear" w:color="auto" w:fill="auto"/>
                  <w:noWrap w:val="0"/>
                  <w:vAlign w:val="center"/>
                </w:tcPr>
                <w:p w14:paraId="2DBB06E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53.4</w:t>
                  </w:r>
                </w:p>
                <w:p w14:paraId="19EBD06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46.5</w:t>
                  </w:r>
                </w:p>
                <w:p w14:paraId="49C03F3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48.6</w:t>
                  </w:r>
                </w:p>
                <w:p w14:paraId="74CD959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66.9</w:t>
                  </w:r>
                </w:p>
              </w:tc>
              <w:tc>
                <w:tcPr>
                  <w:tcW w:w="157" w:type="pct"/>
                  <w:vMerge w:val="continue"/>
                  <w:noWrap w:val="0"/>
                  <w:vAlign w:val="center"/>
                </w:tcPr>
                <w:p w14:paraId="557130F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252" w:type="pct"/>
                  <w:noWrap w:val="0"/>
                  <w:vAlign w:val="center"/>
                </w:tcPr>
                <w:p w14:paraId="63D722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1840905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33.4</w:t>
                  </w:r>
                </w:p>
                <w:p w14:paraId="6476CC7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26.5</w:t>
                  </w:r>
                </w:p>
                <w:p w14:paraId="41FDE95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28.6</w:t>
                  </w:r>
                </w:p>
                <w:p w14:paraId="7ED8691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46.9</w:t>
                  </w:r>
                </w:p>
              </w:tc>
              <w:tc>
                <w:tcPr>
                  <w:tcW w:w="288" w:type="pct"/>
                  <w:noWrap w:val="0"/>
                  <w:vAlign w:val="center"/>
                </w:tcPr>
                <w:p w14:paraId="4B22EC4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61482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5C281F6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5</w:t>
                  </w:r>
                </w:p>
              </w:tc>
              <w:tc>
                <w:tcPr>
                  <w:tcW w:w="189" w:type="pct"/>
                  <w:vMerge w:val="continue"/>
                  <w:noWrap w:val="0"/>
                  <w:vAlign w:val="center"/>
                </w:tcPr>
                <w:p w14:paraId="304CDE3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0DA4FFF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混合机</w:t>
                  </w:r>
                </w:p>
              </w:tc>
              <w:tc>
                <w:tcPr>
                  <w:tcW w:w="514" w:type="pct"/>
                  <w:noWrap w:val="0"/>
                  <w:vAlign w:val="center"/>
                </w:tcPr>
                <w:p w14:paraId="584E9D6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SWJ700</w:t>
                  </w:r>
                </w:p>
              </w:tc>
              <w:tc>
                <w:tcPr>
                  <w:tcW w:w="344" w:type="pct"/>
                  <w:noWrap w:val="0"/>
                  <w:vAlign w:val="center"/>
                </w:tcPr>
                <w:p w14:paraId="6297ED4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269" w:type="pct"/>
                  <w:vMerge w:val="continue"/>
                  <w:noWrap w:val="0"/>
                  <w:vAlign w:val="center"/>
                </w:tcPr>
                <w:p w14:paraId="3247132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08310F0A">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-103</w:t>
                  </w:r>
                </w:p>
              </w:tc>
              <w:tc>
                <w:tcPr>
                  <w:tcW w:w="260" w:type="pct"/>
                  <w:noWrap w:val="0"/>
                  <w:vAlign w:val="center"/>
                </w:tcPr>
                <w:p w14:paraId="2017A1A0">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27</w:t>
                  </w:r>
                </w:p>
              </w:tc>
              <w:tc>
                <w:tcPr>
                  <w:tcW w:w="244" w:type="pct"/>
                  <w:noWrap w:val="0"/>
                  <w:vAlign w:val="center"/>
                </w:tcPr>
                <w:p w14:paraId="710224C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1C7EB08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56</w:t>
                  </w:r>
                  <w:r>
                    <w:rPr>
                      <w:rFonts w:hint="default" w:ascii="Times New Roman" w:hAnsi="Times New Roman" w:eastAsia="宋体" w:cs="Times New Roman"/>
                      <w:snapToGrid w:val="0"/>
                      <w:color w:val="auto"/>
                      <w:spacing w:val="0"/>
                      <w:kern w:val="0"/>
                      <w:sz w:val="18"/>
                      <w:szCs w:val="18"/>
                      <w:highlight w:val="none"/>
                      <w:lang w:val="en-US" w:eastAsia="zh-CN"/>
                    </w:rPr>
                    <w:t>m</w:t>
                  </w:r>
                </w:p>
                <w:p w14:paraId="79BF9E2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82</w:t>
                  </w:r>
                  <w:r>
                    <w:rPr>
                      <w:rFonts w:hint="default" w:ascii="Times New Roman" w:hAnsi="Times New Roman" w:eastAsia="宋体" w:cs="Times New Roman"/>
                      <w:snapToGrid w:val="0"/>
                      <w:color w:val="auto"/>
                      <w:spacing w:val="0"/>
                      <w:kern w:val="0"/>
                      <w:sz w:val="18"/>
                      <w:szCs w:val="18"/>
                      <w:highlight w:val="none"/>
                      <w:lang w:val="en-US" w:eastAsia="zh-CN"/>
                    </w:rPr>
                    <w:t>m</w:t>
                  </w:r>
                </w:p>
                <w:p w14:paraId="2744196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48</w:t>
                  </w:r>
                  <w:r>
                    <w:rPr>
                      <w:rFonts w:hint="default" w:ascii="Times New Roman" w:hAnsi="Times New Roman" w:eastAsia="宋体" w:cs="Times New Roman"/>
                      <w:snapToGrid w:val="0"/>
                      <w:color w:val="auto"/>
                      <w:spacing w:val="0"/>
                      <w:kern w:val="0"/>
                      <w:sz w:val="18"/>
                      <w:szCs w:val="18"/>
                      <w:highlight w:val="none"/>
                      <w:lang w:val="en-US" w:eastAsia="zh-CN"/>
                    </w:rPr>
                    <w:t>m</w:t>
                  </w:r>
                </w:p>
                <w:p w14:paraId="0F5AE35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10</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22B5051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45.0</w:t>
                  </w:r>
                </w:p>
                <w:p w14:paraId="70AB736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41.7</w:t>
                  </w:r>
                </w:p>
                <w:p w14:paraId="6DEC631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46.4</w:t>
                  </w:r>
                </w:p>
                <w:p w14:paraId="20C2483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60.1</w:t>
                  </w:r>
                </w:p>
              </w:tc>
              <w:tc>
                <w:tcPr>
                  <w:tcW w:w="157" w:type="pct"/>
                  <w:vMerge w:val="continue"/>
                  <w:noWrap w:val="0"/>
                  <w:vAlign w:val="center"/>
                </w:tcPr>
                <w:p w14:paraId="0C40164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252" w:type="pct"/>
                  <w:noWrap w:val="0"/>
                  <w:vAlign w:val="center"/>
                </w:tcPr>
                <w:p w14:paraId="76B179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1EB6BE0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25.0</w:t>
                  </w:r>
                </w:p>
                <w:p w14:paraId="025A377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21.7</w:t>
                  </w:r>
                </w:p>
                <w:p w14:paraId="00B1663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26.4</w:t>
                  </w:r>
                </w:p>
                <w:p w14:paraId="391895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40.1</w:t>
                  </w:r>
                </w:p>
              </w:tc>
              <w:tc>
                <w:tcPr>
                  <w:tcW w:w="288" w:type="pct"/>
                  <w:noWrap w:val="0"/>
                  <w:vAlign w:val="center"/>
                </w:tcPr>
                <w:p w14:paraId="1E8CA0E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059E4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5693FB2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6</w:t>
                  </w:r>
                </w:p>
              </w:tc>
              <w:tc>
                <w:tcPr>
                  <w:tcW w:w="189" w:type="pct"/>
                  <w:vMerge w:val="continue"/>
                  <w:noWrap w:val="0"/>
                  <w:vAlign w:val="center"/>
                </w:tcPr>
                <w:p w14:paraId="2CE0A9F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67543A8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snapToGrid w:val="0"/>
                      <w:color w:val="auto"/>
                      <w:spacing w:val="0"/>
                      <w:kern w:val="0"/>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1</w:t>
                  </w:r>
                </w:p>
              </w:tc>
              <w:tc>
                <w:tcPr>
                  <w:tcW w:w="514" w:type="pct"/>
                  <w:vMerge w:val="restart"/>
                  <w:noWrap w:val="0"/>
                  <w:vAlign w:val="center"/>
                </w:tcPr>
                <w:p w14:paraId="7168677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FF0000"/>
                      <w:sz w:val="18"/>
                      <w:szCs w:val="18"/>
                      <w:highlight w:val="no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DGZ-200E</w:t>
                  </w:r>
                </w:p>
              </w:tc>
              <w:tc>
                <w:tcPr>
                  <w:tcW w:w="344" w:type="pct"/>
                  <w:noWrap w:val="0"/>
                  <w:vAlign w:val="center"/>
                </w:tcPr>
                <w:p w14:paraId="6F6D315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6E40654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3B06B501">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-104</w:t>
                  </w:r>
                </w:p>
              </w:tc>
              <w:tc>
                <w:tcPr>
                  <w:tcW w:w="260" w:type="pct"/>
                  <w:noWrap w:val="0"/>
                  <w:vAlign w:val="center"/>
                </w:tcPr>
                <w:p w14:paraId="594F7A77">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24</w:t>
                  </w:r>
                </w:p>
              </w:tc>
              <w:tc>
                <w:tcPr>
                  <w:tcW w:w="244" w:type="pct"/>
                  <w:noWrap w:val="0"/>
                  <w:vAlign w:val="center"/>
                </w:tcPr>
                <w:p w14:paraId="2882722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15511D5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59</w:t>
                  </w:r>
                  <w:r>
                    <w:rPr>
                      <w:rFonts w:hint="default" w:ascii="Times New Roman" w:hAnsi="Times New Roman" w:eastAsia="宋体" w:cs="Times New Roman"/>
                      <w:snapToGrid w:val="0"/>
                      <w:color w:val="auto"/>
                      <w:spacing w:val="0"/>
                      <w:kern w:val="0"/>
                      <w:sz w:val="18"/>
                      <w:szCs w:val="18"/>
                      <w:highlight w:val="none"/>
                      <w:lang w:val="en-US" w:eastAsia="zh-CN"/>
                    </w:rPr>
                    <w:t>m</w:t>
                  </w:r>
                </w:p>
                <w:p w14:paraId="6A51425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77</w:t>
                  </w:r>
                  <w:r>
                    <w:rPr>
                      <w:rFonts w:hint="default" w:ascii="Times New Roman" w:hAnsi="Times New Roman" w:eastAsia="宋体" w:cs="Times New Roman"/>
                      <w:snapToGrid w:val="0"/>
                      <w:color w:val="auto"/>
                      <w:spacing w:val="0"/>
                      <w:kern w:val="0"/>
                      <w:sz w:val="18"/>
                      <w:szCs w:val="18"/>
                      <w:highlight w:val="none"/>
                      <w:lang w:val="en-US" w:eastAsia="zh-CN"/>
                    </w:rPr>
                    <w:t>m</w:t>
                  </w:r>
                </w:p>
                <w:p w14:paraId="0CB4AD6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r>
                    <w:rPr>
                      <w:rFonts w:hint="default" w:ascii="Times New Roman" w:hAnsi="Times New Roman" w:eastAsia="宋体" w:cs="Times New Roman"/>
                      <w:snapToGrid w:val="0"/>
                      <w:color w:val="auto"/>
                      <w:spacing w:val="0"/>
                      <w:kern w:val="0"/>
                      <w:sz w:val="18"/>
                      <w:szCs w:val="18"/>
                      <w:highlight w:val="none"/>
                      <w:lang w:val="en-US" w:eastAsia="zh-CN"/>
                    </w:rPr>
                    <w:t>m</w:t>
                  </w:r>
                </w:p>
                <w:p w14:paraId="5D209AD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w:t>
                  </w:r>
                  <w:r>
                    <w:rPr>
                      <w:rFonts w:hint="default" w:ascii="Times New Roman" w:hAnsi="Times New Roman" w:eastAsia="宋体" w:cs="Times New Roman"/>
                      <w:snapToGrid w:val="0"/>
                      <w:color w:val="auto"/>
                      <w:spacing w:val="0"/>
                      <w:kern w:val="0"/>
                      <w:sz w:val="18"/>
                      <w:szCs w:val="18"/>
                      <w:highlight w:val="none"/>
                      <w:lang w:val="en-US" w:eastAsia="zh-CN"/>
                    </w:rPr>
                    <w:t>5m</w:t>
                  </w:r>
                </w:p>
              </w:tc>
              <w:tc>
                <w:tcPr>
                  <w:tcW w:w="546" w:type="pct"/>
                  <w:noWrap w:val="0"/>
                  <w:vAlign w:val="center"/>
                </w:tcPr>
                <w:p w14:paraId="5A2CA14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49.6</w:t>
                  </w:r>
                </w:p>
                <w:p w14:paraId="6BB23B9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47.3</w:t>
                  </w:r>
                </w:p>
                <w:p w14:paraId="629FDA5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51.9</w:t>
                  </w:r>
                </w:p>
                <w:p w14:paraId="6F9EFD9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61.5</w:t>
                  </w:r>
                </w:p>
              </w:tc>
              <w:tc>
                <w:tcPr>
                  <w:tcW w:w="157" w:type="pct"/>
                  <w:vMerge w:val="continue"/>
                  <w:noWrap w:val="0"/>
                  <w:vAlign w:val="center"/>
                </w:tcPr>
                <w:p w14:paraId="3AEB758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0574BA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7F6B55F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29.6</w:t>
                  </w:r>
                </w:p>
                <w:p w14:paraId="474BFE4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27.3</w:t>
                  </w:r>
                </w:p>
                <w:p w14:paraId="29BA23D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31.9</w:t>
                  </w:r>
                </w:p>
                <w:p w14:paraId="37F6B18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41.5</w:t>
                  </w:r>
                </w:p>
              </w:tc>
              <w:tc>
                <w:tcPr>
                  <w:tcW w:w="288" w:type="pct"/>
                  <w:noWrap w:val="0"/>
                  <w:vAlign w:val="center"/>
                </w:tcPr>
                <w:p w14:paraId="581309D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E2E9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7085B72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7</w:t>
                  </w:r>
                </w:p>
              </w:tc>
              <w:tc>
                <w:tcPr>
                  <w:tcW w:w="189" w:type="pct"/>
                  <w:vMerge w:val="continue"/>
                  <w:noWrap w:val="0"/>
                  <w:vAlign w:val="center"/>
                </w:tcPr>
                <w:p w14:paraId="15C8369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06A9B81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snapToGrid w:val="0"/>
                      <w:color w:val="auto"/>
                      <w:spacing w:val="0"/>
                      <w:kern w:val="0"/>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2</w:t>
                  </w:r>
                </w:p>
              </w:tc>
              <w:tc>
                <w:tcPr>
                  <w:tcW w:w="514" w:type="pct"/>
                  <w:vMerge w:val="continue"/>
                  <w:noWrap w:val="0"/>
                  <w:vAlign w:val="center"/>
                </w:tcPr>
                <w:p w14:paraId="42F38A0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snapToGrid w:val="0"/>
                      <w:color w:val="FF0000"/>
                      <w:spacing w:val="0"/>
                      <w:kern w:val="0"/>
                      <w:sz w:val="18"/>
                      <w:szCs w:val="18"/>
                      <w:highlight w:val="none"/>
                      <w:lang w:val="en-US" w:eastAsia="zh-CN" w:bidi="ar-SA"/>
                    </w:rPr>
                  </w:pPr>
                </w:p>
              </w:tc>
              <w:tc>
                <w:tcPr>
                  <w:tcW w:w="344" w:type="pct"/>
                  <w:noWrap w:val="0"/>
                  <w:vAlign w:val="center"/>
                </w:tcPr>
                <w:p w14:paraId="562D922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5E539C8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72F8F67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-102</w:t>
                  </w:r>
                </w:p>
              </w:tc>
              <w:tc>
                <w:tcPr>
                  <w:tcW w:w="260" w:type="pct"/>
                  <w:noWrap w:val="0"/>
                  <w:vAlign w:val="center"/>
                </w:tcPr>
                <w:p w14:paraId="004DAFF0">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24</w:t>
                  </w:r>
                </w:p>
              </w:tc>
              <w:tc>
                <w:tcPr>
                  <w:tcW w:w="244" w:type="pct"/>
                  <w:noWrap w:val="0"/>
                  <w:vAlign w:val="center"/>
                </w:tcPr>
                <w:p w14:paraId="6852F07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215410B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6A429E1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77</w:t>
                  </w:r>
                  <w:r>
                    <w:rPr>
                      <w:rFonts w:hint="default" w:ascii="Times New Roman" w:hAnsi="Times New Roman" w:eastAsia="宋体" w:cs="Times New Roman"/>
                      <w:snapToGrid w:val="0"/>
                      <w:color w:val="auto"/>
                      <w:spacing w:val="0"/>
                      <w:kern w:val="0"/>
                      <w:sz w:val="18"/>
                      <w:szCs w:val="18"/>
                      <w:highlight w:val="none"/>
                      <w:lang w:val="en-US" w:eastAsia="zh-CN"/>
                    </w:rPr>
                    <w:t>m</w:t>
                  </w:r>
                </w:p>
                <w:p w14:paraId="7AC95CE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3E1B099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w:t>
                  </w:r>
                  <w:r>
                    <w:rPr>
                      <w:rFonts w:hint="default" w:ascii="Times New Roman" w:hAnsi="Times New Roman" w:eastAsia="宋体" w:cs="Times New Roman"/>
                      <w:snapToGrid w:val="0"/>
                      <w:color w:val="auto"/>
                      <w:spacing w:val="0"/>
                      <w:kern w:val="0"/>
                      <w:sz w:val="18"/>
                      <w:szCs w:val="18"/>
                      <w:highlight w:val="none"/>
                      <w:lang w:val="en-US" w:eastAsia="zh-CN"/>
                    </w:rPr>
                    <w:t>5m</w:t>
                  </w:r>
                </w:p>
              </w:tc>
              <w:tc>
                <w:tcPr>
                  <w:tcW w:w="546" w:type="pct"/>
                  <w:noWrap w:val="0"/>
                  <w:vAlign w:val="center"/>
                </w:tcPr>
                <w:p w14:paraId="5A7102C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49.4</w:t>
                  </w:r>
                </w:p>
                <w:p w14:paraId="08511DB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47.3</w:t>
                  </w:r>
                </w:p>
                <w:p w14:paraId="433AE69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52.1</w:t>
                  </w:r>
                </w:p>
                <w:p w14:paraId="5F5980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61.5</w:t>
                  </w:r>
                </w:p>
              </w:tc>
              <w:tc>
                <w:tcPr>
                  <w:tcW w:w="157" w:type="pct"/>
                  <w:vMerge w:val="continue"/>
                  <w:noWrap w:val="0"/>
                  <w:vAlign w:val="center"/>
                </w:tcPr>
                <w:p w14:paraId="403C7DC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264AFE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309C82A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29.4</w:t>
                  </w:r>
                </w:p>
                <w:p w14:paraId="05AE3FA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27.3</w:t>
                  </w:r>
                </w:p>
                <w:p w14:paraId="14AC6F0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32.1</w:t>
                  </w:r>
                </w:p>
                <w:p w14:paraId="7249DCE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41.5</w:t>
                  </w:r>
                </w:p>
              </w:tc>
              <w:tc>
                <w:tcPr>
                  <w:tcW w:w="288" w:type="pct"/>
                  <w:noWrap w:val="0"/>
                  <w:vAlign w:val="center"/>
                </w:tcPr>
                <w:p w14:paraId="0638032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9B1E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681D792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8</w:t>
                  </w:r>
                </w:p>
              </w:tc>
              <w:tc>
                <w:tcPr>
                  <w:tcW w:w="189" w:type="pct"/>
                  <w:vMerge w:val="continue"/>
                  <w:noWrap w:val="0"/>
                  <w:vAlign w:val="center"/>
                </w:tcPr>
                <w:p w14:paraId="0052179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4F2AF0F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snapToGrid w:val="0"/>
                      <w:color w:val="auto"/>
                      <w:spacing w:val="0"/>
                      <w:kern w:val="0"/>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3</w:t>
                  </w:r>
                </w:p>
              </w:tc>
              <w:tc>
                <w:tcPr>
                  <w:tcW w:w="514" w:type="pct"/>
                  <w:vMerge w:val="continue"/>
                  <w:noWrap w:val="0"/>
                  <w:vAlign w:val="center"/>
                </w:tcPr>
                <w:p w14:paraId="3E5498C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snapToGrid w:val="0"/>
                      <w:color w:val="FF0000"/>
                      <w:spacing w:val="0"/>
                      <w:kern w:val="0"/>
                      <w:sz w:val="18"/>
                      <w:szCs w:val="18"/>
                      <w:highlight w:val="none"/>
                      <w:lang w:val="en-US" w:eastAsia="zh-CN" w:bidi="ar-SA"/>
                    </w:rPr>
                  </w:pPr>
                </w:p>
              </w:tc>
              <w:tc>
                <w:tcPr>
                  <w:tcW w:w="344" w:type="pct"/>
                  <w:noWrap w:val="0"/>
                  <w:vAlign w:val="center"/>
                </w:tcPr>
                <w:p w14:paraId="23FF1E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7F71C8A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476AE1F3">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-104</w:t>
                  </w:r>
                </w:p>
              </w:tc>
              <w:tc>
                <w:tcPr>
                  <w:tcW w:w="260" w:type="pct"/>
                  <w:noWrap w:val="0"/>
                  <w:vAlign w:val="center"/>
                </w:tcPr>
                <w:p w14:paraId="76BE22D4">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21</w:t>
                  </w:r>
                </w:p>
              </w:tc>
              <w:tc>
                <w:tcPr>
                  <w:tcW w:w="244" w:type="pct"/>
                  <w:noWrap w:val="0"/>
                  <w:vAlign w:val="center"/>
                </w:tcPr>
                <w:p w14:paraId="1DAAC20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4A6F7CE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59</w:t>
                  </w:r>
                  <w:r>
                    <w:rPr>
                      <w:rFonts w:hint="default" w:ascii="Times New Roman" w:hAnsi="Times New Roman" w:eastAsia="宋体" w:cs="Times New Roman"/>
                      <w:snapToGrid w:val="0"/>
                      <w:color w:val="auto"/>
                      <w:spacing w:val="0"/>
                      <w:kern w:val="0"/>
                      <w:sz w:val="18"/>
                      <w:szCs w:val="18"/>
                      <w:highlight w:val="none"/>
                      <w:lang w:val="en-US" w:eastAsia="zh-CN"/>
                    </w:rPr>
                    <w:t>m</w:t>
                  </w:r>
                </w:p>
                <w:p w14:paraId="2BA4478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78</w:t>
                  </w:r>
                  <w:r>
                    <w:rPr>
                      <w:rFonts w:hint="default" w:ascii="Times New Roman" w:hAnsi="Times New Roman" w:eastAsia="宋体" w:cs="Times New Roman"/>
                      <w:snapToGrid w:val="0"/>
                      <w:color w:val="auto"/>
                      <w:spacing w:val="0"/>
                      <w:kern w:val="0"/>
                      <w:sz w:val="18"/>
                      <w:szCs w:val="18"/>
                      <w:highlight w:val="none"/>
                      <w:lang w:val="en-US" w:eastAsia="zh-CN"/>
                    </w:rPr>
                    <w:t>m</w:t>
                  </w:r>
                </w:p>
                <w:p w14:paraId="2941040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r>
                    <w:rPr>
                      <w:rFonts w:hint="default" w:ascii="Times New Roman" w:hAnsi="Times New Roman" w:eastAsia="宋体" w:cs="Times New Roman"/>
                      <w:snapToGrid w:val="0"/>
                      <w:color w:val="auto"/>
                      <w:spacing w:val="0"/>
                      <w:kern w:val="0"/>
                      <w:sz w:val="18"/>
                      <w:szCs w:val="18"/>
                      <w:highlight w:val="none"/>
                      <w:lang w:val="en-US" w:eastAsia="zh-CN"/>
                    </w:rPr>
                    <w:t>m</w:t>
                  </w:r>
                </w:p>
                <w:p w14:paraId="07B8EEF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16</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40BB056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东：49.6</w:t>
                  </w:r>
                </w:p>
                <w:p w14:paraId="7C4AC49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47.2</w:t>
                  </w:r>
                </w:p>
                <w:p w14:paraId="5694A2F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西：51.9</w:t>
                  </w:r>
                </w:p>
                <w:p w14:paraId="2A991ED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60.9</w:t>
                  </w:r>
                </w:p>
              </w:tc>
              <w:tc>
                <w:tcPr>
                  <w:tcW w:w="157" w:type="pct"/>
                  <w:vMerge w:val="continue"/>
                  <w:noWrap w:val="0"/>
                  <w:vAlign w:val="center"/>
                </w:tcPr>
                <w:p w14:paraId="4CD079B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4E32F4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014D1D3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东：29.6</w:t>
                  </w:r>
                </w:p>
                <w:p w14:paraId="4443F28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27.2</w:t>
                  </w:r>
                </w:p>
                <w:p w14:paraId="3B362A3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西：31.9</w:t>
                  </w:r>
                </w:p>
                <w:p w14:paraId="6CEDD20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40.9</w:t>
                  </w:r>
                </w:p>
              </w:tc>
              <w:tc>
                <w:tcPr>
                  <w:tcW w:w="288" w:type="pct"/>
                  <w:noWrap w:val="0"/>
                  <w:vAlign w:val="center"/>
                </w:tcPr>
                <w:p w14:paraId="721A4D5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75A4B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480F679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9</w:t>
                  </w:r>
                </w:p>
              </w:tc>
              <w:tc>
                <w:tcPr>
                  <w:tcW w:w="189" w:type="pct"/>
                  <w:vMerge w:val="continue"/>
                  <w:noWrap w:val="0"/>
                  <w:vAlign w:val="center"/>
                </w:tcPr>
                <w:p w14:paraId="45308EA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3401D5D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snapToGrid w:val="0"/>
                      <w:color w:val="auto"/>
                      <w:spacing w:val="0"/>
                      <w:kern w:val="0"/>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4</w:t>
                  </w:r>
                </w:p>
              </w:tc>
              <w:tc>
                <w:tcPr>
                  <w:tcW w:w="514" w:type="pct"/>
                  <w:vMerge w:val="continue"/>
                  <w:noWrap w:val="0"/>
                  <w:vAlign w:val="center"/>
                </w:tcPr>
                <w:p w14:paraId="378E51F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snapToGrid w:val="0"/>
                      <w:color w:val="FF0000"/>
                      <w:spacing w:val="0"/>
                      <w:kern w:val="0"/>
                      <w:sz w:val="18"/>
                      <w:szCs w:val="18"/>
                      <w:highlight w:val="none"/>
                      <w:lang w:val="en-US" w:eastAsia="zh-CN" w:bidi="ar-SA"/>
                    </w:rPr>
                  </w:pPr>
                </w:p>
              </w:tc>
              <w:tc>
                <w:tcPr>
                  <w:tcW w:w="344" w:type="pct"/>
                  <w:noWrap w:val="0"/>
                  <w:vAlign w:val="center"/>
                </w:tcPr>
                <w:p w14:paraId="06BD6A9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57A733D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4E26558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-102</w:t>
                  </w:r>
                </w:p>
              </w:tc>
              <w:tc>
                <w:tcPr>
                  <w:tcW w:w="260" w:type="pct"/>
                  <w:noWrap w:val="0"/>
                  <w:vAlign w:val="center"/>
                </w:tcPr>
                <w:p w14:paraId="41048DB4">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21</w:t>
                  </w:r>
                </w:p>
              </w:tc>
              <w:tc>
                <w:tcPr>
                  <w:tcW w:w="244" w:type="pct"/>
                  <w:noWrap w:val="0"/>
                  <w:vAlign w:val="center"/>
                </w:tcPr>
                <w:p w14:paraId="5A89116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7626A22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59EF9FE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78</w:t>
                  </w:r>
                  <w:r>
                    <w:rPr>
                      <w:rFonts w:hint="default" w:ascii="Times New Roman" w:hAnsi="Times New Roman" w:eastAsia="宋体" w:cs="Times New Roman"/>
                      <w:snapToGrid w:val="0"/>
                      <w:color w:val="auto"/>
                      <w:spacing w:val="0"/>
                      <w:kern w:val="0"/>
                      <w:sz w:val="18"/>
                      <w:szCs w:val="18"/>
                      <w:highlight w:val="none"/>
                      <w:lang w:val="en-US" w:eastAsia="zh-CN"/>
                    </w:rPr>
                    <w:t>m</w:t>
                  </w:r>
                </w:p>
                <w:p w14:paraId="72B3414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5098841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16</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614C056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东：49.4</w:t>
                  </w:r>
                </w:p>
                <w:p w14:paraId="46533B3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47.2</w:t>
                  </w:r>
                </w:p>
                <w:p w14:paraId="68F404F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西：52.0</w:t>
                  </w:r>
                </w:p>
                <w:p w14:paraId="4B2DAE7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60.9</w:t>
                  </w:r>
                </w:p>
              </w:tc>
              <w:tc>
                <w:tcPr>
                  <w:tcW w:w="157" w:type="pct"/>
                  <w:vMerge w:val="continue"/>
                  <w:noWrap w:val="0"/>
                  <w:vAlign w:val="center"/>
                </w:tcPr>
                <w:p w14:paraId="4715730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738A5A2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447E225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东：29.4</w:t>
                  </w:r>
                </w:p>
                <w:p w14:paraId="235BBE3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27.2</w:t>
                  </w:r>
                </w:p>
                <w:p w14:paraId="118C2CD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西：32.0</w:t>
                  </w:r>
                </w:p>
                <w:p w14:paraId="7D41993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40.9</w:t>
                  </w:r>
                </w:p>
              </w:tc>
              <w:tc>
                <w:tcPr>
                  <w:tcW w:w="288" w:type="pct"/>
                  <w:noWrap w:val="0"/>
                  <w:vAlign w:val="center"/>
                </w:tcPr>
                <w:p w14:paraId="475FF70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BBDA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003585E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10</w:t>
                  </w:r>
                </w:p>
              </w:tc>
              <w:tc>
                <w:tcPr>
                  <w:tcW w:w="189" w:type="pct"/>
                  <w:vMerge w:val="continue"/>
                  <w:noWrap w:val="0"/>
                  <w:vAlign w:val="center"/>
                </w:tcPr>
                <w:p w14:paraId="1F1ACAA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63B3742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snapToGrid w:val="0"/>
                      <w:color w:val="auto"/>
                      <w:spacing w:val="0"/>
                      <w:kern w:val="0"/>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5</w:t>
                  </w:r>
                </w:p>
              </w:tc>
              <w:tc>
                <w:tcPr>
                  <w:tcW w:w="514" w:type="pct"/>
                  <w:vMerge w:val="continue"/>
                  <w:noWrap w:val="0"/>
                  <w:vAlign w:val="center"/>
                </w:tcPr>
                <w:p w14:paraId="5D89678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snapToGrid w:val="0"/>
                      <w:color w:val="FF0000"/>
                      <w:spacing w:val="0"/>
                      <w:kern w:val="0"/>
                      <w:sz w:val="18"/>
                      <w:szCs w:val="18"/>
                      <w:highlight w:val="none"/>
                      <w:lang w:val="en-US" w:eastAsia="zh-CN" w:bidi="ar-SA"/>
                    </w:rPr>
                  </w:pPr>
                </w:p>
              </w:tc>
              <w:tc>
                <w:tcPr>
                  <w:tcW w:w="344" w:type="pct"/>
                  <w:noWrap w:val="0"/>
                  <w:vAlign w:val="center"/>
                </w:tcPr>
                <w:p w14:paraId="5F1B5F8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78E12EB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6319DDB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-104</w:t>
                  </w:r>
                </w:p>
              </w:tc>
              <w:tc>
                <w:tcPr>
                  <w:tcW w:w="260" w:type="pct"/>
                  <w:noWrap w:val="0"/>
                  <w:vAlign w:val="center"/>
                </w:tcPr>
                <w:p w14:paraId="41E9F3EF">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19</w:t>
                  </w:r>
                </w:p>
              </w:tc>
              <w:tc>
                <w:tcPr>
                  <w:tcW w:w="244" w:type="pct"/>
                  <w:noWrap w:val="0"/>
                  <w:vAlign w:val="center"/>
                </w:tcPr>
                <w:p w14:paraId="5E76D84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45C473E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59</w:t>
                  </w:r>
                  <w:r>
                    <w:rPr>
                      <w:rFonts w:hint="default" w:ascii="Times New Roman" w:hAnsi="Times New Roman" w:eastAsia="宋体" w:cs="Times New Roman"/>
                      <w:snapToGrid w:val="0"/>
                      <w:color w:val="auto"/>
                      <w:spacing w:val="0"/>
                      <w:kern w:val="0"/>
                      <w:sz w:val="18"/>
                      <w:szCs w:val="18"/>
                      <w:highlight w:val="none"/>
                      <w:lang w:val="en-US" w:eastAsia="zh-CN"/>
                    </w:rPr>
                    <w:t>m</w:t>
                  </w:r>
                </w:p>
                <w:p w14:paraId="1EFC7A9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77</w:t>
                  </w:r>
                  <w:r>
                    <w:rPr>
                      <w:rFonts w:hint="default" w:ascii="Times New Roman" w:hAnsi="Times New Roman" w:eastAsia="宋体" w:cs="Times New Roman"/>
                      <w:snapToGrid w:val="0"/>
                      <w:color w:val="auto"/>
                      <w:spacing w:val="0"/>
                      <w:kern w:val="0"/>
                      <w:sz w:val="18"/>
                      <w:szCs w:val="18"/>
                      <w:highlight w:val="none"/>
                      <w:lang w:val="en-US" w:eastAsia="zh-CN"/>
                    </w:rPr>
                    <w:t>m</w:t>
                  </w:r>
                </w:p>
                <w:p w14:paraId="2B051D3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r>
                    <w:rPr>
                      <w:rFonts w:hint="default" w:ascii="Times New Roman" w:hAnsi="Times New Roman" w:eastAsia="宋体" w:cs="Times New Roman"/>
                      <w:snapToGrid w:val="0"/>
                      <w:color w:val="auto"/>
                      <w:spacing w:val="0"/>
                      <w:kern w:val="0"/>
                      <w:sz w:val="18"/>
                      <w:szCs w:val="18"/>
                      <w:highlight w:val="none"/>
                      <w:lang w:val="en-US" w:eastAsia="zh-CN"/>
                    </w:rPr>
                    <w:t>m</w:t>
                  </w:r>
                </w:p>
                <w:p w14:paraId="6BD728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17</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36ACD73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东：49.6</w:t>
                  </w:r>
                </w:p>
                <w:p w14:paraId="6E9C7CE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47.3</w:t>
                  </w:r>
                </w:p>
                <w:p w14:paraId="70CA858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西：51.9</w:t>
                  </w:r>
                </w:p>
                <w:p w14:paraId="72EE56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60.4</w:t>
                  </w:r>
                </w:p>
              </w:tc>
              <w:tc>
                <w:tcPr>
                  <w:tcW w:w="157" w:type="pct"/>
                  <w:vMerge w:val="continue"/>
                  <w:noWrap w:val="0"/>
                  <w:vAlign w:val="center"/>
                </w:tcPr>
                <w:p w14:paraId="370308C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62342E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6A88269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东：29.6</w:t>
                  </w:r>
                </w:p>
                <w:p w14:paraId="5BB5F77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27.3</w:t>
                  </w:r>
                </w:p>
                <w:p w14:paraId="0B82F26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西：31.9</w:t>
                  </w:r>
                </w:p>
                <w:p w14:paraId="1A2FCEA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40.4</w:t>
                  </w:r>
                </w:p>
              </w:tc>
              <w:tc>
                <w:tcPr>
                  <w:tcW w:w="288" w:type="pct"/>
                  <w:noWrap w:val="0"/>
                  <w:vAlign w:val="center"/>
                </w:tcPr>
                <w:p w14:paraId="6822C32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AEE8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2A50BFF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11</w:t>
                  </w:r>
                </w:p>
              </w:tc>
              <w:tc>
                <w:tcPr>
                  <w:tcW w:w="189" w:type="pct"/>
                  <w:vMerge w:val="continue"/>
                  <w:noWrap w:val="0"/>
                  <w:vAlign w:val="center"/>
                </w:tcPr>
                <w:p w14:paraId="788CCA3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0919A65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snapToGrid w:val="0"/>
                      <w:color w:val="auto"/>
                      <w:spacing w:val="0"/>
                      <w:kern w:val="0"/>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6</w:t>
                  </w:r>
                </w:p>
              </w:tc>
              <w:tc>
                <w:tcPr>
                  <w:tcW w:w="514" w:type="pct"/>
                  <w:vMerge w:val="continue"/>
                  <w:noWrap w:val="0"/>
                  <w:vAlign w:val="center"/>
                </w:tcPr>
                <w:p w14:paraId="4D4DBAD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snapToGrid w:val="0"/>
                      <w:color w:val="FF0000"/>
                      <w:spacing w:val="0"/>
                      <w:kern w:val="0"/>
                      <w:sz w:val="18"/>
                      <w:szCs w:val="18"/>
                      <w:highlight w:val="none"/>
                      <w:lang w:val="en-US" w:eastAsia="zh-CN" w:bidi="ar-SA"/>
                    </w:rPr>
                  </w:pPr>
                </w:p>
              </w:tc>
              <w:tc>
                <w:tcPr>
                  <w:tcW w:w="344" w:type="pct"/>
                  <w:noWrap w:val="0"/>
                  <w:vAlign w:val="center"/>
                </w:tcPr>
                <w:p w14:paraId="1199F2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31C2D9D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1F72C567">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-102</w:t>
                  </w:r>
                </w:p>
              </w:tc>
              <w:tc>
                <w:tcPr>
                  <w:tcW w:w="260" w:type="pct"/>
                  <w:noWrap w:val="0"/>
                  <w:vAlign w:val="center"/>
                </w:tcPr>
                <w:p w14:paraId="25B9659F">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19</w:t>
                  </w:r>
                </w:p>
              </w:tc>
              <w:tc>
                <w:tcPr>
                  <w:tcW w:w="244" w:type="pct"/>
                  <w:noWrap w:val="0"/>
                  <w:vAlign w:val="center"/>
                </w:tcPr>
                <w:p w14:paraId="12D3A87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501E36F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123CAA0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77</w:t>
                  </w:r>
                  <w:r>
                    <w:rPr>
                      <w:rFonts w:hint="default" w:ascii="Times New Roman" w:hAnsi="Times New Roman" w:eastAsia="宋体" w:cs="Times New Roman"/>
                      <w:snapToGrid w:val="0"/>
                      <w:color w:val="auto"/>
                      <w:spacing w:val="0"/>
                      <w:kern w:val="0"/>
                      <w:sz w:val="18"/>
                      <w:szCs w:val="18"/>
                      <w:highlight w:val="none"/>
                      <w:lang w:val="en-US" w:eastAsia="zh-CN"/>
                    </w:rPr>
                    <w:t>m</w:t>
                  </w:r>
                </w:p>
                <w:p w14:paraId="175A96A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68DE502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17</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344588F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东：49.4</w:t>
                  </w:r>
                </w:p>
                <w:p w14:paraId="212F72B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47.3</w:t>
                  </w:r>
                </w:p>
                <w:p w14:paraId="0858A01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西：52.</w:t>
                  </w:r>
                </w:p>
                <w:p w14:paraId="509442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60.4</w:t>
                  </w:r>
                </w:p>
              </w:tc>
              <w:tc>
                <w:tcPr>
                  <w:tcW w:w="157" w:type="pct"/>
                  <w:vMerge w:val="continue"/>
                  <w:noWrap w:val="0"/>
                  <w:vAlign w:val="center"/>
                </w:tcPr>
                <w:p w14:paraId="300A6E6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4EE874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67FDA8E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东：29.4</w:t>
                  </w:r>
                </w:p>
                <w:p w14:paraId="4B0D838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27.3</w:t>
                  </w:r>
                </w:p>
                <w:p w14:paraId="56CD804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西：32.</w:t>
                  </w:r>
                </w:p>
                <w:p w14:paraId="27FAE82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40.4</w:t>
                  </w:r>
                </w:p>
              </w:tc>
              <w:tc>
                <w:tcPr>
                  <w:tcW w:w="288" w:type="pct"/>
                  <w:noWrap w:val="0"/>
                  <w:vAlign w:val="center"/>
                </w:tcPr>
                <w:p w14:paraId="1C5F9E4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3B9A7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5C81F7A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12</w:t>
                  </w:r>
                </w:p>
              </w:tc>
              <w:tc>
                <w:tcPr>
                  <w:tcW w:w="189" w:type="pct"/>
                  <w:vMerge w:val="continue"/>
                  <w:noWrap w:val="0"/>
                  <w:vAlign w:val="center"/>
                </w:tcPr>
                <w:p w14:paraId="54CE10E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0854892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snapToGrid w:val="0"/>
                      <w:color w:val="auto"/>
                      <w:spacing w:val="0"/>
                      <w:kern w:val="0"/>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7</w:t>
                  </w:r>
                </w:p>
              </w:tc>
              <w:tc>
                <w:tcPr>
                  <w:tcW w:w="514" w:type="pct"/>
                  <w:vMerge w:val="continue"/>
                  <w:noWrap w:val="0"/>
                  <w:vAlign w:val="center"/>
                </w:tcPr>
                <w:p w14:paraId="58F3E6D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snapToGrid w:val="0"/>
                      <w:color w:val="FF0000"/>
                      <w:spacing w:val="0"/>
                      <w:kern w:val="0"/>
                      <w:sz w:val="18"/>
                      <w:szCs w:val="18"/>
                      <w:highlight w:val="none"/>
                      <w:lang w:val="en-US" w:eastAsia="zh-CN" w:bidi="ar-SA"/>
                    </w:rPr>
                  </w:pPr>
                </w:p>
              </w:tc>
              <w:tc>
                <w:tcPr>
                  <w:tcW w:w="344" w:type="pct"/>
                  <w:noWrap w:val="0"/>
                  <w:vAlign w:val="center"/>
                </w:tcPr>
                <w:p w14:paraId="6ED08F3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47BDD17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52A032B7">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-104</w:t>
                  </w:r>
                </w:p>
              </w:tc>
              <w:tc>
                <w:tcPr>
                  <w:tcW w:w="260" w:type="pct"/>
                  <w:noWrap w:val="0"/>
                  <w:vAlign w:val="center"/>
                </w:tcPr>
                <w:p w14:paraId="3AE52755">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15</w:t>
                  </w:r>
                </w:p>
              </w:tc>
              <w:tc>
                <w:tcPr>
                  <w:tcW w:w="244" w:type="pct"/>
                  <w:noWrap w:val="0"/>
                  <w:vAlign w:val="center"/>
                </w:tcPr>
                <w:p w14:paraId="7BBA70F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3DE8C06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59</w:t>
                  </w:r>
                  <w:r>
                    <w:rPr>
                      <w:rFonts w:hint="default" w:ascii="Times New Roman" w:hAnsi="Times New Roman" w:eastAsia="宋体" w:cs="Times New Roman"/>
                      <w:snapToGrid w:val="0"/>
                      <w:color w:val="auto"/>
                      <w:spacing w:val="0"/>
                      <w:kern w:val="0"/>
                      <w:sz w:val="18"/>
                      <w:szCs w:val="18"/>
                      <w:highlight w:val="none"/>
                      <w:lang w:val="en-US" w:eastAsia="zh-CN"/>
                    </w:rPr>
                    <w:t>m</w:t>
                  </w:r>
                </w:p>
                <w:p w14:paraId="7DEFE89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76</w:t>
                  </w:r>
                  <w:r>
                    <w:rPr>
                      <w:rFonts w:hint="default" w:ascii="Times New Roman" w:hAnsi="Times New Roman" w:eastAsia="宋体" w:cs="Times New Roman"/>
                      <w:snapToGrid w:val="0"/>
                      <w:color w:val="auto"/>
                      <w:spacing w:val="0"/>
                      <w:kern w:val="0"/>
                      <w:sz w:val="18"/>
                      <w:szCs w:val="18"/>
                      <w:highlight w:val="none"/>
                      <w:lang w:val="en-US" w:eastAsia="zh-CN"/>
                    </w:rPr>
                    <w:t>m</w:t>
                  </w:r>
                </w:p>
                <w:p w14:paraId="4BC757C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r>
                    <w:rPr>
                      <w:rFonts w:hint="default" w:ascii="Times New Roman" w:hAnsi="Times New Roman" w:eastAsia="宋体" w:cs="Times New Roman"/>
                      <w:snapToGrid w:val="0"/>
                      <w:color w:val="auto"/>
                      <w:spacing w:val="0"/>
                      <w:kern w:val="0"/>
                      <w:sz w:val="18"/>
                      <w:szCs w:val="18"/>
                      <w:highlight w:val="none"/>
                      <w:lang w:val="en-US" w:eastAsia="zh-CN"/>
                    </w:rPr>
                    <w:t>m</w:t>
                  </w:r>
                </w:p>
                <w:p w14:paraId="1E1DC2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18</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126928B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东：49.6</w:t>
                  </w:r>
                </w:p>
                <w:p w14:paraId="3377E09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47.4</w:t>
                  </w:r>
                </w:p>
                <w:p w14:paraId="1E9B2F2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西：51.9</w:t>
                  </w:r>
                </w:p>
                <w:p w14:paraId="2E0D6CA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59.9</w:t>
                  </w:r>
                </w:p>
              </w:tc>
              <w:tc>
                <w:tcPr>
                  <w:tcW w:w="157" w:type="pct"/>
                  <w:vMerge w:val="continue"/>
                  <w:noWrap w:val="0"/>
                  <w:vAlign w:val="center"/>
                </w:tcPr>
                <w:p w14:paraId="2C1E905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0ACA809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424934E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东：29.6</w:t>
                  </w:r>
                </w:p>
                <w:p w14:paraId="6ED7AB6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27.4</w:t>
                  </w:r>
                </w:p>
                <w:p w14:paraId="4547F3D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西：31.9</w:t>
                  </w:r>
                </w:p>
                <w:p w14:paraId="30106B2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39.9</w:t>
                  </w:r>
                </w:p>
              </w:tc>
              <w:tc>
                <w:tcPr>
                  <w:tcW w:w="288" w:type="pct"/>
                  <w:noWrap w:val="0"/>
                  <w:vAlign w:val="center"/>
                </w:tcPr>
                <w:p w14:paraId="4CDB9BC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AAFC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6A7EA4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13</w:t>
                  </w:r>
                </w:p>
              </w:tc>
              <w:tc>
                <w:tcPr>
                  <w:tcW w:w="189" w:type="pct"/>
                  <w:vMerge w:val="continue"/>
                  <w:noWrap w:val="0"/>
                  <w:vAlign w:val="center"/>
                </w:tcPr>
                <w:p w14:paraId="7C22345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243D8B8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snapToGrid w:val="0"/>
                      <w:color w:val="auto"/>
                      <w:spacing w:val="0"/>
                      <w:kern w:val="0"/>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8</w:t>
                  </w:r>
                </w:p>
              </w:tc>
              <w:tc>
                <w:tcPr>
                  <w:tcW w:w="514" w:type="pct"/>
                  <w:vMerge w:val="continue"/>
                  <w:noWrap w:val="0"/>
                  <w:vAlign w:val="center"/>
                </w:tcPr>
                <w:p w14:paraId="2174860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snapToGrid w:val="0"/>
                      <w:color w:val="FF0000"/>
                      <w:spacing w:val="0"/>
                      <w:kern w:val="0"/>
                      <w:sz w:val="18"/>
                      <w:szCs w:val="18"/>
                      <w:highlight w:val="none"/>
                      <w:lang w:val="en-US" w:eastAsia="zh-CN" w:bidi="ar-SA"/>
                    </w:rPr>
                  </w:pPr>
                </w:p>
              </w:tc>
              <w:tc>
                <w:tcPr>
                  <w:tcW w:w="344" w:type="pct"/>
                  <w:noWrap w:val="0"/>
                  <w:vAlign w:val="center"/>
                </w:tcPr>
                <w:p w14:paraId="6A02D9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76CDEBE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539F7951">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-102</w:t>
                  </w:r>
                </w:p>
              </w:tc>
              <w:tc>
                <w:tcPr>
                  <w:tcW w:w="260" w:type="pct"/>
                  <w:noWrap w:val="0"/>
                  <w:vAlign w:val="center"/>
                </w:tcPr>
                <w:p w14:paraId="5919847A">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15</w:t>
                  </w:r>
                </w:p>
              </w:tc>
              <w:tc>
                <w:tcPr>
                  <w:tcW w:w="244" w:type="pct"/>
                  <w:noWrap w:val="0"/>
                  <w:vAlign w:val="center"/>
                </w:tcPr>
                <w:p w14:paraId="19C48B1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5912E2F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44221C4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76</w:t>
                  </w:r>
                  <w:r>
                    <w:rPr>
                      <w:rFonts w:hint="default" w:ascii="Times New Roman" w:hAnsi="Times New Roman" w:eastAsia="宋体" w:cs="Times New Roman"/>
                      <w:snapToGrid w:val="0"/>
                      <w:color w:val="auto"/>
                      <w:spacing w:val="0"/>
                      <w:kern w:val="0"/>
                      <w:sz w:val="18"/>
                      <w:szCs w:val="18"/>
                      <w:highlight w:val="none"/>
                      <w:lang w:val="en-US" w:eastAsia="zh-CN"/>
                    </w:rPr>
                    <w:t>m</w:t>
                  </w:r>
                </w:p>
                <w:p w14:paraId="3772B4E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4AD1D6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18</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0A1CB85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东：49.4</w:t>
                  </w:r>
                </w:p>
                <w:p w14:paraId="30F0C77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47.4</w:t>
                  </w:r>
                </w:p>
                <w:p w14:paraId="15854E8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西：52.0</w:t>
                  </w:r>
                </w:p>
                <w:p w14:paraId="54665E6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59.9</w:t>
                  </w:r>
                </w:p>
              </w:tc>
              <w:tc>
                <w:tcPr>
                  <w:tcW w:w="157" w:type="pct"/>
                  <w:vMerge w:val="continue"/>
                  <w:noWrap w:val="0"/>
                  <w:vAlign w:val="center"/>
                </w:tcPr>
                <w:p w14:paraId="090B537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26DFA8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0BBF8A3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东：29.4</w:t>
                  </w:r>
                </w:p>
                <w:p w14:paraId="538D633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27.4</w:t>
                  </w:r>
                </w:p>
                <w:p w14:paraId="0FEF90E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西：32.0</w:t>
                  </w:r>
                </w:p>
                <w:p w14:paraId="4BD247D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39.9</w:t>
                  </w:r>
                </w:p>
              </w:tc>
              <w:tc>
                <w:tcPr>
                  <w:tcW w:w="288" w:type="pct"/>
                  <w:noWrap w:val="0"/>
                  <w:vAlign w:val="center"/>
                </w:tcPr>
                <w:p w14:paraId="5F462E4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78B9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68C3F3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14</w:t>
                  </w:r>
                </w:p>
              </w:tc>
              <w:tc>
                <w:tcPr>
                  <w:tcW w:w="189" w:type="pct"/>
                  <w:vMerge w:val="continue"/>
                  <w:noWrap w:val="0"/>
                  <w:vAlign w:val="center"/>
                </w:tcPr>
                <w:p w14:paraId="70922D1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173D4D4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snapToGrid w:val="0"/>
                      <w:color w:val="auto"/>
                      <w:spacing w:val="0"/>
                      <w:kern w:val="0"/>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9</w:t>
                  </w:r>
                </w:p>
              </w:tc>
              <w:tc>
                <w:tcPr>
                  <w:tcW w:w="514" w:type="pct"/>
                  <w:vMerge w:val="continue"/>
                  <w:noWrap w:val="0"/>
                  <w:vAlign w:val="center"/>
                </w:tcPr>
                <w:p w14:paraId="5A68C89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snapToGrid w:val="0"/>
                      <w:color w:val="FF0000"/>
                      <w:spacing w:val="0"/>
                      <w:kern w:val="0"/>
                      <w:sz w:val="18"/>
                      <w:szCs w:val="18"/>
                      <w:highlight w:val="none"/>
                      <w:lang w:val="en-US" w:eastAsia="zh-CN" w:bidi="ar-SA"/>
                    </w:rPr>
                  </w:pPr>
                </w:p>
              </w:tc>
              <w:tc>
                <w:tcPr>
                  <w:tcW w:w="344" w:type="pct"/>
                  <w:noWrap w:val="0"/>
                  <w:vAlign w:val="center"/>
                </w:tcPr>
                <w:p w14:paraId="0145009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1C47531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2B936AAE">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-104</w:t>
                  </w:r>
                </w:p>
              </w:tc>
              <w:tc>
                <w:tcPr>
                  <w:tcW w:w="260" w:type="pct"/>
                  <w:noWrap w:val="0"/>
                  <w:vAlign w:val="center"/>
                </w:tcPr>
                <w:p w14:paraId="471AD550">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13</w:t>
                  </w:r>
                </w:p>
              </w:tc>
              <w:tc>
                <w:tcPr>
                  <w:tcW w:w="244" w:type="pct"/>
                  <w:noWrap w:val="0"/>
                  <w:vAlign w:val="center"/>
                </w:tcPr>
                <w:p w14:paraId="6C5B45E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3A2D4DA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59</w:t>
                  </w:r>
                  <w:r>
                    <w:rPr>
                      <w:rFonts w:hint="default" w:ascii="Times New Roman" w:hAnsi="Times New Roman" w:eastAsia="宋体" w:cs="Times New Roman"/>
                      <w:snapToGrid w:val="0"/>
                      <w:color w:val="auto"/>
                      <w:spacing w:val="0"/>
                      <w:kern w:val="0"/>
                      <w:sz w:val="18"/>
                      <w:szCs w:val="18"/>
                      <w:highlight w:val="none"/>
                      <w:lang w:val="en-US" w:eastAsia="zh-CN"/>
                    </w:rPr>
                    <w:t>m</w:t>
                  </w:r>
                </w:p>
                <w:p w14:paraId="2D1A719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75</w:t>
                  </w:r>
                  <w:r>
                    <w:rPr>
                      <w:rFonts w:hint="default" w:ascii="Times New Roman" w:hAnsi="Times New Roman" w:eastAsia="宋体" w:cs="Times New Roman"/>
                      <w:snapToGrid w:val="0"/>
                      <w:color w:val="auto"/>
                      <w:spacing w:val="0"/>
                      <w:kern w:val="0"/>
                      <w:sz w:val="18"/>
                      <w:szCs w:val="18"/>
                      <w:highlight w:val="none"/>
                      <w:lang w:val="en-US" w:eastAsia="zh-CN"/>
                    </w:rPr>
                    <w:t>m</w:t>
                  </w:r>
                </w:p>
                <w:p w14:paraId="43E5F96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r>
                    <w:rPr>
                      <w:rFonts w:hint="default" w:ascii="Times New Roman" w:hAnsi="Times New Roman" w:eastAsia="宋体" w:cs="Times New Roman"/>
                      <w:snapToGrid w:val="0"/>
                      <w:color w:val="auto"/>
                      <w:spacing w:val="0"/>
                      <w:kern w:val="0"/>
                      <w:sz w:val="18"/>
                      <w:szCs w:val="18"/>
                      <w:highlight w:val="none"/>
                      <w:lang w:val="en-US" w:eastAsia="zh-CN"/>
                    </w:rPr>
                    <w:t>m</w:t>
                  </w:r>
                </w:p>
                <w:p w14:paraId="46D082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19</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008D260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东：49.6</w:t>
                  </w:r>
                </w:p>
                <w:p w14:paraId="070CF84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47.5</w:t>
                  </w:r>
                </w:p>
                <w:p w14:paraId="0B92D24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西：51.9</w:t>
                  </w:r>
                </w:p>
                <w:p w14:paraId="61B0825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59.4</w:t>
                  </w:r>
                </w:p>
              </w:tc>
              <w:tc>
                <w:tcPr>
                  <w:tcW w:w="157" w:type="pct"/>
                  <w:vMerge w:val="continue"/>
                  <w:noWrap w:val="0"/>
                  <w:vAlign w:val="center"/>
                </w:tcPr>
                <w:p w14:paraId="336BDD7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753A021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25017F8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东：29.6</w:t>
                  </w:r>
                </w:p>
                <w:p w14:paraId="7DCF3D0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27.5</w:t>
                  </w:r>
                </w:p>
                <w:p w14:paraId="5ABCD3E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西：31.9</w:t>
                  </w:r>
                </w:p>
                <w:p w14:paraId="7FE56E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39.4</w:t>
                  </w:r>
                </w:p>
              </w:tc>
              <w:tc>
                <w:tcPr>
                  <w:tcW w:w="288" w:type="pct"/>
                  <w:noWrap w:val="0"/>
                  <w:vAlign w:val="center"/>
                </w:tcPr>
                <w:p w14:paraId="62AF96D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2BB8B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2" w:hRule="atLeast"/>
              </w:trPr>
              <w:tc>
                <w:tcPr>
                  <w:tcW w:w="115" w:type="pct"/>
                  <w:shd w:val="clear" w:color="auto" w:fill="auto"/>
                  <w:noWrap w:val="0"/>
                  <w:vAlign w:val="center"/>
                </w:tcPr>
                <w:p w14:paraId="2F1EBC3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15</w:t>
                  </w:r>
                </w:p>
              </w:tc>
              <w:tc>
                <w:tcPr>
                  <w:tcW w:w="189" w:type="pct"/>
                  <w:vMerge w:val="continue"/>
                  <w:noWrap w:val="0"/>
                  <w:vAlign w:val="center"/>
                </w:tcPr>
                <w:p w14:paraId="2E95CC8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5912F5B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snapToGrid w:val="0"/>
                      <w:color w:val="auto"/>
                      <w:spacing w:val="0"/>
                      <w:kern w:val="0"/>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10</w:t>
                  </w:r>
                </w:p>
              </w:tc>
              <w:tc>
                <w:tcPr>
                  <w:tcW w:w="514" w:type="pct"/>
                  <w:vMerge w:val="continue"/>
                  <w:noWrap w:val="0"/>
                  <w:vAlign w:val="center"/>
                </w:tcPr>
                <w:p w14:paraId="444A0C8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snapToGrid w:val="0"/>
                      <w:color w:val="FF0000"/>
                      <w:spacing w:val="0"/>
                      <w:kern w:val="0"/>
                      <w:sz w:val="18"/>
                      <w:szCs w:val="18"/>
                      <w:highlight w:val="none"/>
                      <w:lang w:val="en-US" w:eastAsia="zh-CN" w:bidi="ar-SA"/>
                    </w:rPr>
                  </w:pPr>
                </w:p>
              </w:tc>
              <w:tc>
                <w:tcPr>
                  <w:tcW w:w="344" w:type="pct"/>
                  <w:noWrap w:val="0"/>
                  <w:vAlign w:val="center"/>
                </w:tcPr>
                <w:p w14:paraId="5D831D5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4DDB156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58D1E4FC">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-102</w:t>
                  </w:r>
                </w:p>
              </w:tc>
              <w:tc>
                <w:tcPr>
                  <w:tcW w:w="260" w:type="pct"/>
                  <w:noWrap w:val="0"/>
                  <w:vAlign w:val="center"/>
                </w:tcPr>
                <w:p w14:paraId="38F9021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13</w:t>
                  </w:r>
                </w:p>
              </w:tc>
              <w:tc>
                <w:tcPr>
                  <w:tcW w:w="244" w:type="pct"/>
                  <w:noWrap w:val="0"/>
                  <w:vAlign w:val="center"/>
                </w:tcPr>
                <w:p w14:paraId="26A3310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6CF7AF1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390DAE5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75</w:t>
                  </w:r>
                  <w:r>
                    <w:rPr>
                      <w:rFonts w:hint="default" w:ascii="Times New Roman" w:hAnsi="Times New Roman" w:eastAsia="宋体" w:cs="Times New Roman"/>
                      <w:snapToGrid w:val="0"/>
                      <w:color w:val="auto"/>
                      <w:spacing w:val="0"/>
                      <w:kern w:val="0"/>
                      <w:sz w:val="18"/>
                      <w:szCs w:val="18"/>
                      <w:highlight w:val="none"/>
                      <w:lang w:val="en-US" w:eastAsia="zh-CN"/>
                    </w:rPr>
                    <w:t>m</w:t>
                  </w:r>
                </w:p>
                <w:p w14:paraId="3F94C74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6C11C3F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19</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65978D2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东：49.4</w:t>
                  </w:r>
                </w:p>
                <w:p w14:paraId="3473BD4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47.5</w:t>
                  </w:r>
                </w:p>
                <w:p w14:paraId="126F35F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西：52.0</w:t>
                  </w:r>
                </w:p>
                <w:p w14:paraId="519CB1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59.4</w:t>
                  </w:r>
                </w:p>
              </w:tc>
              <w:tc>
                <w:tcPr>
                  <w:tcW w:w="157" w:type="pct"/>
                  <w:vMerge w:val="continue"/>
                  <w:noWrap w:val="0"/>
                  <w:vAlign w:val="center"/>
                </w:tcPr>
                <w:p w14:paraId="501B006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62B9346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3141ACC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东：29.4</w:t>
                  </w:r>
                </w:p>
                <w:p w14:paraId="71CF4B6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27.5</w:t>
                  </w:r>
                </w:p>
                <w:p w14:paraId="6129720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西：32.0</w:t>
                  </w:r>
                </w:p>
                <w:p w14:paraId="49FBA68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39.4</w:t>
                  </w:r>
                </w:p>
              </w:tc>
              <w:tc>
                <w:tcPr>
                  <w:tcW w:w="288" w:type="pct"/>
                  <w:noWrap w:val="0"/>
                  <w:vAlign w:val="center"/>
                </w:tcPr>
                <w:p w14:paraId="5514F5E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BA7B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16F07E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16</w:t>
                  </w:r>
                </w:p>
              </w:tc>
              <w:tc>
                <w:tcPr>
                  <w:tcW w:w="189" w:type="pct"/>
                  <w:vMerge w:val="continue"/>
                  <w:noWrap w:val="0"/>
                  <w:vAlign w:val="center"/>
                </w:tcPr>
                <w:p w14:paraId="79E461E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425AF39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snapToGrid w:val="0"/>
                      <w:color w:val="auto"/>
                      <w:spacing w:val="0"/>
                      <w:kern w:val="0"/>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11</w:t>
                  </w:r>
                </w:p>
              </w:tc>
              <w:tc>
                <w:tcPr>
                  <w:tcW w:w="514" w:type="pct"/>
                  <w:vMerge w:val="continue"/>
                  <w:noWrap w:val="0"/>
                  <w:vAlign w:val="center"/>
                </w:tcPr>
                <w:p w14:paraId="431FC33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snapToGrid w:val="0"/>
                      <w:color w:val="FF0000"/>
                      <w:spacing w:val="0"/>
                      <w:kern w:val="0"/>
                      <w:sz w:val="18"/>
                      <w:szCs w:val="18"/>
                      <w:highlight w:val="none"/>
                      <w:lang w:val="en-US" w:eastAsia="zh-CN" w:bidi="ar-SA"/>
                    </w:rPr>
                  </w:pPr>
                </w:p>
              </w:tc>
              <w:tc>
                <w:tcPr>
                  <w:tcW w:w="344" w:type="pct"/>
                  <w:noWrap w:val="0"/>
                  <w:vAlign w:val="center"/>
                </w:tcPr>
                <w:p w14:paraId="3A3A85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1AC5B1D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78BBCD1C">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-104</w:t>
                  </w:r>
                </w:p>
              </w:tc>
              <w:tc>
                <w:tcPr>
                  <w:tcW w:w="260" w:type="pct"/>
                  <w:noWrap w:val="0"/>
                  <w:vAlign w:val="center"/>
                </w:tcPr>
                <w:p w14:paraId="3C9336A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8</w:t>
                  </w:r>
                </w:p>
              </w:tc>
              <w:tc>
                <w:tcPr>
                  <w:tcW w:w="244" w:type="pct"/>
                  <w:noWrap w:val="0"/>
                  <w:vAlign w:val="center"/>
                </w:tcPr>
                <w:p w14:paraId="4FA119F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6D7C80E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59</w:t>
                  </w:r>
                  <w:r>
                    <w:rPr>
                      <w:rFonts w:hint="default" w:ascii="Times New Roman" w:hAnsi="Times New Roman" w:eastAsia="宋体" w:cs="Times New Roman"/>
                      <w:snapToGrid w:val="0"/>
                      <w:color w:val="auto"/>
                      <w:spacing w:val="0"/>
                      <w:kern w:val="0"/>
                      <w:sz w:val="18"/>
                      <w:szCs w:val="18"/>
                      <w:highlight w:val="none"/>
                      <w:lang w:val="en-US" w:eastAsia="zh-CN"/>
                    </w:rPr>
                    <w:t>m</w:t>
                  </w:r>
                </w:p>
                <w:p w14:paraId="1E342A2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74</w:t>
                  </w:r>
                  <w:r>
                    <w:rPr>
                      <w:rFonts w:hint="default" w:ascii="Times New Roman" w:hAnsi="Times New Roman" w:eastAsia="宋体" w:cs="Times New Roman"/>
                      <w:snapToGrid w:val="0"/>
                      <w:color w:val="auto"/>
                      <w:spacing w:val="0"/>
                      <w:kern w:val="0"/>
                      <w:sz w:val="18"/>
                      <w:szCs w:val="18"/>
                      <w:highlight w:val="none"/>
                      <w:lang w:val="en-US" w:eastAsia="zh-CN"/>
                    </w:rPr>
                    <w:t>m</w:t>
                  </w:r>
                </w:p>
                <w:p w14:paraId="1778F78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r>
                    <w:rPr>
                      <w:rFonts w:hint="default" w:ascii="Times New Roman" w:hAnsi="Times New Roman" w:eastAsia="宋体" w:cs="Times New Roman"/>
                      <w:snapToGrid w:val="0"/>
                      <w:color w:val="auto"/>
                      <w:spacing w:val="0"/>
                      <w:kern w:val="0"/>
                      <w:sz w:val="18"/>
                      <w:szCs w:val="18"/>
                      <w:highlight w:val="none"/>
                      <w:lang w:val="en-US" w:eastAsia="zh-CN"/>
                    </w:rPr>
                    <w:t>m</w:t>
                  </w:r>
                </w:p>
                <w:p w14:paraId="1DC85B5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20</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2A4961D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东：49.6</w:t>
                  </w:r>
                </w:p>
                <w:p w14:paraId="799CAFE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47.6</w:t>
                  </w:r>
                </w:p>
                <w:p w14:paraId="2BB313A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西：51.9</w:t>
                  </w:r>
                </w:p>
                <w:p w14:paraId="4D3922F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59.0</w:t>
                  </w:r>
                </w:p>
              </w:tc>
              <w:tc>
                <w:tcPr>
                  <w:tcW w:w="157" w:type="pct"/>
                  <w:vMerge w:val="continue"/>
                  <w:noWrap w:val="0"/>
                  <w:vAlign w:val="center"/>
                </w:tcPr>
                <w:p w14:paraId="24260F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269DE2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3744A49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东：29.6</w:t>
                  </w:r>
                </w:p>
                <w:p w14:paraId="7B5B4C5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27.6</w:t>
                  </w:r>
                </w:p>
                <w:p w14:paraId="6776237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西：31.9</w:t>
                  </w:r>
                </w:p>
                <w:p w14:paraId="7DA5DF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39.0</w:t>
                  </w:r>
                </w:p>
              </w:tc>
              <w:tc>
                <w:tcPr>
                  <w:tcW w:w="288" w:type="pct"/>
                  <w:noWrap w:val="0"/>
                  <w:vAlign w:val="center"/>
                </w:tcPr>
                <w:p w14:paraId="28F4183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36A49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7F64510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17</w:t>
                  </w:r>
                </w:p>
              </w:tc>
              <w:tc>
                <w:tcPr>
                  <w:tcW w:w="189" w:type="pct"/>
                  <w:vMerge w:val="continue"/>
                  <w:noWrap w:val="0"/>
                  <w:vAlign w:val="center"/>
                </w:tcPr>
                <w:p w14:paraId="400B39E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096093A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snapToGrid w:val="0"/>
                      <w:color w:val="auto"/>
                      <w:spacing w:val="0"/>
                      <w:kern w:val="0"/>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12</w:t>
                  </w:r>
                </w:p>
              </w:tc>
              <w:tc>
                <w:tcPr>
                  <w:tcW w:w="514" w:type="pct"/>
                  <w:vMerge w:val="continue"/>
                  <w:noWrap w:val="0"/>
                  <w:vAlign w:val="center"/>
                </w:tcPr>
                <w:p w14:paraId="68E94BD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snapToGrid w:val="0"/>
                      <w:color w:val="FF0000"/>
                      <w:spacing w:val="0"/>
                      <w:kern w:val="0"/>
                      <w:sz w:val="18"/>
                      <w:szCs w:val="18"/>
                      <w:highlight w:val="none"/>
                      <w:lang w:val="en-US" w:eastAsia="zh-CN" w:bidi="ar-SA"/>
                    </w:rPr>
                  </w:pPr>
                </w:p>
              </w:tc>
              <w:tc>
                <w:tcPr>
                  <w:tcW w:w="344" w:type="pct"/>
                  <w:noWrap w:val="0"/>
                  <w:vAlign w:val="center"/>
                </w:tcPr>
                <w:p w14:paraId="16D653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6102B8D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08AE9CEC">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-102</w:t>
                  </w:r>
                </w:p>
              </w:tc>
              <w:tc>
                <w:tcPr>
                  <w:tcW w:w="260" w:type="pct"/>
                  <w:noWrap w:val="0"/>
                  <w:vAlign w:val="center"/>
                </w:tcPr>
                <w:p w14:paraId="7B88FBE5">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8</w:t>
                  </w:r>
                </w:p>
              </w:tc>
              <w:tc>
                <w:tcPr>
                  <w:tcW w:w="244" w:type="pct"/>
                  <w:noWrap w:val="0"/>
                  <w:vAlign w:val="center"/>
                </w:tcPr>
                <w:p w14:paraId="1E6C182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704E151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3342B4C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74</w:t>
                  </w:r>
                  <w:r>
                    <w:rPr>
                      <w:rFonts w:hint="default" w:ascii="Times New Roman" w:hAnsi="Times New Roman" w:eastAsia="宋体" w:cs="Times New Roman"/>
                      <w:snapToGrid w:val="0"/>
                      <w:color w:val="auto"/>
                      <w:spacing w:val="0"/>
                      <w:kern w:val="0"/>
                      <w:sz w:val="18"/>
                      <w:szCs w:val="18"/>
                      <w:highlight w:val="none"/>
                      <w:lang w:val="en-US" w:eastAsia="zh-CN"/>
                    </w:rPr>
                    <w:t>m</w:t>
                  </w:r>
                </w:p>
                <w:p w14:paraId="2318F38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2B2524F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20</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69CA90D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东：49.4</w:t>
                  </w:r>
                </w:p>
                <w:p w14:paraId="7E22E9E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47.6</w:t>
                  </w:r>
                </w:p>
                <w:p w14:paraId="13789BD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西：52.0</w:t>
                  </w:r>
                </w:p>
                <w:p w14:paraId="38235D8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59.0</w:t>
                  </w:r>
                </w:p>
              </w:tc>
              <w:tc>
                <w:tcPr>
                  <w:tcW w:w="157" w:type="pct"/>
                  <w:vMerge w:val="continue"/>
                  <w:noWrap w:val="0"/>
                  <w:vAlign w:val="center"/>
                </w:tcPr>
                <w:p w14:paraId="585E4F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40FFFF6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3CF144E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东：29.4</w:t>
                  </w:r>
                </w:p>
                <w:p w14:paraId="12DB07F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27.6</w:t>
                  </w:r>
                </w:p>
                <w:p w14:paraId="5D7EBA5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西：32.0</w:t>
                  </w:r>
                </w:p>
                <w:p w14:paraId="39C6EB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39.0</w:t>
                  </w:r>
                </w:p>
              </w:tc>
              <w:tc>
                <w:tcPr>
                  <w:tcW w:w="288" w:type="pct"/>
                  <w:noWrap w:val="0"/>
                  <w:vAlign w:val="center"/>
                </w:tcPr>
                <w:p w14:paraId="537E5AA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EC02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299B4A1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18</w:t>
                  </w:r>
                </w:p>
              </w:tc>
              <w:tc>
                <w:tcPr>
                  <w:tcW w:w="189" w:type="pct"/>
                  <w:vMerge w:val="continue"/>
                  <w:noWrap w:val="0"/>
                  <w:vAlign w:val="center"/>
                </w:tcPr>
                <w:p w14:paraId="0D9A8FC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6B0F644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snapToGrid w:val="0"/>
                      <w:color w:val="auto"/>
                      <w:spacing w:val="0"/>
                      <w:kern w:val="0"/>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13</w:t>
                  </w:r>
                </w:p>
              </w:tc>
              <w:tc>
                <w:tcPr>
                  <w:tcW w:w="514" w:type="pct"/>
                  <w:vMerge w:val="continue"/>
                  <w:noWrap w:val="0"/>
                  <w:vAlign w:val="center"/>
                </w:tcPr>
                <w:p w14:paraId="4648242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snapToGrid w:val="0"/>
                      <w:color w:val="FF0000"/>
                      <w:spacing w:val="0"/>
                      <w:kern w:val="0"/>
                      <w:sz w:val="18"/>
                      <w:szCs w:val="18"/>
                      <w:highlight w:val="none"/>
                      <w:lang w:val="en-US" w:eastAsia="zh-CN" w:bidi="ar-SA"/>
                    </w:rPr>
                  </w:pPr>
                </w:p>
              </w:tc>
              <w:tc>
                <w:tcPr>
                  <w:tcW w:w="344" w:type="pct"/>
                  <w:noWrap w:val="0"/>
                  <w:vAlign w:val="center"/>
                </w:tcPr>
                <w:p w14:paraId="6FCF741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750C8F4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7E502F0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-104</w:t>
                  </w:r>
                </w:p>
              </w:tc>
              <w:tc>
                <w:tcPr>
                  <w:tcW w:w="260" w:type="pct"/>
                  <w:noWrap w:val="0"/>
                  <w:vAlign w:val="center"/>
                </w:tcPr>
                <w:p w14:paraId="0FBD612B">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6</w:t>
                  </w:r>
                </w:p>
              </w:tc>
              <w:tc>
                <w:tcPr>
                  <w:tcW w:w="244" w:type="pct"/>
                  <w:noWrap w:val="0"/>
                  <w:vAlign w:val="center"/>
                </w:tcPr>
                <w:p w14:paraId="16034AC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75E2BD2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59</w:t>
                  </w:r>
                  <w:r>
                    <w:rPr>
                      <w:rFonts w:hint="default" w:ascii="Times New Roman" w:hAnsi="Times New Roman" w:eastAsia="宋体" w:cs="Times New Roman"/>
                      <w:snapToGrid w:val="0"/>
                      <w:color w:val="auto"/>
                      <w:spacing w:val="0"/>
                      <w:kern w:val="0"/>
                      <w:sz w:val="18"/>
                      <w:szCs w:val="18"/>
                      <w:highlight w:val="none"/>
                      <w:lang w:val="en-US" w:eastAsia="zh-CN"/>
                    </w:rPr>
                    <w:t>m</w:t>
                  </w:r>
                </w:p>
                <w:p w14:paraId="27337E2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73</w:t>
                  </w:r>
                  <w:r>
                    <w:rPr>
                      <w:rFonts w:hint="default" w:ascii="Times New Roman" w:hAnsi="Times New Roman" w:eastAsia="宋体" w:cs="Times New Roman"/>
                      <w:snapToGrid w:val="0"/>
                      <w:color w:val="auto"/>
                      <w:spacing w:val="0"/>
                      <w:kern w:val="0"/>
                      <w:sz w:val="18"/>
                      <w:szCs w:val="18"/>
                      <w:highlight w:val="none"/>
                      <w:lang w:val="en-US" w:eastAsia="zh-CN"/>
                    </w:rPr>
                    <w:t>m</w:t>
                  </w:r>
                </w:p>
                <w:p w14:paraId="648AB10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r>
                    <w:rPr>
                      <w:rFonts w:hint="default" w:ascii="Times New Roman" w:hAnsi="Times New Roman" w:eastAsia="宋体" w:cs="Times New Roman"/>
                      <w:snapToGrid w:val="0"/>
                      <w:color w:val="auto"/>
                      <w:spacing w:val="0"/>
                      <w:kern w:val="0"/>
                      <w:sz w:val="18"/>
                      <w:szCs w:val="18"/>
                      <w:highlight w:val="none"/>
                      <w:lang w:val="en-US" w:eastAsia="zh-CN"/>
                    </w:rPr>
                    <w:t>m</w:t>
                  </w:r>
                </w:p>
                <w:p w14:paraId="48CA4E9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21</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75A9869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东：49.6</w:t>
                  </w:r>
                </w:p>
                <w:p w14:paraId="59C4FA6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47.7</w:t>
                  </w:r>
                </w:p>
                <w:p w14:paraId="5D90643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西：51.9</w:t>
                  </w:r>
                </w:p>
                <w:p w14:paraId="45A4B65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58.6</w:t>
                  </w:r>
                </w:p>
              </w:tc>
              <w:tc>
                <w:tcPr>
                  <w:tcW w:w="157" w:type="pct"/>
                  <w:vMerge w:val="continue"/>
                  <w:noWrap w:val="0"/>
                  <w:vAlign w:val="center"/>
                </w:tcPr>
                <w:p w14:paraId="7B06E57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3B0473A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399CD7A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东：29.6</w:t>
                  </w:r>
                </w:p>
                <w:p w14:paraId="4535C5B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27.7</w:t>
                  </w:r>
                </w:p>
                <w:p w14:paraId="1CFC1E6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西：31.9</w:t>
                  </w:r>
                </w:p>
                <w:p w14:paraId="26DF3E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38.6</w:t>
                  </w:r>
                </w:p>
              </w:tc>
              <w:tc>
                <w:tcPr>
                  <w:tcW w:w="288" w:type="pct"/>
                  <w:noWrap w:val="0"/>
                  <w:vAlign w:val="center"/>
                </w:tcPr>
                <w:p w14:paraId="49E6E8D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6CCC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5630B1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19</w:t>
                  </w:r>
                </w:p>
              </w:tc>
              <w:tc>
                <w:tcPr>
                  <w:tcW w:w="189" w:type="pct"/>
                  <w:vMerge w:val="continue"/>
                  <w:noWrap w:val="0"/>
                  <w:vAlign w:val="center"/>
                </w:tcPr>
                <w:p w14:paraId="7A6DC93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44F555B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snapToGrid w:val="0"/>
                      <w:color w:val="auto"/>
                      <w:spacing w:val="0"/>
                      <w:kern w:val="0"/>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14</w:t>
                  </w:r>
                </w:p>
              </w:tc>
              <w:tc>
                <w:tcPr>
                  <w:tcW w:w="514" w:type="pct"/>
                  <w:vMerge w:val="continue"/>
                  <w:noWrap w:val="0"/>
                  <w:vAlign w:val="center"/>
                </w:tcPr>
                <w:p w14:paraId="07E2519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snapToGrid w:val="0"/>
                      <w:color w:val="FF0000"/>
                      <w:spacing w:val="0"/>
                      <w:kern w:val="0"/>
                      <w:sz w:val="18"/>
                      <w:szCs w:val="18"/>
                      <w:highlight w:val="none"/>
                      <w:lang w:val="en-US" w:eastAsia="zh-CN" w:bidi="ar-SA"/>
                    </w:rPr>
                  </w:pPr>
                </w:p>
              </w:tc>
              <w:tc>
                <w:tcPr>
                  <w:tcW w:w="344" w:type="pct"/>
                  <w:noWrap w:val="0"/>
                  <w:vAlign w:val="center"/>
                </w:tcPr>
                <w:p w14:paraId="48F9890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2498E23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694FA861">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-102</w:t>
                  </w:r>
                </w:p>
              </w:tc>
              <w:tc>
                <w:tcPr>
                  <w:tcW w:w="260" w:type="pct"/>
                  <w:noWrap w:val="0"/>
                  <w:vAlign w:val="center"/>
                </w:tcPr>
                <w:p w14:paraId="4E9CB248">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6</w:t>
                  </w:r>
                </w:p>
              </w:tc>
              <w:tc>
                <w:tcPr>
                  <w:tcW w:w="244" w:type="pct"/>
                  <w:noWrap w:val="0"/>
                  <w:vAlign w:val="center"/>
                </w:tcPr>
                <w:p w14:paraId="3E4A791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59A5E64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434AFBA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73</w:t>
                  </w:r>
                  <w:r>
                    <w:rPr>
                      <w:rFonts w:hint="default" w:ascii="Times New Roman" w:hAnsi="Times New Roman" w:eastAsia="宋体" w:cs="Times New Roman"/>
                      <w:snapToGrid w:val="0"/>
                      <w:color w:val="auto"/>
                      <w:spacing w:val="0"/>
                      <w:kern w:val="0"/>
                      <w:sz w:val="18"/>
                      <w:szCs w:val="18"/>
                      <w:highlight w:val="none"/>
                      <w:lang w:val="en-US" w:eastAsia="zh-CN"/>
                    </w:rPr>
                    <w:t>m</w:t>
                  </w:r>
                </w:p>
                <w:p w14:paraId="12A0B00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1D31668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21</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7EB53C3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东：49.4</w:t>
                  </w:r>
                </w:p>
                <w:p w14:paraId="21D8C9D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47.8</w:t>
                  </w:r>
                </w:p>
                <w:p w14:paraId="35C5347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西：52.0</w:t>
                  </w:r>
                </w:p>
                <w:p w14:paraId="308A65F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58.6</w:t>
                  </w:r>
                </w:p>
              </w:tc>
              <w:tc>
                <w:tcPr>
                  <w:tcW w:w="157" w:type="pct"/>
                  <w:vMerge w:val="continue"/>
                  <w:noWrap w:val="0"/>
                  <w:vAlign w:val="center"/>
                </w:tcPr>
                <w:p w14:paraId="67E4D5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1E1CD1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65C8993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东：29.4</w:t>
                  </w:r>
                </w:p>
                <w:p w14:paraId="61AF2BE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27.8</w:t>
                  </w:r>
                </w:p>
                <w:p w14:paraId="3F5FE06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西：32.0</w:t>
                  </w:r>
                </w:p>
                <w:p w14:paraId="6F12E90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38.6</w:t>
                  </w:r>
                </w:p>
              </w:tc>
              <w:tc>
                <w:tcPr>
                  <w:tcW w:w="288" w:type="pct"/>
                  <w:noWrap w:val="0"/>
                  <w:vAlign w:val="center"/>
                </w:tcPr>
                <w:p w14:paraId="7F190C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603B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08B7C9E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20</w:t>
                  </w:r>
                </w:p>
              </w:tc>
              <w:tc>
                <w:tcPr>
                  <w:tcW w:w="189" w:type="pct"/>
                  <w:vMerge w:val="continue"/>
                  <w:noWrap w:val="0"/>
                  <w:vAlign w:val="center"/>
                </w:tcPr>
                <w:p w14:paraId="104F6F0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0C62F01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snapToGrid w:val="0"/>
                      <w:color w:val="auto"/>
                      <w:spacing w:val="0"/>
                      <w:kern w:val="0"/>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15</w:t>
                  </w:r>
                </w:p>
              </w:tc>
              <w:tc>
                <w:tcPr>
                  <w:tcW w:w="514" w:type="pct"/>
                  <w:vMerge w:val="continue"/>
                  <w:noWrap w:val="0"/>
                  <w:vAlign w:val="center"/>
                </w:tcPr>
                <w:p w14:paraId="1AF12F8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snapToGrid w:val="0"/>
                      <w:color w:val="FF0000"/>
                      <w:spacing w:val="0"/>
                      <w:kern w:val="0"/>
                      <w:sz w:val="18"/>
                      <w:szCs w:val="18"/>
                      <w:highlight w:val="none"/>
                      <w:lang w:val="en-US" w:eastAsia="zh-CN" w:bidi="ar-SA"/>
                    </w:rPr>
                  </w:pPr>
                </w:p>
              </w:tc>
              <w:tc>
                <w:tcPr>
                  <w:tcW w:w="344" w:type="pct"/>
                  <w:noWrap w:val="0"/>
                  <w:vAlign w:val="center"/>
                </w:tcPr>
                <w:p w14:paraId="0951E1C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35F4170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67905BE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-104</w:t>
                  </w:r>
                </w:p>
              </w:tc>
              <w:tc>
                <w:tcPr>
                  <w:tcW w:w="260" w:type="pct"/>
                  <w:noWrap w:val="0"/>
                  <w:vAlign w:val="center"/>
                </w:tcPr>
                <w:p w14:paraId="4A97346E">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244" w:type="pct"/>
                  <w:noWrap w:val="0"/>
                  <w:vAlign w:val="center"/>
                </w:tcPr>
                <w:p w14:paraId="45125F1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38896D8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59</w:t>
                  </w:r>
                  <w:r>
                    <w:rPr>
                      <w:rFonts w:hint="default" w:ascii="Times New Roman" w:hAnsi="Times New Roman" w:eastAsia="宋体" w:cs="Times New Roman"/>
                      <w:snapToGrid w:val="0"/>
                      <w:color w:val="auto"/>
                      <w:spacing w:val="0"/>
                      <w:kern w:val="0"/>
                      <w:sz w:val="18"/>
                      <w:szCs w:val="18"/>
                      <w:highlight w:val="none"/>
                      <w:lang w:val="en-US" w:eastAsia="zh-CN"/>
                    </w:rPr>
                    <w:t>m</w:t>
                  </w:r>
                </w:p>
                <w:p w14:paraId="4A2B2F5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72</w:t>
                  </w:r>
                  <w:r>
                    <w:rPr>
                      <w:rFonts w:hint="default" w:ascii="Times New Roman" w:hAnsi="Times New Roman" w:eastAsia="宋体" w:cs="Times New Roman"/>
                      <w:snapToGrid w:val="0"/>
                      <w:color w:val="auto"/>
                      <w:spacing w:val="0"/>
                      <w:kern w:val="0"/>
                      <w:sz w:val="18"/>
                      <w:szCs w:val="18"/>
                      <w:highlight w:val="none"/>
                      <w:lang w:val="en-US" w:eastAsia="zh-CN"/>
                    </w:rPr>
                    <w:t>m</w:t>
                  </w:r>
                </w:p>
                <w:p w14:paraId="40C8995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r>
                    <w:rPr>
                      <w:rFonts w:hint="default" w:ascii="Times New Roman" w:hAnsi="Times New Roman" w:eastAsia="宋体" w:cs="Times New Roman"/>
                      <w:snapToGrid w:val="0"/>
                      <w:color w:val="auto"/>
                      <w:spacing w:val="0"/>
                      <w:kern w:val="0"/>
                      <w:sz w:val="18"/>
                      <w:szCs w:val="18"/>
                      <w:highlight w:val="none"/>
                      <w:lang w:val="en-US" w:eastAsia="zh-CN"/>
                    </w:rPr>
                    <w:t>m</w:t>
                  </w:r>
                </w:p>
                <w:p w14:paraId="41C5C08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22</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0C440A7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东：49.6</w:t>
                  </w:r>
                </w:p>
                <w:p w14:paraId="6AB92F1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47.7</w:t>
                  </w:r>
                </w:p>
                <w:p w14:paraId="17572E7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西：51.9</w:t>
                  </w:r>
                </w:p>
                <w:p w14:paraId="2576271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58.2</w:t>
                  </w:r>
                </w:p>
              </w:tc>
              <w:tc>
                <w:tcPr>
                  <w:tcW w:w="157" w:type="pct"/>
                  <w:vMerge w:val="continue"/>
                  <w:noWrap w:val="0"/>
                  <w:vAlign w:val="center"/>
                </w:tcPr>
                <w:p w14:paraId="21AF6A3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150622C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4D6F1C8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东：29.6</w:t>
                  </w:r>
                </w:p>
                <w:p w14:paraId="6178B14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27.7</w:t>
                  </w:r>
                </w:p>
                <w:p w14:paraId="71276C1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西：31.9</w:t>
                  </w:r>
                </w:p>
                <w:p w14:paraId="33086BC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38.2</w:t>
                  </w:r>
                </w:p>
              </w:tc>
              <w:tc>
                <w:tcPr>
                  <w:tcW w:w="288" w:type="pct"/>
                  <w:noWrap w:val="0"/>
                  <w:vAlign w:val="center"/>
                </w:tcPr>
                <w:p w14:paraId="299D2F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3427C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6B7B61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21</w:t>
                  </w:r>
                </w:p>
              </w:tc>
              <w:tc>
                <w:tcPr>
                  <w:tcW w:w="189" w:type="pct"/>
                  <w:vMerge w:val="continue"/>
                  <w:noWrap w:val="0"/>
                  <w:vAlign w:val="center"/>
                </w:tcPr>
                <w:p w14:paraId="5B0F9FA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1E79BF3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snapToGrid w:val="0"/>
                      <w:color w:val="auto"/>
                      <w:spacing w:val="0"/>
                      <w:kern w:val="0"/>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16</w:t>
                  </w:r>
                </w:p>
              </w:tc>
              <w:tc>
                <w:tcPr>
                  <w:tcW w:w="514" w:type="pct"/>
                  <w:vMerge w:val="continue"/>
                  <w:noWrap w:val="0"/>
                  <w:vAlign w:val="center"/>
                </w:tcPr>
                <w:p w14:paraId="3550B64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snapToGrid w:val="0"/>
                      <w:color w:val="FF0000"/>
                      <w:spacing w:val="0"/>
                      <w:kern w:val="0"/>
                      <w:sz w:val="18"/>
                      <w:szCs w:val="18"/>
                      <w:highlight w:val="none"/>
                      <w:lang w:val="en-US" w:eastAsia="zh-CN" w:bidi="ar-SA"/>
                    </w:rPr>
                  </w:pPr>
                </w:p>
              </w:tc>
              <w:tc>
                <w:tcPr>
                  <w:tcW w:w="344" w:type="pct"/>
                  <w:noWrap w:val="0"/>
                  <w:vAlign w:val="center"/>
                </w:tcPr>
                <w:p w14:paraId="3FAEBA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0BC6B4B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02D6059E">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-102</w:t>
                  </w:r>
                </w:p>
              </w:tc>
              <w:tc>
                <w:tcPr>
                  <w:tcW w:w="260" w:type="pct"/>
                  <w:noWrap w:val="0"/>
                  <w:vAlign w:val="center"/>
                </w:tcPr>
                <w:p w14:paraId="67AE753B">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244" w:type="pct"/>
                  <w:noWrap w:val="0"/>
                  <w:vAlign w:val="center"/>
                </w:tcPr>
                <w:p w14:paraId="79FD747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5309002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609367F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72</w:t>
                  </w:r>
                  <w:r>
                    <w:rPr>
                      <w:rFonts w:hint="default" w:ascii="Times New Roman" w:hAnsi="Times New Roman" w:eastAsia="宋体" w:cs="Times New Roman"/>
                      <w:snapToGrid w:val="0"/>
                      <w:color w:val="auto"/>
                      <w:spacing w:val="0"/>
                      <w:kern w:val="0"/>
                      <w:sz w:val="18"/>
                      <w:szCs w:val="18"/>
                      <w:highlight w:val="none"/>
                      <w:lang w:val="en-US" w:eastAsia="zh-CN"/>
                    </w:rPr>
                    <w:t>m</w:t>
                  </w:r>
                </w:p>
                <w:p w14:paraId="6EDDCE5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5D4BFC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22</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2F413DD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东：49.4</w:t>
                  </w:r>
                </w:p>
                <w:p w14:paraId="500305E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47.8</w:t>
                  </w:r>
                </w:p>
                <w:p w14:paraId="4ECEC3F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西：52.</w:t>
                  </w:r>
                </w:p>
                <w:p w14:paraId="6A955D6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58.2</w:t>
                  </w:r>
                </w:p>
              </w:tc>
              <w:tc>
                <w:tcPr>
                  <w:tcW w:w="157" w:type="pct"/>
                  <w:vMerge w:val="continue"/>
                  <w:noWrap w:val="0"/>
                  <w:vAlign w:val="center"/>
                </w:tcPr>
                <w:p w14:paraId="6F6786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7AF093F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1D8FE41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东：29.4</w:t>
                  </w:r>
                </w:p>
                <w:p w14:paraId="0A6310D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27.8</w:t>
                  </w:r>
                </w:p>
                <w:p w14:paraId="0FB7C5A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西：32.</w:t>
                  </w:r>
                </w:p>
                <w:p w14:paraId="4454D4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38.2</w:t>
                  </w:r>
                </w:p>
              </w:tc>
              <w:tc>
                <w:tcPr>
                  <w:tcW w:w="288" w:type="pct"/>
                  <w:noWrap w:val="0"/>
                  <w:vAlign w:val="center"/>
                </w:tcPr>
                <w:p w14:paraId="0C07F69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9693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6EA9461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22</w:t>
                  </w:r>
                </w:p>
              </w:tc>
              <w:tc>
                <w:tcPr>
                  <w:tcW w:w="189" w:type="pct"/>
                  <w:vMerge w:val="continue"/>
                  <w:noWrap w:val="0"/>
                  <w:vAlign w:val="center"/>
                </w:tcPr>
                <w:p w14:paraId="1EBA436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5894B2B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snapToGrid w:val="0"/>
                      <w:color w:val="auto"/>
                      <w:spacing w:val="0"/>
                      <w:kern w:val="0"/>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17</w:t>
                  </w:r>
                </w:p>
              </w:tc>
              <w:tc>
                <w:tcPr>
                  <w:tcW w:w="514" w:type="pct"/>
                  <w:vMerge w:val="continue"/>
                  <w:noWrap w:val="0"/>
                  <w:vAlign w:val="center"/>
                </w:tcPr>
                <w:p w14:paraId="6453BA5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snapToGrid w:val="0"/>
                      <w:color w:val="FF0000"/>
                      <w:spacing w:val="0"/>
                      <w:kern w:val="0"/>
                      <w:sz w:val="18"/>
                      <w:szCs w:val="18"/>
                      <w:highlight w:val="none"/>
                      <w:lang w:val="en-US" w:eastAsia="zh-CN" w:bidi="ar-SA"/>
                    </w:rPr>
                  </w:pPr>
                </w:p>
              </w:tc>
              <w:tc>
                <w:tcPr>
                  <w:tcW w:w="344" w:type="pct"/>
                  <w:noWrap w:val="0"/>
                  <w:vAlign w:val="center"/>
                </w:tcPr>
                <w:p w14:paraId="05A1A7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64F0900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54E55D58">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-104</w:t>
                  </w:r>
                </w:p>
              </w:tc>
              <w:tc>
                <w:tcPr>
                  <w:tcW w:w="260" w:type="pct"/>
                  <w:noWrap w:val="0"/>
                  <w:vAlign w:val="center"/>
                </w:tcPr>
                <w:p w14:paraId="7E66199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244" w:type="pct"/>
                  <w:noWrap w:val="0"/>
                  <w:vAlign w:val="center"/>
                </w:tcPr>
                <w:p w14:paraId="5D67F3F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7D6E2E7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59</w:t>
                  </w:r>
                  <w:r>
                    <w:rPr>
                      <w:rFonts w:hint="default" w:ascii="Times New Roman" w:hAnsi="Times New Roman" w:eastAsia="宋体" w:cs="Times New Roman"/>
                      <w:snapToGrid w:val="0"/>
                      <w:color w:val="auto"/>
                      <w:spacing w:val="0"/>
                      <w:kern w:val="0"/>
                      <w:sz w:val="18"/>
                      <w:szCs w:val="18"/>
                      <w:highlight w:val="none"/>
                      <w:lang w:val="en-US" w:eastAsia="zh-CN"/>
                    </w:rPr>
                    <w:t>m</w:t>
                  </w:r>
                </w:p>
                <w:p w14:paraId="5A72DC5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71</w:t>
                  </w:r>
                  <w:r>
                    <w:rPr>
                      <w:rFonts w:hint="default" w:ascii="Times New Roman" w:hAnsi="Times New Roman" w:eastAsia="宋体" w:cs="Times New Roman"/>
                      <w:snapToGrid w:val="0"/>
                      <w:color w:val="auto"/>
                      <w:spacing w:val="0"/>
                      <w:kern w:val="0"/>
                      <w:sz w:val="18"/>
                      <w:szCs w:val="18"/>
                      <w:highlight w:val="none"/>
                      <w:lang w:val="en-US" w:eastAsia="zh-CN"/>
                    </w:rPr>
                    <w:t>m</w:t>
                  </w:r>
                </w:p>
                <w:p w14:paraId="54FE1E4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r>
                    <w:rPr>
                      <w:rFonts w:hint="default" w:ascii="Times New Roman" w:hAnsi="Times New Roman" w:eastAsia="宋体" w:cs="Times New Roman"/>
                      <w:snapToGrid w:val="0"/>
                      <w:color w:val="auto"/>
                      <w:spacing w:val="0"/>
                      <w:kern w:val="0"/>
                      <w:sz w:val="18"/>
                      <w:szCs w:val="18"/>
                      <w:highlight w:val="none"/>
                      <w:lang w:val="en-US" w:eastAsia="zh-CN"/>
                    </w:rPr>
                    <w:t>m</w:t>
                  </w:r>
                </w:p>
                <w:p w14:paraId="2F345C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23</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308B77E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东：49.6</w:t>
                  </w:r>
                </w:p>
                <w:p w14:paraId="12A5380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48.0</w:t>
                  </w:r>
                </w:p>
                <w:p w14:paraId="691FCA4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西：51.9</w:t>
                  </w:r>
                </w:p>
                <w:p w14:paraId="5D1A252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57.6</w:t>
                  </w:r>
                </w:p>
              </w:tc>
              <w:tc>
                <w:tcPr>
                  <w:tcW w:w="157" w:type="pct"/>
                  <w:vMerge w:val="continue"/>
                  <w:noWrap w:val="0"/>
                  <w:vAlign w:val="center"/>
                </w:tcPr>
                <w:p w14:paraId="7E418E7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6A8ACCE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0478E99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东：29.6</w:t>
                  </w:r>
                </w:p>
                <w:p w14:paraId="5D77C45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28.0</w:t>
                  </w:r>
                </w:p>
                <w:p w14:paraId="41B8BB5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西：31.9</w:t>
                  </w:r>
                </w:p>
                <w:p w14:paraId="4CDE469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37.6</w:t>
                  </w:r>
                </w:p>
              </w:tc>
              <w:tc>
                <w:tcPr>
                  <w:tcW w:w="288" w:type="pct"/>
                  <w:noWrap w:val="0"/>
                  <w:vAlign w:val="center"/>
                </w:tcPr>
                <w:p w14:paraId="5DE9C6A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003CA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2D312C8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23</w:t>
                  </w:r>
                </w:p>
              </w:tc>
              <w:tc>
                <w:tcPr>
                  <w:tcW w:w="189" w:type="pct"/>
                  <w:vMerge w:val="continue"/>
                  <w:noWrap w:val="0"/>
                  <w:vAlign w:val="center"/>
                </w:tcPr>
                <w:p w14:paraId="017727D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367C6C2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snapToGrid w:val="0"/>
                      <w:color w:val="auto"/>
                      <w:spacing w:val="0"/>
                      <w:kern w:val="0"/>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18</w:t>
                  </w:r>
                </w:p>
              </w:tc>
              <w:tc>
                <w:tcPr>
                  <w:tcW w:w="514" w:type="pct"/>
                  <w:vMerge w:val="continue"/>
                  <w:noWrap w:val="0"/>
                  <w:vAlign w:val="center"/>
                </w:tcPr>
                <w:p w14:paraId="5B0CC06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snapToGrid w:val="0"/>
                      <w:color w:val="FF0000"/>
                      <w:spacing w:val="0"/>
                      <w:kern w:val="0"/>
                      <w:sz w:val="18"/>
                      <w:szCs w:val="18"/>
                      <w:highlight w:val="none"/>
                      <w:lang w:val="en-US" w:eastAsia="zh-CN" w:bidi="ar-SA"/>
                    </w:rPr>
                  </w:pPr>
                </w:p>
              </w:tc>
              <w:tc>
                <w:tcPr>
                  <w:tcW w:w="344" w:type="pct"/>
                  <w:noWrap w:val="0"/>
                  <w:vAlign w:val="center"/>
                </w:tcPr>
                <w:p w14:paraId="3E3ACC8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40E0778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64CCC5BA">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-102</w:t>
                  </w:r>
                </w:p>
              </w:tc>
              <w:tc>
                <w:tcPr>
                  <w:tcW w:w="260" w:type="pct"/>
                  <w:noWrap w:val="0"/>
                  <w:vAlign w:val="center"/>
                </w:tcPr>
                <w:p w14:paraId="185CB934">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244" w:type="pct"/>
                  <w:noWrap w:val="0"/>
                  <w:vAlign w:val="center"/>
                </w:tcPr>
                <w:p w14:paraId="6DF84C8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6457ED5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7F6B550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71</w:t>
                  </w:r>
                  <w:r>
                    <w:rPr>
                      <w:rFonts w:hint="default" w:ascii="Times New Roman" w:hAnsi="Times New Roman" w:eastAsia="宋体" w:cs="Times New Roman"/>
                      <w:snapToGrid w:val="0"/>
                      <w:color w:val="auto"/>
                      <w:spacing w:val="0"/>
                      <w:kern w:val="0"/>
                      <w:sz w:val="18"/>
                      <w:szCs w:val="18"/>
                      <w:highlight w:val="none"/>
                      <w:lang w:val="en-US" w:eastAsia="zh-CN"/>
                    </w:rPr>
                    <w:t>m</w:t>
                  </w:r>
                </w:p>
                <w:p w14:paraId="5C3A106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09B1FA4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23</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1F34EBC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东：49.4</w:t>
                  </w:r>
                </w:p>
                <w:p w14:paraId="6C1A8F8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48.0</w:t>
                  </w:r>
                </w:p>
                <w:p w14:paraId="16FD860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西：52.0</w:t>
                  </w:r>
                </w:p>
                <w:p w14:paraId="7749C78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57.6</w:t>
                  </w:r>
                </w:p>
              </w:tc>
              <w:tc>
                <w:tcPr>
                  <w:tcW w:w="157" w:type="pct"/>
                  <w:vMerge w:val="continue"/>
                  <w:noWrap w:val="0"/>
                  <w:vAlign w:val="center"/>
                </w:tcPr>
                <w:p w14:paraId="004825A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1B09BC0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0B9B4A6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东：29.4</w:t>
                  </w:r>
                </w:p>
                <w:p w14:paraId="7AD1E31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28.0</w:t>
                  </w:r>
                </w:p>
                <w:p w14:paraId="01242DA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西：32.0</w:t>
                  </w:r>
                </w:p>
                <w:p w14:paraId="35B3991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37.6</w:t>
                  </w:r>
                </w:p>
              </w:tc>
              <w:tc>
                <w:tcPr>
                  <w:tcW w:w="288" w:type="pct"/>
                  <w:noWrap w:val="0"/>
                  <w:vAlign w:val="center"/>
                </w:tcPr>
                <w:p w14:paraId="04D42A3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08CEE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150778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24</w:t>
                  </w:r>
                </w:p>
              </w:tc>
              <w:tc>
                <w:tcPr>
                  <w:tcW w:w="189" w:type="pct"/>
                  <w:vMerge w:val="continue"/>
                  <w:noWrap w:val="0"/>
                  <w:vAlign w:val="center"/>
                </w:tcPr>
                <w:p w14:paraId="319334C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2BC82DB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eastAsiaTheme="minorEastAsia"/>
                      <w:snapToGrid w:val="0"/>
                      <w:color w:val="auto"/>
                      <w:spacing w:val="0"/>
                      <w:kern w:val="0"/>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19</w:t>
                  </w:r>
                </w:p>
              </w:tc>
              <w:tc>
                <w:tcPr>
                  <w:tcW w:w="514" w:type="pct"/>
                  <w:vMerge w:val="continue"/>
                  <w:noWrap w:val="0"/>
                  <w:vAlign w:val="center"/>
                </w:tcPr>
                <w:p w14:paraId="4379BA5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Times New Roman" w:cs="Times New Roman"/>
                      <w:snapToGrid w:val="0"/>
                      <w:color w:val="FF0000"/>
                      <w:spacing w:val="0"/>
                      <w:kern w:val="0"/>
                      <w:sz w:val="18"/>
                      <w:szCs w:val="18"/>
                      <w:highlight w:val="none"/>
                      <w:lang w:val="en-US" w:eastAsia="zh-CN" w:bidi="ar-SA"/>
                    </w:rPr>
                  </w:pPr>
                </w:p>
              </w:tc>
              <w:tc>
                <w:tcPr>
                  <w:tcW w:w="344" w:type="pct"/>
                  <w:noWrap w:val="0"/>
                  <w:vAlign w:val="center"/>
                </w:tcPr>
                <w:p w14:paraId="7CF78AB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02B053D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6BA5F9CA">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-104</w:t>
                  </w:r>
                </w:p>
              </w:tc>
              <w:tc>
                <w:tcPr>
                  <w:tcW w:w="260" w:type="pct"/>
                  <w:noWrap w:val="0"/>
                  <w:vAlign w:val="center"/>
                </w:tcPr>
                <w:p w14:paraId="1A1F20B9">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25</w:t>
                  </w:r>
                </w:p>
              </w:tc>
              <w:tc>
                <w:tcPr>
                  <w:tcW w:w="244" w:type="pct"/>
                  <w:noWrap w:val="0"/>
                  <w:vAlign w:val="center"/>
                </w:tcPr>
                <w:p w14:paraId="0F42BFC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268C3C5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59</w:t>
                  </w:r>
                  <w:r>
                    <w:rPr>
                      <w:rFonts w:hint="default" w:ascii="Times New Roman" w:hAnsi="Times New Roman" w:eastAsia="宋体" w:cs="Times New Roman"/>
                      <w:snapToGrid w:val="0"/>
                      <w:color w:val="auto"/>
                      <w:spacing w:val="0"/>
                      <w:kern w:val="0"/>
                      <w:sz w:val="18"/>
                      <w:szCs w:val="18"/>
                      <w:highlight w:val="none"/>
                      <w:lang w:val="en-US" w:eastAsia="zh-CN"/>
                    </w:rPr>
                    <w:t>m</w:t>
                  </w:r>
                </w:p>
                <w:p w14:paraId="08E58C2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70</w:t>
                  </w:r>
                  <w:r>
                    <w:rPr>
                      <w:rFonts w:hint="default" w:ascii="Times New Roman" w:hAnsi="Times New Roman" w:eastAsia="宋体" w:cs="Times New Roman"/>
                      <w:snapToGrid w:val="0"/>
                      <w:color w:val="auto"/>
                      <w:spacing w:val="0"/>
                      <w:kern w:val="0"/>
                      <w:sz w:val="18"/>
                      <w:szCs w:val="18"/>
                      <w:highlight w:val="none"/>
                      <w:lang w:val="en-US" w:eastAsia="zh-CN"/>
                    </w:rPr>
                    <w:t>m</w:t>
                  </w:r>
                </w:p>
                <w:p w14:paraId="05B553F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r>
                    <w:rPr>
                      <w:rFonts w:hint="default" w:ascii="Times New Roman" w:hAnsi="Times New Roman" w:eastAsia="宋体" w:cs="Times New Roman"/>
                      <w:snapToGrid w:val="0"/>
                      <w:color w:val="auto"/>
                      <w:spacing w:val="0"/>
                      <w:kern w:val="0"/>
                      <w:sz w:val="18"/>
                      <w:szCs w:val="18"/>
                      <w:highlight w:val="none"/>
                      <w:lang w:val="en-US" w:eastAsia="zh-CN"/>
                    </w:rPr>
                    <w:t>m</w:t>
                  </w:r>
                </w:p>
                <w:p w14:paraId="43DEDDE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24</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64E2265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东：49.6</w:t>
                  </w:r>
                </w:p>
                <w:p w14:paraId="067789C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48.1</w:t>
                  </w:r>
                </w:p>
                <w:p w14:paraId="52BCA5A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西：51.9</w:t>
                  </w:r>
                </w:p>
                <w:p w14:paraId="34FCEA8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57.4</w:t>
                  </w:r>
                </w:p>
              </w:tc>
              <w:tc>
                <w:tcPr>
                  <w:tcW w:w="157" w:type="pct"/>
                  <w:vMerge w:val="continue"/>
                  <w:noWrap w:val="0"/>
                  <w:vAlign w:val="center"/>
                </w:tcPr>
                <w:p w14:paraId="59A949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1F54CC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37E09A1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东：29.6</w:t>
                  </w:r>
                </w:p>
                <w:p w14:paraId="27DE063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28.1</w:t>
                  </w:r>
                </w:p>
                <w:p w14:paraId="0E4BC8B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西：31.9</w:t>
                  </w:r>
                </w:p>
                <w:p w14:paraId="66FC88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37.4</w:t>
                  </w:r>
                </w:p>
              </w:tc>
              <w:tc>
                <w:tcPr>
                  <w:tcW w:w="288" w:type="pct"/>
                  <w:noWrap w:val="0"/>
                  <w:vAlign w:val="center"/>
                </w:tcPr>
                <w:p w14:paraId="3494A96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613C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34E34F1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25</w:t>
                  </w:r>
                </w:p>
              </w:tc>
              <w:tc>
                <w:tcPr>
                  <w:tcW w:w="189" w:type="pct"/>
                  <w:vMerge w:val="continue"/>
                  <w:noWrap w:val="0"/>
                  <w:vAlign w:val="center"/>
                </w:tcPr>
                <w:p w14:paraId="768B734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4FE335E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20</w:t>
                  </w:r>
                </w:p>
              </w:tc>
              <w:tc>
                <w:tcPr>
                  <w:tcW w:w="514" w:type="pct"/>
                  <w:vMerge w:val="continue"/>
                  <w:noWrap w:val="0"/>
                  <w:vAlign w:val="center"/>
                </w:tcPr>
                <w:p w14:paraId="065E357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FF0000"/>
                      <w:sz w:val="18"/>
                      <w:szCs w:val="18"/>
                      <w:highlight w:val="none"/>
                      <w:lang w:val="en-US" w:eastAsia="zh-CN"/>
                    </w:rPr>
                  </w:pPr>
                </w:p>
              </w:tc>
              <w:tc>
                <w:tcPr>
                  <w:tcW w:w="344" w:type="pct"/>
                  <w:noWrap w:val="0"/>
                  <w:vAlign w:val="center"/>
                </w:tcPr>
                <w:p w14:paraId="5C66406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5BD47FD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0CD5D99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-102</w:t>
                  </w:r>
                </w:p>
              </w:tc>
              <w:tc>
                <w:tcPr>
                  <w:tcW w:w="260" w:type="pct"/>
                  <w:noWrap w:val="0"/>
                  <w:vAlign w:val="center"/>
                </w:tcPr>
                <w:p w14:paraId="0F46684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25</w:t>
                  </w:r>
                </w:p>
              </w:tc>
              <w:tc>
                <w:tcPr>
                  <w:tcW w:w="244" w:type="pct"/>
                  <w:noWrap w:val="0"/>
                  <w:vAlign w:val="center"/>
                </w:tcPr>
                <w:p w14:paraId="2E7C8E9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46BDFA4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698D15C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70</w:t>
                  </w:r>
                  <w:r>
                    <w:rPr>
                      <w:rFonts w:hint="default" w:ascii="Times New Roman" w:hAnsi="Times New Roman" w:eastAsia="宋体" w:cs="Times New Roman"/>
                      <w:snapToGrid w:val="0"/>
                      <w:color w:val="auto"/>
                      <w:spacing w:val="0"/>
                      <w:kern w:val="0"/>
                      <w:sz w:val="18"/>
                      <w:szCs w:val="18"/>
                      <w:highlight w:val="none"/>
                      <w:lang w:val="en-US" w:eastAsia="zh-CN"/>
                    </w:rPr>
                    <w:t>m</w:t>
                  </w:r>
                </w:p>
                <w:p w14:paraId="0C81F74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42A020C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24</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1AC3B32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东：49.4</w:t>
                  </w:r>
                </w:p>
                <w:p w14:paraId="6B38F59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48.1</w:t>
                  </w:r>
                </w:p>
                <w:p w14:paraId="57246A6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西：52.0</w:t>
                  </w:r>
                </w:p>
                <w:p w14:paraId="7B78795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57.4</w:t>
                  </w:r>
                </w:p>
              </w:tc>
              <w:tc>
                <w:tcPr>
                  <w:tcW w:w="157" w:type="pct"/>
                  <w:vMerge w:val="continue"/>
                  <w:noWrap w:val="0"/>
                  <w:vAlign w:val="center"/>
                </w:tcPr>
                <w:p w14:paraId="3D29242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695518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423DDB9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东：29.4</w:t>
                  </w:r>
                </w:p>
                <w:p w14:paraId="3EF69FE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28.1</w:t>
                  </w:r>
                </w:p>
                <w:p w14:paraId="0C1E70B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西：32.0</w:t>
                  </w:r>
                </w:p>
                <w:p w14:paraId="2351CB8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37.4</w:t>
                  </w:r>
                </w:p>
              </w:tc>
              <w:tc>
                <w:tcPr>
                  <w:tcW w:w="288" w:type="pct"/>
                  <w:noWrap w:val="0"/>
                  <w:vAlign w:val="center"/>
                </w:tcPr>
                <w:p w14:paraId="5C5DADD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324E4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5672F65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26</w:t>
                  </w:r>
                </w:p>
              </w:tc>
              <w:tc>
                <w:tcPr>
                  <w:tcW w:w="189" w:type="pct"/>
                  <w:vMerge w:val="continue"/>
                  <w:noWrap w:val="0"/>
                  <w:vAlign w:val="center"/>
                </w:tcPr>
                <w:p w14:paraId="1DDBAA6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0F0C591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21</w:t>
                  </w:r>
                </w:p>
              </w:tc>
              <w:tc>
                <w:tcPr>
                  <w:tcW w:w="514" w:type="pct"/>
                  <w:vMerge w:val="continue"/>
                  <w:noWrap w:val="0"/>
                  <w:vAlign w:val="center"/>
                </w:tcPr>
                <w:p w14:paraId="1BBEA73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FF0000"/>
                      <w:sz w:val="18"/>
                      <w:szCs w:val="18"/>
                      <w:highlight w:val="none"/>
                      <w:lang w:val="en-US" w:eastAsia="zh-CN"/>
                    </w:rPr>
                  </w:pPr>
                </w:p>
              </w:tc>
              <w:tc>
                <w:tcPr>
                  <w:tcW w:w="344" w:type="pct"/>
                  <w:noWrap w:val="0"/>
                  <w:vAlign w:val="center"/>
                </w:tcPr>
                <w:p w14:paraId="4108E3C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0C422DA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331D676E">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-104</w:t>
                  </w:r>
                </w:p>
              </w:tc>
              <w:tc>
                <w:tcPr>
                  <w:tcW w:w="260" w:type="pct"/>
                  <w:noWrap w:val="0"/>
                  <w:vAlign w:val="center"/>
                </w:tcPr>
                <w:p w14:paraId="2FDB0D05">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22</w:t>
                  </w:r>
                </w:p>
              </w:tc>
              <w:tc>
                <w:tcPr>
                  <w:tcW w:w="244" w:type="pct"/>
                  <w:noWrap w:val="0"/>
                  <w:vAlign w:val="center"/>
                </w:tcPr>
                <w:p w14:paraId="74F2B1B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20E5303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59</w:t>
                  </w:r>
                  <w:r>
                    <w:rPr>
                      <w:rFonts w:hint="default" w:ascii="Times New Roman" w:hAnsi="Times New Roman" w:eastAsia="宋体" w:cs="Times New Roman"/>
                      <w:snapToGrid w:val="0"/>
                      <w:color w:val="auto"/>
                      <w:spacing w:val="0"/>
                      <w:kern w:val="0"/>
                      <w:sz w:val="18"/>
                      <w:szCs w:val="18"/>
                      <w:highlight w:val="none"/>
                      <w:lang w:val="en-US" w:eastAsia="zh-CN"/>
                    </w:rPr>
                    <w:t>m</w:t>
                  </w:r>
                </w:p>
                <w:p w14:paraId="7A57D48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69</w:t>
                  </w:r>
                  <w:r>
                    <w:rPr>
                      <w:rFonts w:hint="default" w:ascii="Times New Roman" w:hAnsi="Times New Roman" w:eastAsia="宋体" w:cs="Times New Roman"/>
                      <w:snapToGrid w:val="0"/>
                      <w:color w:val="auto"/>
                      <w:spacing w:val="0"/>
                      <w:kern w:val="0"/>
                      <w:sz w:val="18"/>
                      <w:szCs w:val="18"/>
                      <w:highlight w:val="none"/>
                      <w:lang w:val="en-US" w:eastAsia="zh-CN"/>
                    </w:rPr>
                    <w:t>m</w:t>
                  </w:r>
                </w:p>
                <w:p w14:paraId="77E61FD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r>
                    <w:rPr>
                      <w:rFonts w:hint="default" w:ascii="Times New Roman" w:hAnsi="Times New Roman" w:eastAsia="宋体" w:cs="Times New Roman"/>
                      <w:snapToGrid w:val="0"/>
                      <w:color w:val="auto"/>
                      <w:spacing w:val="0"/>
                      <w:kern w:val="0"/>
                      <w:sz w:val="18"/>
                      <w:szCs w:val="18"/>
                      <w:highlight w:val="none"/>
                      <w:lang w:val="en-US" w:eastAsia="zh-CN"/>
                    </w:rPr>
                    <w:t>m</w:t>
                  </w:r>
                </w:p>
                <w:p w14:paraId="2DBB0AD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438486C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东：49.6</w:t>
                  </w:r>
                </w:p>
                <w:p w14:paraId="20EA263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48.2</w:t>
                  </w:r>
                </w:p>
                <w:p w14:paraId="457AC7D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西：51.9</w:t>
                  </w:r>
                </w:p>
                <w:p w14:paraId="69E3790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57.0</w:t>
                  </w:r>
                </w:p>
              </w:tc>
              <w:tc>
                <w:tcPr>
                  <w:tcW w:w="157" w:type="pct"/>
                  <w:vMerge w:val="continue"/>
                  <w:noWrap w:val="0"/>
                  <w:vAlign w:val="center"/>
                </w:tcPr>
                <w:p w14:paraId="1C27B5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7B91D6A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60A0D9F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东：29.6</w:t>
                  </w:r>
                </w:p>
                <w:p w14:paraId="78AB660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28.2</w:t>
                  </w:r>
                </w:p>
                <w:p w14:paraId="3170290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西：31.9</w:t>
                  </w:r>
                </w:p>
                <w:p w14:paraId="1919B4C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37.0</w:t>
                  </w:r>
                </w:p>
              </w:tc>
              <w:tc>
                <w:tcPr>
                  <w:tcW w:w="288" w:type="pct"/>
                  <w:noWrap w:val="0"/>
                  <w:vAlign w:val="center"/>
                </w:tcPr>
                <w:p w14:paraId="090F8C8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296B7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445EBFF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27</w:t>
                  </w:r>
                </w:p>
              </w:tc>
              <w:tc>
                <w:tcPr>
                  <w:tcW w:w="189" w:type="pct"/>
                  <w:vMerge w:val="continue"/>
                  <w:noWrap w:val="0"/>
                  <w:vAlign w:val="center"/>
                </w:tcPr>
                <w:p w14:paraId="0CE3A85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17AB02F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22</w:t>
                  </w:r>
                </w:p>
              </w:tc>
              <w:tc>
                <w:tcPr>
                  <w:tcW w:w="514" w:type="pct"/>
                  <w:vMerge w:val="continue"/>
                  <w:noWrap w:val="0"/>
                  <w:vAlign w:val="center"/>
                </w:tcPr>
                <w:p w14:paraId="02F1B41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FF0000"/>
                      <w:sz w:val="18"/>
                      <w:szCs w:val="18"/>
                      <w:highlight w:val="none"/>
                      <w:lang w:val="en-US" w:eastAsia="zh-CN"/>
                    </w:rPr>
                  </w:pPr>
                </w:p>
              </w:tc>
              <w:tc>
                <w:tcPr>
                  <w:tcW w:w="344" w:type="pct"/>
                  <w:noWrap w:val="0"/>
                  <w:vAlign w:val="center"/>
                </w:tcPr>
                <w:p w14:paraId="3F3FA9B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2CA598B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3F4DD0C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-102</w:t>
                  </w:r>
                </w:p>
              </w:tc>
              <w:tc>
                <w:tcPr>
                  <w:tcW w:w="260" w:type="pct"/>
                  <w:noWrap w:val="0"/>
                  <w:vAlign w:val="center"/>
                </w:tcPr>
                <w:p w14:paraId="6F6800A1">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22</w:t>
                  </w:r>
                </w:p>
              </w:tc>
              <w:tc>
                <w:tcPr>
                  <w:tcW w:w="244" w:type="pct"/>
                  <w:noWrap w:val="0"/>
                  <w:vAlign w:val="center"/>
                </w:tcPr>
                <w:p w14:paraId="72F9D43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681FEA6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7FC90F6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69</w:t>
                  </w:r>
                  <w:r>
                    <w:rPr>
                      <w:rFonts w:hint="default" w:ascii="Times New Roman" w:hAnsi="Times New Roman" w:eastAsia="宋体" w:cs="Times New Roman"/>
                      <w:snapToGrid w:val="0"/>
                      <w:color w:val="auto"/>
                      <w:spacing w:val="0"/>
                      <w:kern w:val="0"/>
                      <w:sz w:val="18"/>
                      <w:szCs w:val="18"/>
                      <w:highlight w:val="none"/>
                      <w:lang w:val="en-US" w:eastAsia="zh-CN"/>
                    </w:rPr>
                    <w:t>m</w:t>
                  </w:r>
                </w:p>
                <w:p w14:paraId="57D36EA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4047D1E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16F1549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东：49.4</w:t>
                  </w:r>
                </w:p>
                <w:p w14:paraId="18CEDF7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48.2</w:t>
                  </w:r>
                </w:p>
                <w:p w14:paraId="0CE0F1D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西：52.0</w:t>
                  </w:r>
                </w:p>
                <w:p w14:paraId="7E60665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57.0</w:t>
                  </w:r>
                </w:p>
              </w:tc>
              <w:tc>
                <w:tcPr>
                  <w:tcW w:w="157" w:type="pct"/>
                  <w:vMerge w:val="continue"/>
                  <w:noWrap w:val="0"/>
                  <w:vAlign w:val="center"/>
                </w:tcPr>
                <w:p w14:paraId="112BD7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586EDB0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65D3AA9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东：29.4</w:t>
                  </w:r>
                </w:p>
                <w:p w14:paraId="0B15B7D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28.2</w:t>
                  </w:r>
                </w:p>
                <w:p w14:paraId="1C8A7B2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西：32.0</w:t>
                  </w:r>
                </w:p>
                <w:p w14:paraId="3478683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37.0</w:t>
                  </w:r>
                </w:p>
              </w:tc>
              <w:tc>
                <w:tcPr>
                  <w:tcW w:w="288" w:type="pct"/>
                  <w:noWrap w:val="0"/>
                  <w:vAlign w:val="center"/>
                </w:tcPr>
                <w:p w14:paraId="44CF259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94CD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19E650E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28</w:t>
                  </w:r>
                </w:p>
              </w:tc>
              <w:tc>
                <w:tcPr>
                  <w:tcW w:w="189" w:type="pct"/>
                  <w:vMerge w:val="continue"/>
                  <w:noWrap w:val="0"/>
                  <w:vAlign w:val="center"/>
                </w:tcPr>
                <w:p w14:paraId="4143932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7246A76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23</w:t>
                  </w:r>
                </w:p>
              </w:tc>
              <w:tc>
                <w:tcPr>
                  <w:tcW w:w="514" w:type="pct"/>
                  <w:vMerge w:val="continue"/>
                  <w:noWrap w:val="0"/>
                  <w:vAlign w:val="center"/>
                </w:tcPr>
                <w:p w14:paraId="053601A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FF0000"/>
                      <w:sz w:val="18"/>
                      <w:szCs w:val="18"/>
                      <w:highlight w:val="none"/>
                      <w:lang w:val="en-US" w:eastAsia="zh-CN"/>
                    </w:rPr>
                  </w:pPr>
                </w:p>
              </w:tc>
              <w:tc>
                <w:tcPr>
                  <w:tcW w:w="344" w:type="pct"/>
                  <w:noWrap w:val="0"/>
                  <w:vAlign w:val="center"/>
                </w:tcPr>
                <w:p w14:paraId="56AFD0F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7F3F494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6C0BF1C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-104</w:t>
                  </w:r>
                </w:p>
              </w:tc>
              <w:tc>
                <w:tcPr>
                  <w:tcW w:w="260" w:type="pct"/>
                  <w:noWrap w:val="0"/>
                  <w:vAlign w:val="center"/>
                </w:tcPr>
                <w:p w14:paraId="14E5815A">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19</w:t>
                  </w:r>
                </w:p>
              </w:tc>
              <w:tc>
                <w:tcPr>
                  <w:tcW w:w="244" w:type="pct"/>
                  <w:noWrap w:val="0"/>
                  <w:vAlign w:val="center"/>
                </w:tcPr>
                <w:p w14:paraId="63DF50D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1D88CA0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56</w:t>
                  </w:r>
                  <w:r>
                    <w:rPr>
                      <w:rFonts w:hint="default" w:ascii="Times New Roman" w:hAnsi="Times New Roman" w:eastAsia="宋体" w:cs="Times New Roman"/>
                      <w:snapToGrid w:val="0"/>
                      <w:color w:val="auto"/>
                      <w:spacing w:val="0"/>
                      <w:kern w:val="0"/>
                      <w:sz w:val="18"/>
                      <w:szCs w:val="18"/>
                      <w:highlight w:val="none"/>
                      <w:lang w:val="en-US" w:eastAsia="zh-CN"/>
                    </w:rPr>
                    <w:t>m</w:t>
                  </w:r>
                </w:p>
                <w:p w14:paraId="7BACA1D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68</w:t>
                  </w:r>
                  <w:r>
                    <w:rPr>
                      <w:rFonts w:hint="default" w:ascii="Times New Roman" w:hAnsi="Times New Roman" w:eastAsia="宋体" w:cs="Times New Roman"/>
                      <w:snapToGrid w:val="0"/>
                      <w:color w:val="auto"/>
                      <w:spacing w:val="0"/>
                      <w:kern w:val="0"/>
                      <w:sz w:val="18"/>
                      <w:szCs w:val="18"/>
                      <w:highlight w:val="none"/>
                      <w:lang w:val="en-US" w:eastAsia="zh-CN"/>
                    </w:rPr>
                    <w:t>m</w:t>
                  </w:r>
                </w:p>
                <w:p w14:paraId="7990B02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r>
                    <w:rPr>
                      <w:rFonts w:hint="default" w:ascii="Times New Roman" w:hAnsi="Times New Roman" w:eastAsia="宋体" w:cs="Times New Roman"/>
                      <w:snapToGrid w:val="0"/>
                      <w:color w:val="auto"/>
                      <w:spacing w:val="0"/>
                      <w:kern w:val="0"/>
                      <w:sz w:val="18"/>
                      <w:szCs w:val="18"/>
                      <w:highlight w:val="none"/>
                      <w:lang w:val="en-US" w:eastAsia="zh-CN"/>
                    </w:rPr>
                    <w:t>m</w:t>
                  </w:r>
                </w:p>
                <w:p w14:paraId="30F8D94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26</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03E30D6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东：49.6</w:t>
                  </w:r>
                </w:p>
                <w:p w14:paraId="7857C1F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48.3</w:t>
                  </w:r>
                </w:p>
                <w:p w14:paraId="2A9611D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西：51.9</w:t>
                  </w:r>
                </w:p>
                <w:p w14:paraId="0AC81D3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56.7</w:t>
                  </w:r>
                </w:p>
              </w:tc>
              <w:tc>
                <w:tcPr>
                  <w:tcW w:w="157" w:type="pct"/>
                  <w:vMerge w:val="continue"/>
                  <w:noWrap w:val="0"/>
                  <w:vAlign w:val="center"/>
                </w:tcPr>
                <w:p w14:paraId="47FBC6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2F22D45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299B6E9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东：29.6</w:t>
                  </w:r>
                </w:p>
                <w:p w14:paraId="6F9D285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28.3</w:t>
                  </w:r>
                </w:p>
                <w:p w14:paraId="2B24E08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西：31.9</w:t>
                  </w:r>
                </w:p>
                <w:p w14:paraId="202A4D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36.7</w:t>
                  </w:r>
                </w:p>
              </w:tc>
              <w:tc>
                <w:tcPr>
                  <w:tcW w:w="288" w:type="pct"/>
                  <w:noWrap w:val="0"/>
                  <w:vAlign w:val="center"/>
                </w:tcPr>
                <w:p w14:paraId="2454396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76B61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3445335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cs="Times New Roman"/>
                      <w:snapToGrid w:val="0"/>
                      <w:color w:val="auto"/>
                      <w:spacing w:val="0"/>
                      <w:kern w:val="0"/>
                      <w:sz w:val="18"/>
                      <w:szCs w:val="18"/>
                      <w:highlight w:val="none"/>
                      <w:lang w:val="en-US" w:eastAsia="zh-CN"/>
                    </w:rPr>
                    <w:t>29</w:t>
                  </w:r>
                </w:p>
              </w:tc>
              <w:tc>
                <w:tcPr>
                  <w:tcW w:w="189" w:type="pct"/>
                  <w:vMerge w:val="continue"/>
                  <w:noWrap w:val="0"/>
                  <w:vAlign w:val="center"/>
                </w:tcPr>
                <w:p w14:paraId="281D7C5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32C4D14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24</w:t>
                  </w:r>
                </w:p>
              </w:tc>
              <w:tc>
                <w:tcPr>
                  <w:tcW w:w="514" w:type="pct"/>
                  <w:vMerge w:val="continue"/>
                  <w:noWrap w:val="0"/>
                  <w:vAlign w:val="center"/>
                </w:tcPr>
                <w:p w14:paraId="7322EE6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FF0000"/>
                      <w:sz w:val="18"/>
                      <w:szCs w:val="18"/>
                      <w:highlight w:val="none"/>
                      <w:lang w:val="en-US" w:eastAsia="zh-CN"/>
                    </w:rPr>
                  </w:pPr>
                </w:p>
              </w:tc>
              <w:tc>
                <w:tcPr>
                  <w:tcW w:w="344" w:type="pct"/>
                  <w:noWrap w:val="0"/>
                  <w:vAlign w:val="center"/>
                </w:tcPr>
                <w:p w14:paraId="3ABFC7F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1D42A8C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2EEA321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-102</w:t>
                  </w:r>
                </w:p>
              </w:tc>
              <w:tc>
                <w:tcPr>
                  <w:tcW w:w="260" w:type="pct"/>
                  <w:noWrap w:val="0"/>
                  <w:vAlign w:val="center"/>
                </w:tcPr>
                <w:p w14:paraId="556DD45A">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19</w:t>
                  </w:r>
                </w:p>
              </w:tc>
              <w:tc>
                <w:tcPr>
                  <w:tcW w:w="244" w:type="pct"/>
                  <w:noWrap w:val="0"/>
                  <w:vAlign w:val="center"/>
                </w:tcPr>
                <w:p w14:paraId="7C92AAE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3D4B3CC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3B2B2F2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68</w:t>
                  </w:r>
                  <w:r>
                    <w:rPr>
                      <w:rFonts w:hint="default" w:ascii="Times New Roman" w:hAnsi="Times New Roman" w:eastAsia="宋体" w:cs="Times New Roman"/>
                      <w:snapToGrid w:val="0"/>
                      <w:color w:val="auto"/>
                      <w:spacing w:val="0"/>
                      <w:kern w:val="0"/>
                      <w:sz w:val="18"/>
                      <w:szCs w:val="18"/>
                      <w:highlight w:val="none"/>
                      <w:lang w:val="en-US" w:eastAsia="zh-CN"/>
                    </w:rPr>
                    <w:t>m</w:t>
                  </w:r>
                </w:p>
                <w:p w14:paraId="305FC71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0770F39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26</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32A34FF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东：49.4</w:t>
                  </w:r>
                </w:p>
                <w:p w14:paraId="20D5BBA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48.3</w:t>
                  </w:r>
                </w:p>
                <w:p w14:paraId="0738D62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西：52.0</w:t>
                  </w:r>
                </w:p>
                <w:p w14:paraId="0399CF7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56.7</w:t>
                  </w:r>
                </w:p>
              </w:tc>
              <w:tc>
                <w:tcPr>
                  <w:tcW w:w="157" w:type="pct"/>
                  <w:vMerge w:val="continue"/>
                  <w:noWrap w:val="0"/>
                  <w:vAlign w:val="center"/>
                </w:tcPr>
                <w:p w14:paraId="6FBEDE2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49E3D1A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0A0F97A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东：29.4</w:t>
                  </w:r>
                </w:p>
                <w:p w14:paraId="0B3FB55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28.3</w:t>
                  </w:r>
                </w:p>
                <w:p w14:paraId="2B74573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西：32.0</w:t>
                  </w:r>
                </w:p>
                <w:p w14:paraId="2A66330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36.7</w:t>
                  </w:r>
                </w:p>
              </w:tc>
              <w:tc>
                <w:tcPr>
                  <w:tcW w:w="288" w:type="pct"/>
                  <w:noWrap w:val="0"/>
                  <w:vAlign w:val="center"/>
                </w:tcPr>
                <w:p w14:paraId="3DD6A4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6B985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05F7A5E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30</w:t>
                  </w:r>
                </w:p>
              </w:tc>
              <w:tc>
                <w:tcPr>
                  <w:tcW w:w="189" w:type="pct"/>
                  <w:vMerge w:val="continue"/>
                  <w:noWrap w:val="0"/>
                  <w:vAlign w:val="center"/>
                </w:tcPr>
                <w:p w14:paraId="603DC1B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6940B93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25</w:t>
                  </w:r>
                </w:p>
              </w:tc>
              <w:tc>
                <w:tcPr>
                  <w:tcW w:w="514" w:type="pct"/>
                  <w:vMerge w:val="continue"/>
                  <w:noWrap w:val="0"/>
                  <w:vAlign w:val="center"/>
                </w:tcPr>
                <w:p w14:paraId="7FCE157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FF0000"/>
                      <w:sz w:val="18"/>
                      <w:szCs w:val="18"/>
                      <w:highlight w:val="none"/>
                      <w:lang w:val="en-US" w:eastAsia="zh-CN"/>
                    </w:rPr>
                  </w:pPr>
                </w:p>
              </w:tc>
              <w:tc>
                <w:tcPr>
                  <w:tcW w:w="344" w:type="pct"/>
                  <w:noWrap w:val="0"/>
                  <w:vAlign w:val="center"/>
                </w:tcPr>
                <w:p w14:paraId="09BD6D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071DA7A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7F172124">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-104</w:t>
                  </w:r>
                </w:p>
              </w:tc>
              <w:tc>
                <w:tcPr>
                  <w:tcW w:w="260" w:type="pct"/>
                  <w:noWrap w:val="0"/>
                  <w:vAlign w:val="center"/>
                </w:tcPr>
                <w:p w14:paraId="14D19F0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17</w:t>
                  </w:r>
                </w:p>
              </w:tc>
              <w:tc>
                <w:tcPr>
                  <w:tcW w:w="244" w:type="pct"/>
                  <w:noWrap w:val="0"/>
                  <w:vAlign w:val="center"/>
                </w:tcPr>
                <w:p w14:paraId="1CFB7F3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1F5303B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59</w:t>
                  </w:r>
                  <w:r>
                    <w:rPr>
                      <w:rFonts w:hint="default" w:ascii="Times New Roman" w:hAnsi="Times New Roman" w:eastAsia="宋体" w:cs="Times New Roman"/>
                      <w:snapToGrid w:val="0"/>
                      <w:color w:val="auto"/>
                      <w:spacing w:val="0"/>
                      <w:kern w:val="0"/>
                      <w:sz w:val="18"/>
                      <w:szCs w:val="18"/>
                      <w:highlight w:val="none"/>
                      <w:lang w:val="en-US" w:eastAsia="zh-CN"/>
                    </w:rPr>
                    <w:t>m</w:t>
                  </w:r>
                </w:p>
                <w:p w14:paraId="2A0EA2E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68</w:t>
                  </w:r>
                  <w:r>
                    <w:rPr>
                      <w:rFonts w:hint="default" w:ascii="Times New Roman" w:hAnsi="Times New Roman" w:eastAsia="宋体" w:cs="Times New Roman"/>
                      <w:snapToGrid w:val="0"/>
                      <w:color w:val="auto"/>
                      <w:spacing w:val="0"/>
                      <w:kern w:val="0"/>
                      <w:sz w:val="18"/>
                      <w:szCs w:val="18"/>
                      <w:highlight w:val="none"/>
                      <w:lang w:val="en-US" w:eastAsia="zh-CN"/>
                    </w:rPr>
                    <w:t>m</w:t>
                  </w:r>
                </w:p>
                <w:p w14:paraId="66DBBEB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r>
                    <w:rPr>
                      <w:rFonts w:hint="default" w:ascii="Times New Roman" w:hAnsi="Times New Roman" w:eastAsia="宋体" w:cs="Times New Roman"/>
                      <w:snapToGrid w:val="0"/>
                      <w:color w:val="auto"/>
                      <w:spacing w:val="0"/>
                      <w:kern w:val="0"/>
                      <w:sz w:val="18"/>
                      <w:szCs w:val="18"/>
                      <w:highlight w:val="none"/>
                      <w:lang w:val="en-US" w:eastAsia="zh-CN"/>
                    </w:rPr>
                    <w:t>m</w:t>
                  </w:r>
                </w:p>
                <w:p w14:paraId="0CA0F8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27</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4B531AA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东：49.6</w:t>
                  </w:r>
                </w:p>
                <w:p w14:paraId="72225F9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48.3</w:t>
                  </w:r>
                </w:p>
                <w:p w14:paraId="69B6F78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西：51.9</w:t>
                  </w:r>
                </w:p>
                <w:p w14:paraId="159C4B1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56.4</w:t>
                  </w:r>
                </w:p>
              </w:tc>
              <w:tc>
                <w:tcPr>
                  <w:tcW w:w="157" w:type="pct"/>
                  <w:vMerge w:val="continue"/>
                  <w:noWrap w:val="0"/>
                  <w:vAlign w:val="center"/>
                </w:tcPr>
                <w:p w14:paraId="7D349E6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3E2CEF5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4529695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东：29.6</w:t>
                  </w:r>
                </w:p>
                <w:p w14:paraId="14E3DF7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28.3</w:t>
                  </w:r>
                </w:p>
                <w:p w14:paraId="5DFA3D3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西：31.9</w:t>
                  </w:r>
                </w:p>
                <w:p w14:paraId="704A6E8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36.4</w:t>
                  </w:r>
                </w:p>
              </w:tc>
              <w:tc>
                <w:tcPr>
                  <w:tcW w:w="288" w:type="pct"/>
                  <w:noWrap w:val="0"/>
                  <w:vAlign w:val="center"/>
                </w:tcPr>
                <w:p w14:paraId="5A739CC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3EBDA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0A0BBC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31</w:t>
                  </w:r>
                </w:p>
              </w:tc>
              <w:tc>
                <w:tcPr>
                  <w:tcW w:w="189" w:type="pct"/>
                  <w:vMerge w:val="continue"/>
                  <w:noWrap w:val="0"/>
                  <w:vAlign w:val="center"/>
                </w:tcPr>
                <w:p w14:paraId="0B0D0A9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6F64F47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26</w:t>
                  </w:r>
                </w:p>
              </w:tc>
              <w:tc>
                <w:tcPr>
                  <w:tcW w:w="514" w:type="pct"/>
                  <w:vMerge w:val="continue"/>
                  <w:noWrap w:val="0"/>
                  <w:vAlign w:val="center"/>
                </w:tcPr>
                <w:p w14:paraId="3EE737B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FF0000"/>
                      <w:sz w:val="18"/>
                      <w:szCs w:val="18"/>
                      <w:highlight w:val="none"/>
                      <w:lang w:val="en-US" w:eastAsia="zh-CN"/>
                    </w:rPr>
                  </w:pPr>
                </w:p>
              </w:tc>
              <w:tc>
                <w:tcPr>
                  <w:tcW w:w="344" w:type="pct"/>
                  <w:noWrap w:val="0"/>
                  <w:vAlign w:val="center"/>
                </w:tcPr>
                <w:p w14:paraId="73E3FF0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3899BAE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41C3FA58">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-102</w:t>
                  </w:r>
                </w:p>
              </w:tc>
              <w:tc>
                <w:tcPr>
                  <w:tcW w:w="260" w:type="pct"/>
                  <w:noWrap w:val="0"/>
                  <w:vAlign w:val="center"/>
                </w:tcPr>
                <w:p w14:paraId="426E7C58">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17</w:t>
                  </w:r>
                </w:p>
              </w:tc>
              <w:tc>
                <w:tcPr>
                  <w:tcW w:w="244" w:type="pct"/>
                  <w:noWrap w:val="0"/>
                  <w:vAlign w:val="center"/>
                </w:tcPr>
                <w:p w14:paraId="1AECFC1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2EDF6CA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265F718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68</w:t>
                  </w:r>
                  <w:r>
                    <w:rPr>
                      <w:rFonts w:hint="default" w:ascii="Times New Roman" w:hAnsi="Times New Roman" w:eastAsia="宋体" w:cs="Times New Roman"/>
                      <w:snapToGrid w:val="0"/>
                      <w:color w:val="auto"/>
                      <w:spacing w:val="0"/>
                      <w:kern w:val="0"/>
                      <w:sz w:val="18"/>
                      <w:szCs w:val="18"/>
                      <w:highlight w:val="none"/>
                      <w:lang w:val="en-US" w:eastAsia="zh-CN"/>
                    </w:rPr>
                    <w:t>m</w:t>
                  </w:r>
                </w:p>
                <w:p w14:paraId="0D20263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22ACD95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27</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5765B3C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东：49.4</w:t>
                  </w:r>
                </w:p>
                <w:p w14:paraId="47B732C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48.3</w:t>
                  </w:r>
                </w:p>
                <w:p w14:paraId="4243662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西：52.0</w:t>
                  </w:r>
                </w:p>
                <w:p w14:paraId="673C1E3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56.4</w:t>
                  </w:r>
                </w:p>
              </w:tc>
              <w:tc>
                <w:tcPr>
                  <w:tcW w:w="157" w:type="pct"/>
                  <w:vMerge w:val="continue"/>
                  <w:noWrap w:val="0"/>
                  <w:vAlign w:val="center"/>
                </w:tcPr>
                <w:p w14:paraId="3ABCE78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530D58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5FDD1D3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东：29.4</w:t>
                  </w:r>
                </w:p>
                <w:p w14:paraId="79C9A62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28.3</w:t>
                  </w:r>
                </w:p>
                <w:p w14:paraId="287A335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西：32.0</w:t>
                  </w:r>
                </w:p>
                <w:p w14:paraId="7FAF4A3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36.4</w:t>
                  </w:r>
                </w:p>
              </w:tc>
              <w:tc>
                <w:tcPr>
                  <w:tcW w:w="288" w:type="pct"/>
                  <w:noWrap w:val="0"/>
                  <w:vAlign w:val="center"/>
                </w:tcPr>
                <w:p w14:paraId="11A5A8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189C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08D99EF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32</w:t>
                  </w:r>
                </w:p>
              </w:tc>
              <w:tc>
                <w:tcPr>
                  <w:tcW w:w="189" w:type="pct"/>
                  <w:vMerge w:val="continue"/>
                  <w:noWrap w:val="0"/>
                  <w:vAlign w:val="center"/>
                </w:tcPr>
                <w:p w14:paraId="25A8B21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174AD99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27</w:t>
                  </w:r>
                </w:p>
              </w:tc>
              <w:tc>
                <w:tcPr>
                  <w:tcW w:w="514" w:type="pct"/>
                  <w:vMerge w:val="continue"/>
                  <w:noWrap w:val="0"/>
                  <w:vAlign w:val="center"/>
                </w:tcPr>
                <w:p w14:paraId="07CB480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FF0000"/>
                      <w:sz w:val="18"/>
                      <w:szCs w:val="18"/>
                      <w:highlight w:val="none"/>
                      <w:lang w:val="en-US" w:eastAsia="zh-CN"/>
                    </w:rPr>
                  </w:pPr>
                </w:p>
              </w:tc>
              <w:tc>
                <w:tcPr>
                  <w:tcW w:w="344" w:type="pct"/>
                  <w:noWrap w:val="0"/>
                  <w:vAlign w:val="center"/>
                </w:tcPr>
                <w:p w14:paraId="275C0AD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568B8F5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496418C9">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-104</w:t>
                  </w:r>
                </w:p>
              </w:tc>
              <w:tc>
                <w:tcPr>
                  <w:tcW w:w="260" w:type="pct"/>
                  <w:noWrap w:val="0"/>
                  <w:vAlign w:val="center"/>
                </w:tcPr>
                <w:p w14:paraId="66533487">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14</w:t>
                  </w:r>
                </w:p>
              </w:tc>
              <w:tc>
                <w:tcPr>
                  <w:tcW w:w="244" w:type="pct"/>
                  <w:noWrap w:val="0"/>
                  <w:vAlign w:val="center"/>
                </w:tcPr>
                <w:p w14:paraId="322D120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60074B4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59</w:t>
                  </w:r>
                  <w:r>
                    <w:rPr>
                      <w:rFonts w:hint="default" w:ascii="Times New Roman" w:hAnsi="Times New Roman" w:eastAsia="宋体" w:cs="Times New Roman"/>
                      <w:snapToGrid w:val="0"/>
                      <w:color w:val="auto"/>
                      <w:spacing w:val="0"/>
                      <w:kern w:val="0"/>
                      <w:sz w:val="18"/>
                      <w:szCs w:val="18"/>
                      <w:highlight w:val="none"/>
                      <w:lang w:val="en-US" w:eastAsia="zh-CN"/>
                    </w:rPr>
                    <w:t>m</w:t>
                  </w:r>
                </w:p>
                <w:p w14:paraId="35CC103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67</w:t>
                  </w:r>
                  <w:r>
                    <w:rPr>
                      <w:rFonts w:hint="default" w:ascii="Times New Roman" w:hAnsi="Times New Roman" w:eastAsia="宋体" w:cs="Times New Roman"/>
                      <w:snapToGrid w:val="0"/>
                      <w:color w:val="auto"/>
                      <w:spacing w:val="0"/>
                      <w:kern w:val="0"/>
                      <w:sz w:val="18"/>
                      <w:szCs w:val="18"/>
                      <w:highlight w:val="none"/>
                      <w:lang w:val="en-US" w:eastAsia="zh-CN"/>
                    </w:rPr>
                    <w:t>m</w:t>
                  </w:r>
                </w:p>
                <w:p w14:paraId="135F6E2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r>
                    <w:rPr>
                      <w:rFonts w:hint="default" w:ascii="Times New Roman" w:hAnsi="Times New Roman" w:eastAsia="宋体" w:cs="Times New Roman"/>
                      <w:snapToGrid w:val="0"/>
                      <w:color w:val="auto"/>
                      <w:spacing w:val="0"/>
                      <w:kern w:val="0"/>
                      <w:sz w:val="18"/>
                      <w:szCs w:val="18"/>
                      <w:highlight w:val="none"/>
                      <w:lang w:val="en-US" w:eastAsia="zh-CN"/>
                    </w:rPr>
                    <w:t>m</w:t>
                  </w:r>
                </w:p>
                <w:p w14:paraId="24E62E5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28</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17D6166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东：49.6</w:t>
                  </w:r>
                </w:p>
                <w:p w14:paraId="070A524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48.4</w:t>
                  </w:r>
                </w:p>
                <w:p w14:paraId="612FE75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西：51.9</w:t>
                  </w:r>
                </w:p>
                <w:p w14:paraId="000DB26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56.0</w:t>
                  </w:r>
                </w:p>
              </w:tc>
              <w:tc>
                <w:tcPr>
                  <w:tcW w:w="157" w:type="pct"/>
                  <w:vMerge w:val="continue"/>
                  <w:noWrap w:val="0"/>
                  <w:vAlign w:val="center"/>
                </w:tcPr>
                <w:p w14:paraId="7A0E190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3FC523A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7F886FF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东：29.6</w:t>
                  </w:r>
                </w:p>
                <w:p w14:paraId="2EBDBCD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28.4</w:t>
                  </w:r>
                </w:p>
                <w:p w14:paraId="25B8400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西：31.9</w:t>
                  </w:r>
                </w:p>
                <w:p w14:paraId="52DEC9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36.0</w:t>
                  </w:r>
                </w:p>
              </w:tc>
              <w:tc>
                <w:tcPr>
                  <w:tcW w:w="288" w:type="pct"/>
                  <w:noWrap w:val="0"/>
                  <w:vAlign w:val="center"/>
                </w:tcPr>
                <w:p w14:paraId="210FEB9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5008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2" w:hRule="atLeast"/>
              </w:trPr>
              <w:tc>
                <w:tcPr>
                  <w:tcW w:w="115" w:type="pct"/>
                  <w:shd w:val="clear" w:color="auto" w:fill="auto"/>
                  <w:noWrap w:val="0"/>
                  <w:vAlign w:val="center"/>
                </w:tcPr>
                <w:p w14:paraId="21174C9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33</w:t>
                  </w:r>
                </w:p>
              </w:tc>
              <w:tc>
                <w:tcPr>
                  <w:tcW w:w="189" w:type="pct"/>
                  <w:vMerge w:val="continue"/>
                  <w:noWrap w:val="0"/>
                  <w:vAlign w:val="center"/>
                </w:tcPr>
                <w:p w14:paraId="14C3C1A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458B218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28</w:t>
                  </w:r>
                </w:p>
              </w:tc>
              <w:tc>
                <w:tcPr>
                  <w:tcW w:w="514" w:type="pct"/>
                  <w:vMerge w:val="continue"/>
                  <w:noWrap w:val="0"/>
                  <w:vAlign w:val="center"/>
                </w:tcPr>
                <w:p w14:paraId="5D9E86C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FF0000"/>
                      <w:sz w:val="18"/>
                      <w:szCs w:val="18"/>
                      <w:highlight w:val="none"/>
                      <w:lang w:val="en-US" w:eastAsia="zh-CN"/>
                    </w:rPr>
                  </w:pPr>
                </w:p>
              </w:tc>
              <w:tc>
                <w:tcPr>
                  <w:tcW w:w="344" w:type="pct"/>
                  <w:noWrap w:val="0"/>
                  <w:vAlign w:val="center"/>
                </w:tcPr>
                <w:p w14:paraId="62A7248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3AD363B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7D4904BC">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-102</w:t>
                  </w:r>
                </w:p>
              </w:tc>
              <w:tc>
                <w:tcPr>
                  <w:tcW w:w="260" w:type="pct"/>
                  <w:noWrap w:val="0"/>
                  <w:vAlign w:val="center"/>
                </w:tcPr>
                <w:p w14:paraId="60F28E9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14</w:t>
                  </w:r>
                </w:p>
              </w:tc>
              <w:tc>
                <w:tcPr>
                  <w:tcW w:w="244" w:type="pct"/>
                  <w:noWrap w:val="0"/>
                  <w:vAlign w:val="center"/>
                </w:tcPr>
                <w:p w14:paraId="3B61480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507C970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0D8A01C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67</w:t>
                  </w:r>
                  <w:r>
                    <w:rPr>
                      <w:rFonts w:hint="default" w:ascii="Times New Roman" w:hAnsi="Times New Roman" w:eastAsia="宋体" w:cs="Times New Roman"/>
                      <w:snapToGrid w:val="0"/>
                      <w:color w:val="auto"/>
                      <w:spacing w:val="0"/>
                      <w:kern w:val="0"/>
                      <w:sz w:val="18"/>
                      <w:szCs w:val="18"/>
                      <w:highlight w:val="none"/>
                      <w:lang w:val="en-US" w:eastAsia="zh-CN"/>
                    </w:rPr>
                    <w:t>m</w:t>
                  </w:r>
                </w:p>
                <w:p w14:paraId="7429259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4BB002B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28</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3F8989D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东：49.4</w:t>
                  </w:r>
                </w:p>
                <w:p w14:paraId="5245D8D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48.4</w:t>
                  </w:r>
                </w:p>
                <w:p w14:paraId="1319E87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西：52.0</w:t>
                  </w:r>
                </w:p>
                <w:p w14:paraId="1034D4F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56.0</w:t>
                  </w:r>
                </w:p>
              </w:tc>
              <w:tc>
                <w:tcPr>
                  <w:tcW w:w="157" w:type="pct"/>
                  <w:vMerge w:val="continue"/>
                  <w:noWrap w:val="0"/>
                  <w:vAlign w:val="center"/>
                </w:tcPr>
                <w:p w14:paraId="051BFE4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2562713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328F687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东：29.4</w:t>
                  </w:r>
                </w:p>
                <w:p w14:paraId="55D557D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28.4</w:t>
                  </w:r>
                </w:p>
                <w:p w14:paraId="64A896C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西：32.0</w:t>
                  </w:r>
                </w:p>
                <w:p w14:paraId="2DCD2A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36.0</w:t>
                  </w:r>
                </w:p>
              </w:tc>
              <w:tc>
                <w:tcPr>
                  <w:tcW w:w="288" w:type="pct"/>
                  <w:noWrap w:val="0"/>
                  <w:vAlign w:val="center"/>
                </w:tcPr>
                <w:p w14:paraId="774A4B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3C43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64847A2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34</w:t>
                  </w:r>
                </w:p>
              </w:tc>
              <w:tc>
                <w:tcPr>
                  <w:tcW w:w="189" w:type="pct"/>
                  <w:vMerge w:val="continue"/>
                  <w:noWrap w:val="0"/>
                  <w:vAlign w:val="center"/>
                </w:tcPr>
                <w:p w14:paraId="68A89E5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0DC765E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29</w:t>
                  </w:r>
                </w:p>
              </w:tc>
              <w:tc>
                <w:tcPr>
                  <w:tcW w:w="514" w:type="pct"/>
                  <w:vMerge w:val="continue"/>
                  <w:noWrap w:val="0"/>
                  <w:vAlign w:val="center"/>
                </w:tcPr>
                <w:p w14:paraId="72F81B5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FF0000"/>
                      <w:sz w:val="18"/>
                      <w:szCs w:val="18"/>
                      <w:highlight w:val="none"/>
                      <w:lang w:val="en-US" w:eastAsia="zh-CN"/>
                    </w:rPr>
                  </w:pPr>
                </w:p>
              </w:tc>
              <w:tc>
                <w:tcPr>
                  <w:tcW w:w="344" w:type="pct"/>
                  <w:noWrap w:val="0"/>
                  <w:vAlign w:val="center"/>
                </w:tcPr>
                <w:p w14:paraId="2C80D0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364A469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326EBCBE">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-104</w:t>
                  </w:r>
                </w:p>
              </w:tc>
              <w:tc>
                <w:tcPr>
                  <w:tcW w:w="260" w:type="pct"/>
                  <w:noWrap w:val="0"/>
                  <w:vAlign w:val="center"/>
                </w:tcPr>
                <w:p w14:paraId="53B214E4">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11</w:t>
                  </w:r>
                </w:p>
              </w:tc>
              <w:tc>
                <w:tcPr>
                  <w:tcW w:w="244" w:type="pct"/>
                  <w:noWrap w:val="0"/>
                  <w:vAlign w:val="center"/>
                </w:tcPr>
                <w:p w14:paraId="49C96C7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26DA849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59</w:t>
                  </w:r>
                  <w:r>
                    <w:rPr>
                      <w:rFonts w:hint="default" w:ascii="Times New Roman" w:hAnsi="Times New Roman" w:eastAsia="宋体" w:cs="Times New Roman"/>
                      <w:snapToGrid w:val="0"/>
                      <w:color w:val="auto"/>
                      <w:spacing w:val="0"/>
                      <w:kern w:val="0"/>
                      <w:sz w:val="18"/>
                      <w:szCs w:val="18"/>
                      <w:highlight w:val="none"/>
                      <w:lang w:val="en-US" w:eastAsia="zh-CN"/>
                    </w:rPr>
                    <w:t>m</w:t>
                  </w:r>
                </w:p>
                <w:p w14:paraId="64D6F7D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66</w:t>
                  </w:r>
                  <w:r>
                    <w:rPr>
                      <w:rFonts w:hint="default" w:ascii="Times New Roman" w:hAnsi="Times New Roman" w:eastAsia="宋体" w:cs="Times New Roman"/>
                      <w:snapToGrid w:val="0"/>
                      <w:color w:val="auto"/>
                      <w:spacing w:val="0"/>
                      <w:kern w:val="0"/>
                      <w:sz w:val="18"/>
                      <w:szCs w:val="18"/>
                      <w:highlight w:val="none"/>
                      <w:lang w:val="en-US" w:eastAsia="zh-CN"/>
                    </w:rPr>
                    <w:t>m</w:t>
                  </w:r>
                </w:p>
                <w:p w14:paraId="19C3E6E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r>
                    <w:rPr>
                      <w:rFonts w:hint="default" w:ascii="Times New Roman" w:hAnsi="Times New Roman" w:eastAsia="宋体" w:cs="Times New Roman"/>
                      <w:snapToGrid w:val="0"/>
                      <w:color w:val="auto"/>
                      <w:spacing w:val="0"/>
                      <w:kern w:val="0"/>
                      <w:sz w:val="18"/>
                      <w:szCs w:val="18"/>
                      <w:highlight w:val="none"/>
                      <w:lang w:val="en-US" w:eastAsia="zh-CN"/>
                    </w:rPr>
                    <w:t>m</w:t>
                  </w:r>
                </w:p>
                <w:p w14:paraId="2405C1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29</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5770EF5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东：49.6</w:t>
                  </w:r>
                </w:p>
                <w:p w14:paraId="0A335FC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48.5</w:t>
                  </w:r>
                </w:p>
                <w:p w14:paraId="66AAC7E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西：51.9</w:t>
                  </w:r>
                </w:p>
                <w:p w14:paraId="63DBF3D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55.8</w:t>
                  </w:r>
                </w:p>
              </w:tc>
              <w:tc>
                <w:tcPr>
                  <w:tcW w:w="157" w:type="pct"/>
                  <w:vMerge w:val="continue"/>
                  <w:noWrap w:val="0"/>
                  <w:vAlign w:val="center"/>
                </w:tcPr>
                <w:p w14:paraId="2C14E7E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4C89920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1D852FA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东：29.6</w:t>
                  </w:r>
                </w:p>
                <w:p w14:paraId="64AF78E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28.5</w:t>
                  </w:r>
                </w:p>
                <w:p w14:paraId="547CBE5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西：31.9</w:t>
                  </w:r>
                </w:p>
                <w:p w14:paraId="3D647E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35.8</w:t>
                  </w:r>
                </w:p>
              </w:tc>
              <w:tc>
                <w:tcPr>
                  <w:tcW w:w="288" w:type="pct"/>
                  <w:noWrap w:val="0"/>
                  <w:vAlign w:val="center"/>
                </w:tcPr>
                <w:p w14:paraId="53DF970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3403C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4AA123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35</w:t>
                  </w:r>
                </w:p>
              </w:tc>
              <w:tc>
                <w:tcPr>
                  <w:tcW w:w="189" w:type="pct"/>
                  <w:vMerge w:val="continue"/>
                  <w:noWrap w:val="0"/>
                  <w:vAlign w:val="center"/>
                </w:tcPr>
                <w:p w14:paraId="17556ED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6D6BD0D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30</w:t>
                  </w:r>
                </w:p>
              </w:tc>
              <w:tc>
                <w:tcPr>
                  <w:tcW w:w="514" w:type="pct"/>
                  <w:vMerge w:val="continue"/>
                  <w:noWrap w:val="0"/>
                  <w:vAlign w:val="center"/>
                </w:tcPr>
                <w:p w14:paraId="7B15F1E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FF0000"/>
                      <w:sz w:val="18"/>
                      <w:szCs w:val="18"/>
                      <w:highlight w:val="none"/>
                      <w:lang w:val="en-US" w:eastAsia="zh-CN"/>
                    </w:rPr>
                  </w:pPr>
                </w:p>
              </w:tc>
              <w:tc>
                <w:tcPr>
                  <w:tcW w:w="344" w:type="pct"/>
                  <w:noWrap w:val="0"/>
                  <w:vAlign w:val="center"/>
                </w:tcPr>
                <w:p w14:paraId="263ABB1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3DBA343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1F243F50">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-102</w:t>
                  </w:r>
                </w:p>
              </w:tc>
              <w:tc>
                <w:tcPr>
                  <w:tcW w:w="260" w:type="pct"/>
                  <w:noWrap w:val="0"/>
                  <w:vAlign w:val="center"/>
                </w:tcPr>
                <w:p w14:paraId="15AA0845">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11</w:t>
                  </w:r>
                </w:p>
              </w:tc>
              <w:tc>
                <w:tcPr>
                  <w:tcW w:w="244" w:type="pct"/>
                  <w:noWrap w:val="0"/>
                  <w:vAlign w:val="center"/>
                </w:tcPr>
                <w:p w14:paraId="052E227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68B079F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1FB1A4D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66</w:t>
                  </w:r>
                  <w:r>
                    <w:rPr>
                      <w:rFonts w:hint="default" w:ascii="Times New Roman" w:hAnsi="Times New Roman" w:eastAsia="宋体" w:cs="Times New Roman"/>
                      <w:snapToGrid w:val="0"/>
                      <w:color w:val="auto"/>
                      <w:spacing w:val="0"/>
                      <w:kern w:val="0"/>
                      <w:sz w:val="18"/>
                      <w:szCs w:val="18"/>
                      <w:highlight w:val="none"/>
                      <w:lang w:val="en-US" w:eastAsia="zh-CN"/>
                    </w:rPr>
                    <w:t>m</w:t>
                  </w:r>
                </w:p>
                <w:p w14:paraId="6D1CE3D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17DFB0C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29</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0848769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东：49.4</w:t>
                  </w:r>
                </w:p>
                <w:p w14:paraId="6033C64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48.5</w:t>
                  </w:r>
                </w:p>
                <w:p w14:paraId="14C32AE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西：52.0</w:t>
                  </w:r>
                </w:p>
                <w:p w14:paraId="4821536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55.8</w:t>
                  </w:r>
                </w:p>
              </w:tc>
              <w:tc>
                <w:tcPr>
                  <w:tcW w:w="157" w:type="pct"/>
                  <w:vMerge w:val="continue"/>
                  <w:noWrap w:val="0"/>
                  <w:vAlign w:val="center"/>
                </w:tcPr>
                <w:p w14:paraId="35B3A32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62D9341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3A2D10A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东：29.4</w:t>
                  </w:r>
                </w:p>
                <w:p w14:paraId="3F0D3AE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28.5</w:t>
                  </w:r>
                </w:p>
                <w:p w14:paraId="722F891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西：32.0</w:t>
                  </w:r>
                </w:p>
                <w:p w14:paraId="18C3D02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35.8</w:t>
                  </w:r>
                </w:p>
              </w:tc>
              <w:tc>
                <w:tcPr>
                  <w:tcW w:w="288" w:type="pct"/>
                  <w:noWrap w:val="0"/>
                  <w:vAlign w:val="center"/>
                </w:tcPr>
                <w:p w14:paraId="23314C3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4956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1FD8611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36</w:t>
                  </w:r>
                </w:p>
              </w:tc>
              <w:tc>
                <w:tcPr>
                  <w:tcW w:w="189" w:type="pct"/>
                  <w:vMerge w:val="continue"/>
                  <w:noWrap w:val="0"/>
                  <w:vAlign w:val="center"/>
                </w:tcPr>
                <w:p w14:paraId="6C74E3A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56B1356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31</w:t>
                  </w:r>
                </w:p>
              </w:tc>
              <w:tc>
                <w:tcPr>
                  <w:tcW w:w="514" w:type="pct"/>
                  <w:vMerge w:val="continue"/>
                  <w:noWrap w:val="0"/>
                  <w:vAlign w:val="center"/>
                </w:tcPr>
                <w:p w14:paraId="65DB872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FF0000"/>
                      <w:sz w:val="18"/>
                      <w:szCs w:val="18"/>
                      <w:highlight w:val="none"/>
                      <w:lang w:val="en-US" w:eastAsia="zh-CN"/>
                    </w:rPr>
                  </w:pPr>
                </w:p>
              </w:tc>
              <w:tc>
                <w:tcPr>
                  <w:tcW w:w="344" w:type="pct"/>
                  <w:noWrap w:val="0"/>
                  <w:vAlign w:val="center"/>
                </w:tcPr>
                <w:p w14:paraId="383A22E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6C9A865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74F53710">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-104</w:t>
                  </w:r>
                </w:p>
              </w:tc>
              <w:tc>
                <w:tcPr>
                  <w:tcW w:w="260" w:type="pct"/>
                  <w:noWrap w:val="0"/>
                  <w:vAlign w:val="center"/>
                </w:tcPr>
                <w:p w14:paraId="2992F514">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w:t>
                  </w:r>
                </w:p>
              </w:tc>
              <w:tc>
                <w:tcPr>
                  <w:tcW w:w="244" w:type="pct"/>
                  <w:noWrap w:val="0"/>
                  <w:vAlign w:val="center"/>
                </w:tcPr>
                <w:p w14:paraId="3748001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280E98A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59</w:t>
                  </w:r>
                  <w:r>
                    <w:rPr>
                      <w:rFonts w:hint="default" w:ascii="Times New Roman" w:hAnsi="Times New Roman" w:eastAsia="宋体" w:cs="Times New Roman"/>
                      <w:snapToGrid w:val="0"/>
                      <w:color w:val="auto"/>
                      <w:spacing w:val="0"/>
                      <w:kern w:val="0"/>
                      <w:sz w:val="18"/>
                      <w:szCs w:val="18"/>
                      <w:highlight w:val="none"/>
                      <w:lang w:val="en-US" w:eastAsia="zh-CN"/>
                    </w:rPr>
                    <w:t>m</w:t>
                  </w:r>
                </w:p>
                <w:p w14:paraId="09E3C70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65</w:t>
                  </w:r>
                  <w:r>
                    <w:rPr>
                      <w:rFonts w:hint="default" w:ascii="Times New Roman" w:hAnsi="Times New Roman" w:eastAsia="宋体" w:cs="Times New Roman"/>
                      <w:snapToGrid w:val="0"/>
                      <w:color w:val="auto"/>
                      <w:spacing w:val="0"/>
                      <w:kern w:val="0"/>
                      <w:sz w:val="18"/>
                      <w:szCs w:val="18"/>
                      <w:highlight w:val="none"/>
                      <w:lang w:val="en-US" w:eastAsia="zh-CN"/>
                    </w:rPr>
                    <w:t>m</w:t>
                  </w:r>
                </w:p>
                <w:p w14:paraId="0EA979C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r>
                    <w:rPr>
                      <w:rFonts w:hint="default" w:ascii="Times New Roman" w:hAnsi="Times New Roman" w:eastAsia="宋体" w:cs="Times New Roman"/>
                      <w:snapToGrid w:val="0"/>
                      <w:color w:val="auto"/>
                      <w:spacing w:val="0"/>
                      <w:kern w:val="0"/>
                      <w:sz w:val="18"/>
                      <w:szCs w:val="18"/>
                      <w:highlight w:val="none"/>
                      <w:lang w:val="en-US" w:eastAsia="zh-CN"/>
                    </w:rPr>
                    <w:t>m</w:t>
                  </w:r>
                </w:p>
                <w:p w14:paraId="5C18A16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30</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03E0837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东：49.6</w:t>
                  </w:r>
                </w:p>
                <w:p w14:paraId="3F091A3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48.6</w:t>
                  </w:r>
                </w:p>
                <w:p w14:paraId="3D0F5B0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西：51.9</w:t>
                  </w:r>
                </w:p>
                <w:p w14:paraId="58198E8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55.5</w:t>
                  </w:r>
                </w:p>
              </w:tc>
              <w:tc>
                <w:tcPr>
                  <w:tcW w:w="157" w:type="pct"/>
                  <w:vMerge w:val="continue"/>
                  <w:noWrap w:val="0"/>
                  <w:vAlign w:val="center"/>
                </w:tcPr>
                <w:p w14:paraId="5A341B0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343034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099086F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东：29.6</w:t>
                  </w:r>
                </w:p>
                <w:p w14:paraId="2A28021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28.6</w:t>
                  </w:r>
                </w:p>
                <w:p w14:paraId="0DEE076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西：31.9</w:t>
                  </w:r>
                </w:p>
                <w:p w14:paraId="163079F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35.5</w:t>
                  </w:r>
                </w:p>
              </w:tc>
              <w:tc>
                <w:tcPr>
                  <w:tcW w:w="288" w:type="pct"/>
                  <w:noWrap w:val="0"/>
                  <w:vAlign w:val="center"/>
                </w:tcPr>
                <w:p w14:paraId="4A61C2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61BAE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15" w:type="pct"/>
                  <w:shd w:val="clear" w:color="auto" w:fill="auto"/>
                  <w:noWrap w:val="0"/>
                  <w:vAlign w:val="center"/>
                </w:tcPr>
                <w:p w14:paraId="0A17C2B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37</w:t>
                  </w:r>
                </w:p>
              </w:tc>
              <w:tc>
                <w:tcPr>
                  <w:tcW w:w="189" w:type="pct"/>
                  <w:vMerge w:val="continue"/>
                  <w:noWrap w:val="0"/>
                  <w:vAlign w:val="center"/>
                </w:tcPr>
                <w:p w14:paraId="54E072C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226440A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32</w:t>
                  </w:r>
                </w:p>
              </w:tc>
              <w:tc>
                <w:tcPr>
                  <w:tcW w:w="514" w:type="pct"/>
                  <w:vMerge w:val="continue"/>
                  <w:noWrap w:val="0"/>
                  <w:vAlign w:val="center"/>
                </w:tcPr>
                <w:p w14:paraId="51EDB77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FF0000"/>
                      <w:sz w:val="18"/>
                      <w:szCs w:val="18"/>
                      <w:highlight w:val="none"/>
                      <w:lang w:val="en-US" w:eastAsia="zh-CN"/>
                    </w:rPr>
                  </w:pPr>
                </w:p>
              </w:tc>
              <w:tc>
                <w:tcPr>
                  <w:tcW w:w="344" w:type="pct"/>
                  <w:noWrap w:val="0"/>
                  <w:vAlign w:val="center"/>
                </w:tcPr>
                <w:p w14:paraId="6689E4C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529FF4E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033CC318">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-102</w:t>
                  </w:r>
                </w:p>
              </w:tc>
              <w:tc>
                <w:tcPr>
                  <w:tcW w:w="260" w:type="pct"/>
                  <w:noWrap w:val="0"/>
                  <w:vAlign w:val="center"/>
                </w:tcPr>
                <w:p w14:paraId="1993F57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w:t>
                  </w:r>
                </w:p>
              </w:tc>
              <w:tc>
                <w:tcPr>
                  <w:tcW w:w="244" w:type="pct"/>
                  <w:noWrap w:val="0"/>
                  <w:vAlign w:val="center"/>
                </w:tcPr>
                <w:p w14:paraId="3745B66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0279EDB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3663F2A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65</w:t>
                  </w:r>
                  <w:r>
                    <w:rPr>
                      <w:rFonts w:hint="default" w:ascii="Times New Roman" w:hAnsi="Times New Roman" w:eastAsia="宋体" w:cs="Times New Roman"/>
                      <w:snapToGrid w:val="0"/>
                      <w:color w:val="auto"/>
                      <w:spacing w:val="0"/>
                      <w:kern w:val="0"/>
                      <w:sz w:val="18"/>
                      <w:szCs w:val="18"/>
                      <w:highlight w:val="none"/>
                      <w:lang w:val="en-US" w:eastAsia="zh-CN"/>
                    </w:rPr>
                    <w:t>m</w:t>
                  </w:r>
                </w:p>
                <w:p w14:paraId="29EC7CC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1F3130C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30</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7E33306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东：49.4</w:t>
                  </w:r>
                </w:p>
                <w:p w14:paraId="2675EF9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48.6</w:t>
                  </w:r>
                </w:p>
                <w:p w14:paraId="2F0C499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西：52.0</w:t>
                  </w:r>
                </w:p>
                <w:p w14:paraId="7AE49CC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55.5</w:t>
                  </w:r>
                </w:p>
              </w:tc>
              <w:tc>
                <w:tcPr>
                  <w:tcW w:w="157" w:type="pct"/>
                  <w:vMerge w:val="continue"/>
                  <w:noWrap w:val="0"/>
                  <w:vAlign w:val="center"/>
                </w:tcPr>
                <w:p w14:paraId="3FC69F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13F6E2B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6DC654E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东：29.4</w:t>
                  </w:r>
                </w:p>
                <w:p w14:paraId="74E98A5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28.6</w:t>
                  </w:r>
                </w:p>
                <w:p w14:paraId="754DD53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西：32.0</w:t>
                  </w:r>
                </w:p>
                <w:p w14:paraId="0FE3BD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35.5</w:t>
                  </w:r>
                </w:p>
              </w:tc>
              <w:tc>
                <w:tcPr>
                  <w:tcW w:w="288" w:type="pct"/>
                  <w:noWrap w:val="0"/>
                  <w:vAlign w:val="center"/>
                </w:tcPr>
                <w:p w14:paraId="2BC34D5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BFC2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4DA2877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38</w:t>
                  </w:r>
                </w:p>
              </w:tc>
              <w:tc>
                <w:tcPr>
                  <w:tcW w:w="189" w:type="pct"/>
                  <w:vMerge w:val="continue"/>
                  <w:noWrap w:val="0"/>
                  <w:vAlign w:val="center"/>
                </w:tcPr>
                <w:p w14:paraId="49A8994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24AD500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33</w:t>
                  </w:r>
                </w:p>
              </w:tc>
              <w:tc>
                <w:tcPr>
                  <w:tcW w:w="514" w:type="pct"/>
                  <w:vMerge w:val="continue"/>
                  <w:noWrap w:val="0"/>
                  <w:vAlign w:val="center"/>
                </w:tcPr>
                <w:p w14:paraId="436F387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FF0000"/>
                      <w:sz w:val="18"/>
                      <w:szCs w:val="18"/>
                      <w:highlight w:val="none"/>
                      <w:lang w:val="en-US" w:eastAsia="zh-CN"/>
                    </w:rPr>
                  </w:pPr>
                </w:p>
              </w:tc>
              <w:tc>
                <w:tcPr>
                  <w:tcW w:w="344" w:type="pct"/>
                  <w:noWrap w:val="0"/>
                  <w:vAlign w:val="center"/>
                </w:tcPr>
                <w:p w14:paraId="6F41BC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1EA91C0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671D629A">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-104</w:t>
                  </w:r>
                </w:p>
              </w:tc>
              <w:tc>
                <w:tcPr>
                  <w:tcW w:w="260" w:type="pct"/>
                  <w:noWrap w:val="0"/>
                  <w:vAlign w:val="center"/>
                </w:tcPr>
                <w:p w14:paraId="5C3310D5">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5</w:t>
                  </w:r>
                </w:p>
              </w:tc>
              <w:tc>
                <w:tcPr>
                  <w:tcW w:w="244" w:type="pct"/>
                  <w:noWrap w:val="0"/>
                  <w:vAlign w:val="center"/>
                </w:tcPr>
                <w:p w14:paraId="76E0984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78EA7A7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59</w:t>
                  </w:r>
                  <w:r>
                    <w:rPr>
                      <w:rFonts w:hint="default" w:ascii="Times New Roman" w:hAnsi="Times New Roman" w:eastAsia="宋体" w:cs="Times New Roman"/>
                      <w:snapToGrid w:val="0"/>
                      <w:color w:val="auto"/>
                      <w:spacing w:val="0"/>
                      <w:kern w:val="0"/>
                      <w:sz w:val="18"/>
                      <w:szCs w:val="18"/>
                      <w:highlight w:val="none"/>
                      <w:lang w:val="en-US" w:eastAsia="zh-CN"/>
                    </w:rPr>
                    <w:t>m</w:t>
                  </w:r>
                </w:p>
                <w:p w14:paraId="20E6304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64</w:t>
                  </w:r>
                  <w:r>
                    <w:rPr>
                      <w:rFonts w:hint="default" w:ascii="Times New Roman" w:hAnsi="Times New Roman" w:eastAsia="宋体" w:cs="Times New Roman"/>
                      <w:snapToGrid w:val="0"/>
                      <w:color w:val="auto"/>
                      <w:spacing w:val="0"/>
                      <w:kern w:val="0"/>
                      <w:sz w:val="18"/>
                      <w:szCs w:val="18"/>
                      <w:highlight w:val="none"/>
                      <w:lang w:val="en-US" w:eastAsia="zh-CN"/>
                    </w:rPr>
                    <w:t>m</w:t>
                  </w:r>
                </w:p>
                <w:p w14:paraId="0084D11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r>
                    <w:rPr>
                      <w:rFonts w:hint="default" w:ascii="Times New Roman" w:hAnsi="Times New Roman" w:eastAsia="宋体" w:cs="Times New Roman"/>
                      <w:snapToGrid w:val="0"/>
                      <w:color w:val="auto"/>
                      <w:spacing w:val="0"/>
                      <w:kern w:val="0"/>
                      <w:sz w:val="18"/>
                      <w:szCs w:val="18"/>
                      <w:highlight w:val="none"/>
                      <w:lang w:val="en-US" w:eastAsia="zh-CN"/>
                    </w:rPr>
                    <w:t>m</w:t>
                  </w:r>
                </w:p>
                <w:p w14:paraId="6DB281A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31</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581ECD7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东：49.6</w:t>
                  </w:r>
                </w:p>
                <w:p w14:paraId="6AE78E4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48.7</w:t>
                  </w:r>
                </w:p>
                <w:p w14:paraId="06A274D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西：51.9</w:t>
                  </w:r>
                </w:p>
                <w:p w14:paraId="6B0D3DE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55.1</w:t>
                  </w:r>
                </w:p>
              </w:tc>
              <w:tc>
                <w:tcPr>
                  <w:tcW w:w="157" w:type="pct"/>
                  <w:vMerge w:val="continue"/>
                  <w:noWrap w:val="0"/>
                  <w:vAlign w:val="center"/>
                </w:tcPr>
                <w:p w14:paraId="311E5C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3589C6C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0AAA89C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东：29.6</w:t>
                  </w:r>
                </w:p>
                <w:p w14:paraId="303E152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28.7</w:t>
                  </w:r>
                </w:p>
                <w:p w14:paraId="6C8FB71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西：31.9</w:t>
                  </w:r>
                </w:p>
                <w:p w14:paraId="128FE4F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35.1</w:t>
                  </w:r>
                </w:p>
              </w:tc>
              <w:tc>
                <w:tcPr>
                  <w:tcW w:w="288" w:type="pct"/>
                  <w:noWrap w:val="0"/>
                  <w:vAlign w:val="center"/>
                </w:tcPr>
                <w:p w14:paraId="05A1CF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1A27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5F7C03C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39</w:t>
                  </w:r>
                </w:p>
              </w:tc>
              <w:tc>
                <w:tcPr>
                  <w:tcW w:w="189" w:type="pct"/>
                  <w:vMerge w:val="continue"/>
                  <w:noWrap w:val="0"/>
                  <w:vAlign w:val="center"/>
                </w:tcPr>
                <w:p w14:paraId="532466B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25E6524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34</w:t>
                  </w:r>
                </w:p>
              </w:tc>
              <w:tc>
                <w:tcPr>
                  <w:tcW w:w="514" w:type="pct"/>
                  <w:vMerge w:val="continue"/>
                  <w:noWrap w:val="0"/>
                  <w:vAlign w:val="center"/>
                </w:tcPr>
                <w:p w14:paraId="6401D0E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FF0000"/>
                      <w:sz w:val="18"/>
                      <w:szCs w:val="18"/>
                      <w:highlight w:val="none"/>
                      <w:lang w:val="en-US" w:eastAsia="zh-CN"/>
                    </w:rPr>
                  </w:pPr>
                </w:p>
              </w:tc>
              <w:tc>
                <w:tcPr>
                  <w:tcW w:w="344" w:type="pct"/>
                  <w:noWrap w:val="0"/>
                  <w:vAlign w:val="center"/>
                </w:tcPr>
                <w:p w14:paraId="5A32BF5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4A060ED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28F5ED21">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-102</w:t>
                  </w:r>
                </w:p>
              </w:tc>
              <w:tc>
                <w:tcPr>
                  <w:tcW w:w="260" w:type="pct"/>
                  <w:noWrap w:val="0"/>
                  <w:vAlign w:val="center"/>
                </w:tcPr>
                <w:p w14:paraId="233E1B3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5</w:t>
                  </w:r>
                </w:p>
              </w:tc>
              <w:tc>
                <w:tcPr>
                  <w:tcW w:w="244" w:type="pct"/>
                  <w:noWrap w:val="0"/>
                  <w:vAlign w:val="center"/>
                </w:tcPr>
                <w:p w14:paraId="46E01D4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0A5346B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13CF18F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64</w:t>
                  </w:r>
                  <w:r>
                    <w:rPr>
                      <w:rFonts w:hint="default" w:ascii="Times New Roman" w:hAnsi="Times New Roman" w:eastAsia="宋体" w:cs="Times New Roman"/>
                      <w:snapToGrid w:val="0"/>
                      <w:color w:val="auto"/>
                      <w:spacing w:val="0"/>
                      <w:kern w:val="0"/>
                      <w:sz w:val="18"/>
                      <w:szCs w:val="18"/>
                      <w:highlight w:val="none"/>
                      <w:lang w:val="en-US" w:eastAsia="zh-CN"/>
                    </w:rPr>
                    <w:t>m</w:t>
                  </w:r>
                </w:p>
                <w:p w14:paraId="77EFBEB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5ACD549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31</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6D2D788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东：49.4</w:t>
                  </w:r>
                </w:p>
                <w:p w14:paraId="5570280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48.7</w:t>
                  </w:r>
                </w:p>
                <w:p w14:paraId="7CC123A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西：52.0</w:t>
                  </w:r>
                </w:p>
                <w:p w14:paraId="719E04B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55.1</w:t>
                  </w:r>
                </w:p>
              </w:tc>
              <w:tc>
                <w:tcPr>
                  <w:tcW w:w="157" w:type="pct"/>
                  <w:vMerge w:val="continue"/>
                  <w:noWrap w:val="0"/>
                  <w:vAlign w:val="center"/>
                </w:tcPr>
                <w:p w14:paraId="0A8B92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1720A1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5706190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东：29.4</w:t>
                  </w:r>
                </w:p>
                <w:p w14:paraId="0F057B4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28.7</w:t>
                  </w:r>
                </w:p>
                <w:p w14:paraId="2C84D3B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西：32.0</w:t>
                  </w:r>
                </w:p>
                <w:p w14:paraId="07111AF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35.1</w:t>
                  </w:r>
                </w:p>
              </w:tc>
              <w:tc>
                <w:tcPr>
                  <w:tcW w:w="288" w:type="pct"/>
                  <w:noWrap w:val="0"/>
                  <w:vAlign w:val="center"/>
                </w:tcPr>
                <w:p w14:paraId="7BD3598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DBCE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59DDF74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40</w:t>
                  </w:r>
                </w:p>
              </w:tc>
              <w:tc>
                <w:tcPr>
                  <w:tcW w:w="189" w:type="pct"/>
                  <w:vMerge w:val="continue"/>
                  <w:noWrap w:val="0"/>
                  <w:vAlign w:val="center"/>
                </w:tcPr>
                <w:p w14:paraId="358D339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1013A6D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35</w:t>
                  </w:r>
                </w:p>
              </w:tc>
              <w:tc>
                <w:tcPr>
                  <w:tcW w:w="514" w:type="pct"/>
                  <w:vMerge w:val="continue"/>
                  <w:noWrap w:val="0"/>
                  <w:vAlign w:val="center"/>
                </w:tcPr>
                <w:p w14:paraId="769B00E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FF0000"/>
                      <w:sz w:val="18"/>
                      <w:szCs w:val="18"/>
                      <w:highlight w:val="none"/>
                      <w:lang w:val="en-US" w:eastAsia="zh-CN"/>
                    </w:rPr>
                  </w:pPr>
                </w:p>
              </w:tc>
              <w:tc>
                <w:tcPr>
                  <w:tcW w:w="344" w:type="pct"/>
                  <w:noWrap w:val="0"/>
                  <w:vAlign w:val="center"/>
                </w:tcPr>
                <w:p w14:paraId="6A7764F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133201B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1EDA3D3A">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-104</w:t>
                  </w:r>
                </w:p>
              </w:tc>
              <w:tc>
                <w:tcPr>
                  <w:tcW w:w="260" w:type="pct"/>
                  <w:noWrap w:val="0"/>
                  <w:vAlign w:val="center"/>
                </w:tcPr>
                <w:p w14:paraId="34B1680E">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0</w:t>
                  </w:r>
                </w:p>
              </w:tc>
              <w:tc>
                <w:tcPr>
                  <w:tcW w:w="244" w:type="pct"/>
                  <w:noWrap w:val="0"/>
                  <w:vAlign w:val="center"/>
                </w:tcPr>
                <w:p w14:paraId="514CD43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0D748B1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59</w:t>
                  </w:r>
                  <w:r>
                    <w:rPr>
                      <w:rFonts w:hint="default" w:ascii="Times New Roman" w:hAnsi="Times New Roman" w:eastAsia="宋体" w:cs="Times New Roman"/>
                      <w:snapToGrid w:val="0"/>
                      <w:color w:val="auto"/>
                      <w:spacing w:val="0"/>
                      <w:kern w:val="0"/>
                      <w:sz w:val="18"/>
                      <w:szCs w:val="18"/>
                      <w:highlight w:val="none"/>
                      <w:lang w:val="en-US" w:eastAsia="zh-CN"/>
                    </w:rPr>
                    <w:t>m</w:t>
                  </w:r>
                </w:p>
                <w:p w14:paraId="1597821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63</w:t>
                  </w:r>
                  <w:r>
                    <w:rPr>
                      <w:rFonts w:hint="default" w:ascii="Times New Roman" w:hAnsi="Times New Roman" w:eastAsia="宋体" w:cs="Times New Roman"/>
                      <w:snapToGrid w:val="0"/>
                      <w:color w:val="auto"/>
                      <w:spacing w:val="0"/>
                      <w:kern w:val="0"/>
                      <w:sz w:val="18"/>
                      <w:szCs w:val="18"/>
                      <w:highlight w:val="none"/>
                      <w:lang w:val="en-US" w:eastAsia="zh-CN"/>
                    </w:rPr>
                    <w:t>m</w:t>
                  </w:r>
                </w:p>
                <w:p w14:paraId="42047FF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r>
                    <w:rPr>
                      <w:rFonts w:hint="default" w:ascii="Times New Roman" w:hAnsi="Times New Roman" w:eastAsia="宋体" w:cs="Times New Roman"/>
                      <w:snapToGrid w:val="0"/>
                      <w:color w:val="auto"/>
                      <w:spacing w:val="0"/>
                      <w:kern w:val="0"/>
                      <w:sz w:val="18"/>
                      <w:szCs w:val="18"/>
                      <w:highlight w:val="none"/>
                      <w:lang w:val="en-US" w:eastAsia="zh-CN"/>
                    </w:rPr>
                    <w:t>m</w:t>
                  </w:r>
                </w:p>
                <w:p w14:paraId="07C07F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32</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3ACE433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东：49.6</w:t>
                  </w:r>
                </w:p>
                <w:p w14:paraId="38AF688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48.8</w:t>
                  </w:r>
                </w:p>
                <w:p w14:paraId="015A423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西：51.9</w:t>
                  </w:r>
                </w:p>
                <w:p w14:paraId="287D71E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54.8</w:t>
                  </w:r>
                </w:p>
              </w:tc>
              <w:tc>
                <w:tcPr>
                  <w:tcW w:w="157" w:type="pct"/>
                  <w:vMerge w:val="continue"/>
                  <w:noWrap w:val="0"/>
                  <w:vAlign w:val="center"/>
                </w:tcPr>
                <w:p w14:paraId="6C444D1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358341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2EE27EA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东：29.6</w:t>
                  </w:r>
                </w:p>
                <w:p w14:paraId="0D577EC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28.8</w:t>
                  </w:r>
                </w:p>
                <w:p w14:paraId="19DDF8D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西：31.9</w:t>
                  </w:r>
                </w:p>
                <w:p w14:paraId="27BB7A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34.8</w:t>
                  </w:r>
                </w:p>
              </w:tc>
              <w:tc>
                <w:tcPr>
                  <w:tcW w:w="288" w:type="pct"/>
                  <w:noWrap w:val="0"/>
                  <w:vAlign w:val="center"/>
                </w:tcPr>
                <w:p w14:paraId="4BC1311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CCF9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6936FB5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41</w:t>
                  </w:r>
                </w:p>
              </w:tc>
              <w:tc>
                <w:tcPr>
                  <w:tcW w:w="189" w:type="pct"/>
                  <w:vMerge w:val="continue"/>
                  <w:noWrap w:val="0"/>
                  <w:vAlign w:val="center"/>
                </w:tcPr>
                <w:p w14:paraId="0867FAB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4066ABC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造粒机</w:t>
                  </w:r>
                  <w:r>
                    <w:rPr>
                      <w:rFonts w:hint="eastAsia" w:cs="Times New Roman"/>
                      <w:i w:val="0"/>
                      <w:iCs w:val="0"/>
                      <w:color w:val="auto"/>
                      <w:kern w:val="0"/>
                      <w:sz w:val="18"/>
                      <w:szCs w:val="18"/>
                      <w:u w:val="none"/>
                      <w:lang w:val="en-US" w:eastAsia="zh-CN" w:bidi="ar"/>
                    </w:rPr>
                    <w:t>36</w:t>
                  </w:r>
                </w:p>
              </w:tc>
              <w:tc>
                <w:tcPr>
                  <w:tcW w:w="514" w:type="pct"/>
                  <w:vMerge w:val="continue"/>
                  <w:noWrap w:val="0"/>
                  <w:vAlign w:val="center"/>
                </w:tcPr>
                <w:p w14:paraId="77D7B39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FF0000"/>
                      <w:sz w:val="18"/>
                      <w:szCs w:val="18"/>
                      <w:highlight w:val="none"/>
                      <w:lang w:val="en-US" w:eastAsia="zh-CN"/>
                    </w:rPr>
                  </w:pPr>
                </w:p>
              </w:tc>
              <w:tc>
                <w:tcPr>
                  <w:tcW w:w="344" w:type="pct"/>
                  <w:noWrap w:val="0"/>
                  <w:vAlign w:val="center"/>
                </w:tcPr>
                <w:p w14:paraId="45AD178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noWrap w:val="0"/>
                  <w:vAlign w:val="center"/>
                </w:tcPr>
                <w:p w14:paraId="10D44C4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3AE5FE37">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-102</w:t>
                  </w:r>
                </w:p>
              </w:tc>
              <w:tc>
                <w:tcPr>
                  <w:tcW w:w="260" w:type="pct"/>
                  <w:noWrap w:val="0"/>
                  <w:vAlign w:val="center"/>
                </w:tcPr>
                <w:p w14:paraId="4C8F2BB4">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0</w:t>
                  </w:r>
                </w:p>
              </w:tc>
              <w:tc>
                <w:tcPr>
                  <w:tcW w:w="244" w:type="pct"/>
                  <w:noWrap w:val="0"/>
                  <w:vAlign w:val="center"/>
                </w:tcPr>
                <w:p w14:paraId="654AA90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29D006E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07C38EE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63</w:t>
                  </w:r>
                  <w:r>
                    <w:rPr>
                      <w:rFonts w:hint="default" w:ascii="Times New Roman" w:hAnsi="Times New Roman" w:eastAsia="宋体" w:cs="Times New Roman"/>
                      <w:snapToGrid w:val="0"/>
                      <w:color w:val="auto"/>
                      <w:spacing w:val="0"/>
                      <w:kern w:val="0"/>
                      <w:sz w:val="18"/>
                      <w:szCs w:val="18"/>
                      <w:highlight w:val="none"/>
                      <w:lang w:val="en-US" w:eastAsia="zh-CN"/>
                    </w:rPr>
                    <w:t>m</w:t>
                  </w:r>
                </w:p>
                <w:p w14:paraId="56C452C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1078B7D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32</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6B65C7B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东：49.4</w:t>
                  </w:r>
                </w:p>
                <w:p w14:paraId="5962E75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48.8</w:t>
                  </w:r>
                </w:p>
                <w:p w14:paraId="45A4190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西：52.</w:t>
                  </w:r>
                </w:p>
                <w:p w14:paraId="0AA7CC2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54.8</w:t>
                  </w:r>
                </w:p>
              </w:tc>
              <w:tc>
                <w:tcPr>
                  <w:tcW w:w="157" w:type="pct"/>
                  <w:vMerge w:val="continue"/>
                  <w:noWrap w:val="0"/>
                  <w:vAlign w:val="center"/>
                </w:tcPr>
                <w:p w14:paraId="0E213D7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65EBEB8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55199CC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东：29.4</w:t>
                  </w:r>
                </w:p>
                <w:p w14:paraId="484A965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28.8</w:t>
                  </w:r>
                </w:p>
                <w:p w14:paraId="4C8FABC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西：32.0</w:t>
                  </w:r>
                </w:p>
                <w:p w14:paraId="6E0BCC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34.8</w:t>
                  </w:r>
                </w:p>
              </w:tc>
              <w:tc>
                <w:tcPr>
                  <w:tcW w:w="288" w:type="pct"/>
                  <w:noWrap w:val="0"/>
                  <w:vAlign w:val="center"/>
                </w:tcPr>
                <w:p w14:paraId="03A9304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D0E5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72C0CCF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42</w:t>
                  </w:r>
                </w:p>
              </w:tc>
              <w:tc>
                <w:tcPr>
                  <w:tcW w:w="189" w:type="pct"/>
                  <w:vMerge w:val="continue"/>
                  <w:noWrap w:val="0"/>
                  <w:vAlign w:val="center"/>
                </w:tcPr>
                <w:p w14:paraId="248D5A2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7A431DE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粗筛</w:t>
                  </w:r>
                </w:p>
              </w:tc>
              <w:tc>
                <w:tcPr>
                  <w:tcW w:w="514" w:type="pct"/>
                  <w:noWrap w:val="0"/>
                  <w:vAlign w:val="center"/>
                </w:tcPr>
                <w:p w14:paraId="6085032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φ2.4×8m</w:t>
                  </w:r>
                </w:p>
              </w:tc>
              <w:tc>
                <w:tcPr>
                  <w:tcW w:w="344" w:type="pct"/>
                  <w:noWrap w:val="0"/>
                  <w:vAlign w:val="center"/>
                </w:tcPr>
                <w:p w14:paraId="23DB15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269" w:type="pct"/>
                  <w:vMerge w:val="continue"/>
                  <w:noWrap w:val="0"/>
                  <w:vAlign w:val="center"/>
                </w:tcPr>
                <w:p w14:paraId="3C95842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4557BF6C">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-103</w:t>
                  </w:r>
                </w:p>
              </w:tc>
              <w:tc>
                <w:tcPr>
                  <w:tcW w:w="260" w:type="pct"/>
                  <w:noWrap w:val="0"/>
                  <w:vAlign w:val="center"/>
                </w:tcPr>
                <w:p w14:paraId="64C0462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w:t>
                  </w:r>
                </w:p>
              </w:tc>
              <w:tc>
                <w:tcPr>
                  <w:tcW w:w="244" w:type="pct"/>
                  <w:noWrap w:val="0"/>
                  <w:vAlign w:val="center"/>
                </w:tcPr>
                <w:p w14:paraId="4E48E3E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442B1ED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58</w:t>
                  </w:r>
                  <w:r>
                    <w:rPr>
                      <w:rFonts w:hint="default" w:ascii="Times New Roman" w:hAnsi="Times New Roman" w:eastAsia="宋体" w:cs="Times New Roman"/>
                      <w:snapToGrid w:val="0"/>
                      <w:color w:val="auto"/>
                      <w:spacing w:val="0"/>
                      <w:kern w:val="0"/>
                      <w:sz w:val="18"/>
                      <w:szCs w:val="18"/>
                      <w:highlight w:val="none"/>
                      <w:lang w:val="en-US" w:eastAsia="zh-CN"/>
                    </w:rPr>
                    <w:t>m</w:t>
                  </w:r>
                </w:p>
                <w:p w14:paraId="78E2338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79DFA27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46</w:t>
                  </w:r>
                  <w:r>
                    <w:rPr>
                      <w:rFonts w:hint="default" w:ascii="Times New Roman" w:hAnsi="Times New Roman" w:eastAsia="宋体" w:cs="Times New Roman"/>
                      <w:snapToGrid w:val="0"/>
                      <w:color w:val="auto"/>
                      <w:spacing w:val="0"/>
                      <w:kern w:val="0"/>
                      <w:sz w:val="18"/>
                      <w:szCs w:val="18"/>
                      <w:highlight w:val="none"/>
                      <w:lang w:val="en-US" w:eastAsia="zh-CN"/>
                    </w:rPr>
                    <w:t>m</w:t>
                  </w:r>
                </w:p>
                <w:p w14:paraId="4CD87C5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48</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5DDBD35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44.7</w:t>
                  </w:r>
                </w:p>
                <w:p w14:paraId="2BDBF75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47.1</w:t>
                  </w:r>
                </w:p>
                <w:p w14:paraId="222B5B8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西：46.7</w:t>
                  </w:r>
                </w:p>
                <w:p w14:paraId="5A51A86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46.4</w:t>
                  </w:r>
                </w:p>
              </w:tc>
              <w:tc>
                <w:tcPr>
                  <w:tcW w:w="157" w:type="pct"/>
                  <w:vMerge w:val="continue"/>
                  <w:noWrap w:val="0"/>
                  <w:vAlign w:val="center"/>
                </w:tcPr>
                <w:p w14:paraId="60BA192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6C300B8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4DE13AA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24.7</w:t>
                  </w:r>
                </w:p>
                <w:p w14:paraId="09AE2D9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27.1</w:t>
                  </w:r>
                </w:p>
                <w:p w14:paraId="19BDF88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西：26.7</w:t>
                  </w:r>
                </w:p>
                <w:p w14:paraId="210046E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26.4</w:t>
                  </w:r>
                </w:p>
              </w:tc>
              <w:tc>
                <w:tcPr>
                  <w:tcW w:w="288" w:type="pct"/>
                  <w:noWrap w:val="0"/>
                  <w:vAlign w:val="center"/>
                </w:tcPr>
                <w:p w14:paraId="336955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6CC9D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2AA99E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43</w:t>
                  </w:r>
                </w:p>
              </w:tc>
              <w:tc>
                <w:tcPr>
                  <w:tcW w:w="189" w:type="pct"/>
                  <w:vMerge w:val="continue"/>
                  <w:noWrap w:val="0"/>
                  <w:vAlign w:val="center"/>
                </w:tcPr>
                <w:p w14:paraId="0B636B2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22DBE62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整形机</w:t>
                  </w:r>
                </w:p>
              </w:tc>
              <w:tc>
                <w:tcPr>
                  <w:tcW w:w="514" w:type="pct"/>
                  <w:noWrap w:val="0"/>
                  <w:vAlign w:val="center"/>
                </w:tcPr>
                <w:p w14:paraId="42B23DA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ZXJ-500</w:t>
                  </w:r>
                </w:p>
              </w:tc>
              <w:tc>
                <w:tcPr>
                  <w:tcW w:w="344" w:type="pct"/>
                  <w:noWrap w:val="0"/>
                  <w:vAlign w:val="center"/>
                </w:tcPr>
                <w:p w14:paraId="7469AF5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75</w:t>
                  </w:r>
                </w:p>
              </w:tc>
              <w:tc>
                <w:tcPr>
                  <w:tcW w:w="269" w:type="pct"/>
                  <w:vMerge w:val="continue"/>
                  <w:noWrap w:val="0"/>
                  <w:vAlign w:val="center"/>
                </w:tcPr>
                <w:p w14:paraId="228E813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49A89DAC">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-103</w:t>
                  </w:r>
                </w:p>
              </w:tc>
              <w:tc>
                <w:tcPr>
                  <w:tcW w:w="260" w:type="pct"/>
                  <w:noWrap w:val="0"/>
                  <w:vAlign w:val="center"/>
                </w:tcPr>
                <w:p w14:paraId="28B070E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-19</w:t>
                  </w:r>
                </w:p>
              </w:tc>
              <w:tc>
                <w:tcPr>
                  <w:tcW w:w="244" w:type="pct"/>
                  <w:noWrap w:val="0"/>
                  <w:vAlign w:val="center"/>
                </w:tcPr>
                <w:p w14:paraId="081EF34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03914FF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58</w:t>
                  </w:r>
                  <w:r>
                    <w:rPr>
                      <w:rFonts w:hint="default" w:ascii="Times New Roman" w:hAnsi="Times New Roman" w:eastAsia="宋体" w:cs="Times New Roman"/>
                      <w:snapToGrid w:val="0"/>
                      <w:color w:val="auto"/>
                      <w:spacing w:val="0"/>
                      <w:kern w:val="0"/>
                      <w:sz w:val="18"/>
                      <w:szCs w:val="18"/>
                      <w:highlight w:val="none"/>
                      <w:lang w:val="en-US" w:eastAsia="zh-CN"/>
                    </w:rPr>
                    <w:t>m</w:t>
                  </w:r>
                </w:p>
                <w:p w14:paraId="7C1A750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42</w:t>
                  </w:r>
                  <w:r>
                    <w:rPr>
                      <w:rFonts w:hint="default" w:ascii="Times New Roman" w:hAnsi="Times New Roman" w:eastAsia="宋体" w:cs="Times New Roman"/>
                      <w:snapToGrid w:val="0"/>
                      <w:color w:val="auto"/>
                      <w:spacing w:val="0"/>
                      <w:kern w:val="0"/>
                      <w:sz w:val="18"/>
                      <w:szCs w:val="18"/>
                      <w:highlight w:val="none"/>
                      <w:lang w:val="en-US" w:eastAsia="zh-CN"/>
                    </w:rPr>
                    <w:t>m</w:t>
                  </w:r>
                </w:p>
                <w:p w14:paraId="771D6BF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46</w:t>
                  </w:r>
                  <w:r>
                    <w:rPr>
                      <w:rFonts w:hint="default" w:ascii="Times New Roman" w:hAnsi="Times New Roman" w:eastAsia="宋体" w:cs="Times New Roman"/>
                      <w:snapToGrid w:val="0"/>
                      <w:color w:val="auto"/>
                      <w:spacing w:val="0"/>
                      <w:kern w:val="0"/>
                      <w:sz w:val="18"/>
                      <w:szCs w:val="18"/>
                      <w:highlight w:val="none"/>
                      <w:lang w:val="en-US" w:eastAsia="zh-CN"/>
                    </w:rPr>
                    <w:t>m</w:t>
                  </w:r>
                </w:p>
                <w:p w14:paraId="2C5AE4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52</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6F9F7BA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39.7</w:t>
                  </w:r>
                </w:p>
                <w:p w14:paraId="516DBDC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42.5</w:t>
                  </w:r>
                </w:p>
                <w:p w14:paraId="66A28DB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西：41.7</w:t>
                  </w:r>
                </w:p>
                <w:p w14:paraId="6A7BEC9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40.7</w:t>
                  </w:r>
                </w:p>
              </w:tc>
              <w:tc>
                <w:tcPr>
                  <w:tcW w:w="157" w:type="pct"/>
                  <w:vMerge w:val="continue"/>
                  <w:noWrap w:val="0"/>
                  <w:vAlign w:val="center"/>
                </w:tcPr>
                <w:p w14:paraId="2A02684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4764A9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3E7D339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19.7</w:t>
                  </w:r>
                </w:p>
                <w:p w14:paraId="2D04F2A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22.5</w:t>
                  </w:r>
                </w:p>
                <w:p w14:paraId="2588A34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西：21.7</w:t>
                  </w:r>
                </w:p>
                <w:p w14:paraId="5C7CCCB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20.7</w:t>
                  </w:r>
                </w:p>
              </w:tc>
              <w:tc>
                <w:tcPr>
                  <w:tcW w:w="288" w:type="pct"/>
                  <w:noWrap w:val="0"/>
                  <w:vAlign w:val="center"/>
                </w:tcPr>
                <w:p w14:paraId="1CBAEC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241FB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0DCF4D7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44</w:t>
                  </w:r>
                </w:p>
              </w:tc>
              <w:tc>
                <w:tcPr>
                  <w:tcW w:w="189" w:type="pct"/>
                  <w:vMerge w:val="continue"/>
                  <w:noWrap w:val="0"/>
                  <w:vAlign w:val="center"/>
                </w:tcPr>
                <w:p w14:paraId="45ED1C6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1447315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热风机</w:t>
                  </w:r>
                </w:p>
              </w:tc>
              <w:tc>
                <w:tcPr>
                  <w:tcW w:w="514" w:type="pct"/>
                  <w:noWrap w:val="0"/>
                  <w:vAlign w:val="center"/>
                </w:tcPr>
                <w:p w14:paraId="165F9A2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4-72-12C</w:t>
                  </w:r>
                </w:p>
              </w:tc>
              <w:tc>
                <w:tcPr>
                  <w:tcW w:w="344" w:type="pct"/>
                  <w:noWrap w:val="0"/>
                  <w:vAlign w:val="center"/>
                </w:tcPr>
                <w:p w14:paraId="5009506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75</w:t>
                  </w:r>
                </w:p>
              </w:tc>
              <w:tc>
                <w:tcPr>
                  <w:tcW w:w="269" w:type="pct"/>
                  <w:vMerge w:val="continue"/>
                  <w:noWrap w:val="0"/>
                  <w:vAlign w:val="center"/>
                </w:tcPr>
                <w:p w14:paraId="7052CCB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4BA0C29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-122</w:t>
                  </w:r>
                </w:p>
              </w:tc>
              <w:tc>
                <w:tcPr>
                  <w:tcW w:w="260" w:type="pct"/>
                  <w:noWrap w:val="0"/>
                  <w:vAlign w:val="center"/>
                </w:tcPr>
                <w:p w14:paraId="121EC40F">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-20</w:t>
                  </w:r>
                </w:p>
              </w:tc>
              <w:tc>
                <w:tcPr>
                  <w:tcW w:w="244" w:type="pct"/>
                  <w:noWrap w:val="0"/>
                  <w:vAlign w:val="center"/>
                </w:tcPr>
                <w:p w14:paraId="08F43FD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81" w:type="pct"/>
                  <w:noWrap w:val="0"/>
                  <w:vAlign w:val="center"/>
                </w:tcPr>
                <w:p w14:paraId="3274C91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66</w:t>
                  </w:r>
                  <w:r>
                    <w:rPr>
                      <w:rFonts w:hint="default" w:ascii="Times New Roman" w:hAnsi="Times New Roman" w:eastAsia="宋体" w:cs="Times New Roman"/>
                      <w:snapToGrid w:val="0"/>
                      <w:color w:val="auto"/>
                      <w:spacing w:val="0"/>
                      <w:kern w:val="0"/>
                      <w:sz w:val="18"/>
                      <w:szCs w:val="18"/>
                      <w:highlight w:val="none"/>
                      <w:lang w:val="en-US" w:eastAsia="zh-CN"/>
                    </w:rPr>
                    <w:t>m</w:t>
                  </w:r>
                </w:p>
                <w:p w14:paraId="19F048E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37</w:t>
                  </w:r>
                  <w:r>
                    <w:rPr>
                      <w:rFonts w:hint="default" w:ascii="Times New Roman" w:hAnsi="Times New Roman" w:eastAsia="宋体" w:cs="Times New Roman"/>
                      <w:snapToGrid w:val="0"/>
                      <w:color w:val="auto"/>
                      <w:spacing w:val="0"/>
                      <w:kern w:val="0"/>
                      <w:sz w:val="18"/>
                      <w:szCs w:val="18"/>
                      <w:highlight w:val="none"/>
                      <w:lang w:val="en-US" w:eastAsia="zh-CN"/>
                    </w:rPr>
                    <w:t>m</w:t>
                  </w:r>
                </w:p>
                <w:p w14:paraId="65D0C80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38</w:t>
                  </w:r>
                  <w:r>
                    <w:rPr>
                      <w:rFonts w:hint="default" w:ascii="Times New Roman" w:hAnsi="Times New Roman" w:eastAsia="宋体" w:cs="Times New Roman"/>
                      <w:snapToGrid w:val="0"/>
                      <w:color w:val="auto"/>
                      <w:spacing w:val="0"/>
                      <w:kern w:val="0"/>
                      <w:sz w:val="18"/>
                      <w:szCs w:val="18"/>
                      <w:highlight w:val="none"/>
                      <w:lang w:val="en-US" w:eastAsia="zh-CN"/>
                    </w:rPr>
                    <w:t>m</w:t>
                  </w:r>
                </w:p>
                <w:p w14:paraId="368C89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55</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539C126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38.6</w:t>
                  </w:r>
                </w:p>
                <w:p w14:paraId="1F76253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43.6</w:t>
                  </w:r>
                </w:p>
                <w:p w14:paraId="719313D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43.4</w:t>
                  </w:r>
                </w:p>
                <w:p w14:paraId="0BA8ADC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40.2</w:t>
                  </w:r>
                </w:p>
              </w:tc>
              <w:tc>
                <w:tcPr>
                  <w:tcW w:w="157" w:type="pct"/>
                  <w:vMerge w:val="continue"/>
                  <w:noWrap w:val="0"/>
                  <w:vAlign w:val="center"/>
                </w:tcPr>
                <w:p w14:paraId="0EA51D8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1C0D7E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5568B4D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18.6</w:t>
                  </w:r>
                </w:p>
                <w:p w14:paraId="5276773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23.6</w:t>
                  </w:r>
                </w:p>
                <w:p w14:paraId="739361E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23.4</w:t>
                  </w:r>
                </w:p>
                <w:p w14:paraId="794B242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20.2</w:t>
                  </w:r>
                </w:p>
              </w:tc>
              <w:tc>
                <w:tcPr>
                  <w:tcW w:w="288" w:type="pct"/>
                  <w:noWrap w:val="0"/>
                  <w:vAlign w:val="center"/>
                </w:tcPr>
                <w:p w14:paraId="6F59104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77C5A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4BC1E44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45</w:t>
                  </w:r>
                </w:p>
              </w:tc>
              <w:tc>
                <w:tcPr>
                  <w:tcW w:w="189" w:type="pct"/>
                  <w:vMerge w:val="continue"/>
                  <w:noWrap w:val="0"/>
                  <w:vAlign w:val="center"/>
                </w:tcPr>
                <w:p w14:paraId="442F341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2076340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烘干机</w:t>
                  </w:r>
                </w:p>
              </w:tc>
              <w:tc>
                <w:tcPr>
                  <w:tcW w:w="514" w:type="pct"/>
                  <w:noWrap w:val="0"/>
                  <w:vAlign w:val="center"/>
                </w:tcPr>
                <w:p w14:paraId="1C76B24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φ2.2×22m</w:t>
                  </w:r>
                </w:p>
              </w:tc>
              <w:tc>
                <w:tcPr>
                  <w:tcW w:w="344" w:type="pct"/>
                  <w:noWrap w:val="0"/>
                  <w:vAlign w:val="center"/>
                </w:tcPr>
                <w:p w14:paraId="7A4EA4D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75</w:t>
                  </w:r>
                </w:p>
              </w:tc>
              <w:tc>
                <w:tcPr>
                  <w:tcW w:w="269" w:type="pct"/>
                  <w:vMerge w:val="continue"/>
                  <w:noWrap w:val="0"/>
                  <w:vAlign w:val="center"/>
                </w:tcPr>
                <w:p w14:paraId="395A434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65E65F00">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-122</w:t>
                  </w:r>
                </w:p>
              </w:tc>
              <w:tc>
                <w:tcPr>
                  <w:tcW w:w="260" w:type="pct"/>
                  <w:noWrap w:val="0"/>
                  <w:vAlign w:val="center"/>
                </w:tcPr>
                <w:p w14:paraId="1D654D6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-3</w:t>
                  </w:r>
                </w:p>
              </w:tc>
              <w:tc>
                <w:tcPr>
                  <w:tcW w:w="244" w:type="pct"/>
                  <w:noWrap w:val="0"/>
                  <w:vAlign w:val="center"/>
                </w:tcPr>
                <w:p w14:paraId="5B073BF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81" w:type="pct"/>
                  <w:noWrap w:val="0"/>
                  <w:vAlign w:val="center"/>
                </w:tcPr>
                <w:p w14:paraId="0A0AC53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74</w:t>
                  </w:r>
                  <w:r>
                    <w:rPr>
                      <w:rFonts w:hint="default" w:ascii="Times New Roman" w:hAnsi="Times New Roman" w:eastAsia="宋体" w:cs="Times New Roman"/>
                      <w:snapToGrid w:val="0"/>
                      <w:color w:val="auto"/>
                      <w:spacing w:val="0"/>
                      <w:kern w:val="0"/>
                      <w:sz w:val="18"/>
                      <w:szCs w:val="18"/>
                      <w:highlight w:val="none"/>
                      <w:lang w:val="en-US" w:eastAsia="zh-CN"/>
                    </w:rPr>
                    <w:t>m</w:t>
                  </w:r>
                </w:p>
                <w:p w14:paraId="193C309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52</w:t>
                  </w:r>
                  <w:r>
                    <w:rPr>
                      <w:rFonts w:hint="default" w:ascii="Times New Roman" w:hAnsi="Times New Roman" w:eastAsia="宋体" w:cs="Times New Roman"/>
                      <w:snapToGrid w:val="0"/>
                      <w:color w:val="auto"/>
                      <w:spacing w:val="0"/>
                      <w:kern w:val="0"/>
                      <w:sz w:val="18"/>
                      <w:szCs w:val="18"/>
                      <w:highlight w:val="none"/>
                      <w:lang w:val="en-US" w:eastAsia="zh-CN"/>
                    </w:rPr>
                    <w:t>m</w:t>
                  </w:r>
                </w:p>
                <w:p w14:paraId="60EE1E7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30</w:t>
                  </w:r>
                  <w:r>
                    <w:rPr>
                      <w:rFonts w:hint="default" w:ascii="Times New Roman" w:hAnsi="Times New Roman" w:eastAsia="宋体" w:cs="Times New Roman"/>
                      <w:snapToGrid w:val="0"/>
                      <w:color w:val="auto"/>
                      <w:spacing w:val="0"/>
                      <w:kern w:val="0"/>
                      <w:sz w:val="18"/>
                      <w:szCs w:val="18"/>
                      <w:highlight w:val="none"/>
                      <w:lang w:val="en-US" w:eastAsia="zh-CN"/>
                    </w:rPr>
                    <w:t>m</w:t>
                  </w:r>
                </w:p>
                <w:p w14:paraId="02B50A7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02D8055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37.6</w:t>
                  </w:r>
                </w:p>
                <w:p w14:paraId="59F7FF4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40.7</w:t>
                  </w:r>
                </w:p>
                <w:p w14:paraId="72E1FE9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45.5</w:t>
                  </w:r>
                </w:p>
                <w:p w14:paraId="030B28D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43.0</w:t>
                  </w:r>
                </w:p>
              </w:tc>
              <w:tc>
                <w:tcPr>
                  <w:tcW w:w="157" w:type="pct"/>
                  <w:vMerge w:val="continue"/>
                  <w:noWrap w:val="0"/>
                  <w:vAlign w:val="center"/>
                </w:tcPr>
                <w:p w14:paraId="19D90EC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1420A13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335E97C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17.6</w:t>
                  </w:r>
                </w:p>
                <w:p w14:paraId="7D73255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20.7</w:t>
                  </w:r>
                </w:p>
                <w:p w14:paraId="70B6671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25.5</w:t>
                  </w:r>
                </w:p>
                <w:p w14:paraId="1F8276E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23.0</w:t>
                  </w:r>
                </w:p>
              </w:tc>
              <w:tc>
                <w:tcPr>
                  <w:tcW w:w="288" w:type="pct"/>
                  <w:noWrap w:val="0"/>
                  <w:vAlign w:val="center"/>
                </w:tcPr>
                <w:p w14:paraId="6468982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FC70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16596AD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46</w:t>
                  </w:r>
                </w:p>
              </w:tc>
              <w:tc>
                <w:tcPr>
                  <w:tcW w:w="189" w:type="pct"/>
                  <w:vMerge w:val="continue"/>
                  <w:noWrap w:val="0"/>
                  <w:vAlign w:val="center"/>
                </w:tcPr>
                <w:p w14:paraId="47E206D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3346AD3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冷却机</w:t>
                  </w:r>
                </w:p>
              </w:tc>
              <w:tc>
                <w:tcPr>
                  <w:tcW w:w="514" w:type="pct"/>
                  <w:noWrap w:val="0"/>
                  <w:vAlign w:val="center"/>
                </w:tcPr>
                <w:p w14:paraId="77CAA6D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φ2.2×20m</w:t>
                  </w:r>
                </w:p>
              </w:tc>
              <w:tc>
                <w:tcPr>
                  <w:tcW w:w="344" w:type="pct"/>
                  <w:noWrap w:val="0"/>
                  <w:vAlign w:val="center"/>
                </w:tcPr>
                <w:p w14:paraId="3D4BD5D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75</w:t>
                  </w:r>
                </w:p>
              </w:tc>
              <w:tc>
                <w:tcPr>
                  <w:tcW w:w="269" w:type="pct"/>
                  <w:vMerge w:val="continue"/>
                  <w:noWrap w:val="0"/>
                  <w:vAlign w:val="center"/>
                </w:tcPr>
                <w:p w14:paraId="1F44311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6C335CF7">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-115</w:t>
                  </w:r>
                </w:p>
              </w:tc>
              <w:tc>
                <w:tcPr>
                  <w:tcW w:w="260" w:type="pct"/>
                  <w:noWrap w:val="0"/>
                  <w:vAlign w:val="center"/>
                </w:tcPr>
                <w:p w14:paraId="262F8D8B">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-4</w:t>
                  </w:r>
                </w:p>
              </w:tc>
              <w:tc>
                <w:tcPr>
                  <w:tcW w:w="244" w:type="pct"/>
                  <w:noWrap w:val="0"/>
                  <w:vAlign w:val="center"/>
                </w:tcPr>
                <w:p w14:paraId="5D56558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81" w:type="pct"/>
                  <w:noWrap w:val="0"/>
                  <w:vAlign w:val="center"/>
                </w:tcPr>
                <w:p w14:paraId="2C58E68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69</w:t>
                  </w:r>
                  <w:r>
                    <w:rPr>
                      <w:rFonts w:hint="default" w:ascii="Times New Roman" w:hAnsi="Times New Roman" w:eastAsia="宋体" w:cs="Times New Roman"/>
                      <w:snapToGrid w:val="0"/>
                      <w:color w:val="auto"/>
                      <w:spacing w:val="0"/>
                      <w:kern w:val="0"/>
                      <w:sz w:val="18"/>
                      <w:szCs w:val="18"/>
                      <w:highlight w:val="none"/>
                      <w:lang w:val="en-US" w:eastAsia="zh-CN"/>
                    </w:rPr>
                    <w:t>m</w:t>
                  </w:r>
                </w:p>
                <w:p w14:paraId="38B0F37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52</w:t>
                  </w:r>
                  <w:r>
                    <w:rPr>
                      <w:rFonts w:hint="default" w:ascii="Times New Roman" w:hAnsi="Times New Roman" w:eastAsia="宋体" w:cs="Times New Roman"/>
                      <w:snapToGrid w:val="0"/>
                      <w:color w:val="auto"/>
                      <w:spacing w:val="0"/>
                      <w:kern w:val="0"/>
                      <w:sz w:val="18"/>
                      <w:szCs w:val="18"/>
                      <w:highlight w:val="none"/>
                      <w:lang w:val="en-US" w:eastAsia="zh-CN"/>
                    </w:rPr>
                    <w:t>m</w:t>
                  </w:r>
                </w:p>
                <w:p w14:paraId="5A684B9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35</w:t>
                  </w:r>
                  <w:r>
                    <w:rPr>
                      <w:rFonts w:hint="default" w:ascii="Times New Roman" w:hAnsi="Times New Roman" w:eastAsia="宋体" w:cs="Times New Roman"/>
                      <w:snapToGrid w:val="0"/>
                      <w:color w:val="auto"/>
                      <w:spacing w:val="0"/>
                      <w:kern w:val="0"/>
                      <w:sz w:val="18"/>
                      <w:szCs w:val="18"/>
                      <w:highlight w:val="none"/>
                      <w:lang w:val="en-US" w:eastAsia="zh-CN"/>
                    </w:rPr>
                    <w:t>m</w:t>
                  </w:r>
                </w:p>
                <w:p w14:paraId="372C408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0632849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38.2</w:t>
                  </w:r>
                </w:p>
                <w:p w14:paraId="2F6607D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40.7</w:t>
                  </w:r>
                </w:p>
                <w:p w14:paraId="52E30C4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44.1</w:t>
                  </w:r>
                </w:p>
                <w:p w14:paraId="03F80AD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43.0</w:t>
                  </w:r>
                </w:p>
              </w:tc>
              <w:tc>
                <w:tcPr>
                  <w:tcW w:w="157" w:type="pct"/>
                  <w:vMerge w:val="continue"/>
                  <w:noWrap w:val="0"/>
                  <w:vAlign w:val="center"/>
                </w:tcPr>
                <w:p w14:paraId="15D3DC8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51614CB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6739A6E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18.2</w:t>
                  </w:r>
                </w:p>
                <w:p w14:paraId="34F003E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20.7</w:t>
                  </w:r>
                </w:p>
                <w:p w14:paraId="2CD8AD2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24.1</w:t>
                  </w:r>
                </w:p>
                <w:p w14:paraId="479C349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23.0</w:t>
                  </w:r>
                </w:p>
              </w:tc>
              <w:tc>
                <w:tcPr>
                  <w:tcW w:w="288" w:type="pct"/>
                  <w:noWrap w:val="0"/>
                  <w:vAlign w:val="center"/>
                </w:tcPr>
                <w:p w14:paraId="1A7E431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A28A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2" w:hRule="atLeast"/>
              </w:trPr>
              <w:tc>
                <w:tcPr>
                  <w:tcW w:w="115" w:type="pct"/>
                  <w:shd w:val="clear" w:color="auto" w:fill="auto"/>
                  <w:noWrap w:val="0"/>
                  <w:vAlign w:val="center"/>
                </w:tcPr>
                <w:p w14:paraId="07017D1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47</w:t>
                  </w:r>
                </w:p>
              </w:tc>
              <w:tc>
                <w:tcPr>
                  <w:tcW w:w="189" w:type="pct"/>
                  <w:vMerge w:val="continue"/>
                  <w:noWrap w:val="0"/>
                  <w:vAlign w:val="center"/>
                </w:tcPr>
                <w:p w14:paraId="0F2A1A0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62EA315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精筛</w:t>
                  </w:r>
                </w:p>
              </w:tc>
              <w:tc>
                <w:tcPr>
                  <w:tcW w:w="514" w:type="pct"/>
                  <w:noWrap w:val="0"/>
                  <w:vAlign w:val="center"/>
                </w:tcPr>
                <w:p w14:paraId="13B2553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φ2.4×8m</w:t>
                  </w:r>
                </w:p>
              </w:tc>
              <w:tc>
                <w:tcPr>
                  <w:tcW w:w="344" w:type="pct"/>
                  <w:noWrap w:val="0"/>
                  <w:vAlign w:val="center"/>
                </w:tcPr>
                <w:p w14:paraId="107E93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269" w:type="pct"/>
                  <w:vMerge w:val="continue"/>
                  <w:noWrap w:val="0"/>
                  <w:vAlign w:val="center"/>
                </w:tcPr>
                <w:p w14:paraId="34E234D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516C196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-109</w:t>
                  </w:r>
                </w:p>
              </w:tc>
              <w:tc>
                <w:tcPr>
                  <w:tcW w:w="260" w:type="pct"/>
                  <w:noWrap w:val="0"/>
                  <w:vAlign w:val="center"/>
                </w:tcPr>
                <w:p w14:paraId="36D1D34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-18</w:t>
                  </w:r>
                </w:p>
              </w:tc>
              <w:tc>
                <w:tcPr>
                  <w:tcW w:w="244" w:type="pct"/>
                  <w:noWrap w:val="0"/>
                  <w:vAlign w:val="center"/>
                </w:tcPr>
                <w:p w14:paraId="0BBE034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0281E04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63</w:t>
                  </w:r>
                  <w:r>
                    <w:rPr>
                      <w:rFonts w:hint="default" w:ascii="Times New Roman" w:hAnsi="Times New Roman" w:eastAsia="宋体" w:cs="Times New Roman"/>
                      <w:snapToGrid w:val="0"/>
                      <w:color w:val="auto"/>
                      <w:spacing w:val="0"/>
                      <w:kern w:val="0"/>
                      <w:sz w:val="18"/>
                      <w:szCs w:val="18"/>
                      <w:highlight w:val="none"/>
                      <w:lang w:val="en-US" w:eastAsia="zh-CN"/>
                    </w:rPr>
                    <w:t>m</w:t>
                  </w:r>
                </w:p>
                <w:p w14:paraId="503A062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503FDD9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41</w:t>
                  </w:r>
                  <w:r>
                    <w:rPr>
                      <w:rFonts w:hint="default" w:ascii="Times New Roman" w:hAnsi="Times New Roman" w:eastAsia="宋体" w:cs="Times New Roman"/>
                      <w:snapToGrid w:val="0"/>
                      <w:color w:val="auto"/>
                      <w:spacing w:val="0"/>
                      <w:kern w:val="0"/>
                      <w:sz w:val="18"/>
                      <w:szCs w:val="18"/>
                      <w:highlight w:val="none"/>
                      <w:lang w:val="en-US" w:eastAsia="zh-CN"/>
                    </w:rPr>
                    <w:t>m</w:t>
                  </w:r>
                </w:p>
                <w:p w14:paraId="76CD7F2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48</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4356CEF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44.1</w:t>
                  </w:r>
                </w:p>
                <w:p w14:paraId="7847B1D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47.1</w:t>
                  </w:r>
                </w:p>
                <w:p w14:paraId="33E7763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47.7</w:t>
                  </w:r>
                </w:p>
                <w:p w14:paraId="41B6B9B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46.4</w:t>
                  </w:r>
                </w:p>
              </w:tc>
              <w:tc>
                <w:tcPr>
                  <w:tcW w:w="157" w:type="pct"/>
                  <w:vMerge w:val="continue"/>
                  <w:noWrap w:val="0"/>
                  <w:vAlign w:val="center"/>
                </w:tcPr>
                <w:p w14:paraId="0C418F2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319DE7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23C2BCF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24.1</w:t>
                  </w:r>
                </w:p>
                <w:p w14:paraId="2296D8F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27.1</w:t>
                  </w:r>
                </w:p>
                <w:p w14:paraId="5EB30B0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27.7</w:t>
                  </w:r>
                </w:p>
                <w:p w14:paraId="109EE0B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26.4</w:t>
                  </w:r>
                </w:p>
              </w:tc>
              <w:tc>
                <w:tcPr>
                  <w:tcW w:w="288" w:type="pct"/>
                  <w:noWrap w:val="0"/>
                  <w:vAlign w:val="center"/>
                </w:tcPr>
                <w:p w14:paraId="0D5603D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1869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5E8B49E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48</w:t>
                  </w:r>
                </w:p>
              </w:tc>
              <w:tc>
                <w:tcPr>
                  <w:tcW w:w="189" w:type="pct"/>
                  <w:vMerge w:val="continue"/>
                  <w:noWrap w:val="0"/>
                  <w:vAlign w:val="center"/>
                </w:tcPr>
                <w:p w14:paraId="5E0FF93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704791A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包膜机</w:t>
                  </w:r>
                </w:p>
              </w:tc>
              <w:tc>
                <w:tcPr>
                  <w:tcW w:w="514" w:type="pct"/>
                  <w:noWrap w:val="0"/>
                  <w:vAlign w:val="center"/>
                </w:tcPr>
                <w:p w14:paraId="65114CB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φ2.0×7+2m</w:t>
                  </w:r>
                </w:p>
              </w:tc>
              <w:tc>
                <w:tcPr>
                  <w:tcW w:w="344" w:type="pct"/>
                  <w:noWrap w:val="0"/>
                  <w:vAlign w:val="center"/>
                </w:tcPr>
                <w:p w14:paraId="2827E63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70</w:t>
                  </w:r>
                </w:p>
              </w:tc>
              <w:tc>
                <w:tcPr>
                  <w:tcW w:w="269" w:type="pct"/>
                  <w:vMerge w:val="continue"/>
                  <w:noWrap w:val="0"/>
                  <w:vAlign w:val="center"/>
                </w:tcPr>
                <w:p w14:paraId="3283253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62D350BA">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-109</w:t>
                  </w:r>
                </w:p>
              </w:tc>
              <w:tc>
                <w:tcPr>
                  <w:tcW w:w="260" w:type="pct"/>
                  <w:noWrap w:val="0"/>
                  <w:vAlign w:val="center"/>
                </w:tcPr>
                <w:p w14:paraId="6376DAD9">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6</w:t>
                  </w:r>
                </w:p>
              </w:tc>
              <w:tc>
                <w:tcPr>
                  <w:tcW w:w="244" w:type="pct"/>
                  <w:noWrap w:val="0"/>
                  <w:vAlign w:val="center"/>
                </w:tcPr>
                <w:p w14:paraId="4526AF2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31E2B91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66</w:t>
                  </w:r>
                  <w:r>
                    <w:rPr>
                      <w:rFonts w:hint="default" w:ascii="Times New Roman" w:hAnsi="Times New Roman" w:eastAsia="宋体" w:cs="Times New Roman"/>
                      <w:snapToGrid w:val="0"/>
                      <w:color w:val="auto"/>
                      <w:spacing w:val="0"/>
                      <w:kern w:val="0"/>
                      <w:sz w:val="18"/>
                      <w:szCs w:val="18"/>
                      <w:highlight w:val="none"/>
                      <w:lang w:val="en-US" w:eastAsia="zh-CN"/>
                    </w:rPr>
                    <w:t>m</w:t>
                  </w:r>
                </w:p>
                <w:p w14:paraId="3493759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62</w:t>
                  </w:r>
                  <w:r>
                    <w:rPr>
                      <w:rFonts w:hint="default" w:ascii="Times New Roman" w:hAnsi="Times New Roman" w:eastAsia="宋体" w:cs="Times New Roman"/>
                      <w:snapToGrid w:val="0"/>
                      <w:color w:val="auto"/>
                      <w:spacing w:val="0"/>
                      <w:kern w:val="0"/>
                      <w:sz w:val="18"/>
                      <w:szCs w:val="18"/>
                      <w:highlight w:val="none"/>
                      <w:lang w:val="en-US" w:eastAsia="zh-CN"/>
                    </w:rPr>
                    <w:t>m</w:t>
                  </w:r>
                </w:p>
                <w:p w14:paraId="3431369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38</w:t>
                  </w:r>
                  <w:r>
                    <w:rPr>
                      <w:rFonts w:hint="default" w:ascii="Times New Roman" w:hAnsi="Times New Roman" w:eastAsia="宋体" w:cs="Times New Roman"/>
                      <w:snapToGrid w:val="0"/>
                      <w:color w:val="auto"/>
                      <w:spacing w:val="0"/>
                      <w:kern w:val="0"/>
                      <w:sz w:val="18"/>
                      <w:szCs w:val="18"/>
                      <w:highlight w:val="none"/>
                      <w:lang w:val="en-US" w:eastAsia="zh-CN"/>
                    </w:rPr>
                    <w:t>m</w:t>
                  </w:r>
                </w:p>
                <w:p w14:paraId="26E2A64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30</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1FBAFEC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38.6</w:t>
                  </w:r>
                </w:p>
                <w:p w14:paraId="43CDF51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34.1</w:t>
                  </w:r>
                </w:p>
                <w:p w14:paraId="6F8AEA0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43.4</w:t>
                  </w:r>
                </w:p>
                <w:p w14:paraId="30DFD7F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40.5</w:t>
                  </w:r>
                </w:p>
              </w:tc>
              <w:tc>
                <w:tcPr>
                  <w:tcW w:w="157" w:type="pct"/>
                  <w:vMerge w:val="continue"/>
                  <w:noWrap w:val="0"/>
                  <w:vAlign w:val="center"/>
                </w:tcPr>
                <w:p w14:paraId="3E5AD8C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7FAC044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24E8490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18.6</w:t>
                  </w:r>
                </w:p>
                <w:p w14:paraId="542846E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14.1</w:t>
                  </w:r>
                </w:p>
                <w:p w14:paraId="5573DD8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23.4</w:t>
                  </w:r>
                </w:p>
                <w:p w14:paraId="1C90AB4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20.5</w:t>
                  </w:r>
                </w:p>
              </w:tc>
              <w:tc>
                <w:tcPr>
                  <w:tcW w:w="288" w:type="pct"/>
                  <w:noWrap w:val="0"/>
                  <w:vAlign w:val="center"/>
                </w:tcPr>
                <w:p w14:paraId="007A96E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60AF2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4AA1AF0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49</w:t>
                  </w:r>
                </w:p>
              </w:tc>
              <w:tc>
                <w:tcPr>
                  <w:tcW w:w="189" w:type="pct"/>
                  <w:vMerge w:val="continue"/>
                  <w:noWrap w:val="0"/>
                  <w:vAlign w:val="center"/>
                </w:tcPr>
                <w:p w14:paraId="1003F08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79517DA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包装机</w:t>
                  </w:r>
                </w:p>
              </w:tc>
              <w:tc>
                <w:tcPr>
                  <w:tcW w:w="514" w:type="pct"/>
                  <w:noWrap w:val="0"/>
                  <w:vAlign w:val="center"/>
                </w:tcPr>
                <w:p w14:paraId="207CC91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LCS-50D</w:t>
                  </w:r>
                </w:p>
              </w:tc>
              <w:tc>
                <w:tcPr>
                  <w:tcW w:w="344" w:type="pct"/>
                  <w:noWrap w:val="0"/>
                  <w:vAlign w:val="center"/>
                </w:tcPr>
                <w:p w14:paraId="700231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70</w:t>
                  </w:r>
                </w:p>
              </w:tc>
              <w:tc>
                <w:tcPr>
                  <w:tcW w:w="269" w:type="pct"/>
                  <w:vMerge w:val="continue"/>
                  <w:noWrap w:val="0"/>
                  <w:vAlign w:val="center"/>
                </w:tcPr>
                <w:p w14:paraId="01BCAD0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7E6C7F49">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-109</w:t>
                  </w:r>
                </w:p>
              </w:tc>
              <w:tc>
                <w:tcPr>
                  <w:tcW w:w="260" w:type="pct"/>
                  <w:noWrap w:val="0"/>
                  <w:vAlign w:val="center"/>
                </w:tcPr>
                <w:p w14:paraId="05E1C638">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244" w:type="pct"/>
                  <w:noWrap w:val="0"/>
                  <w:vAlign w:val="center"/>
                </w:tcPr>
                <w:p w14:paraId="7EF3F2E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1FA5741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74</w:t>
                  </w:r>
                  <w:r>
                    <w:rPr>
                      <w:rFonts w:hint="default" w:ascii="Times New Roman" w:hAnsi="Times New Roman" w:eastAsia="宋体" w:cs="Times New Roman"/>
                      <w:snapToGrid w:val="0"/>
                      <w:color w:val="auto"/>
                      <w:spacing w:val="0"/>
                      <w:kern w:val="0"/>
                      <w:sz w:val="18"/>
                      <w:szCs w:val="18"/>
                      <w:highlight w:val="none"/>
                      <w:lang w:val="en-US" w:eastAsia="zh-CN"/>
                    </w:rPr>
                    <w:t>m</w:t>
                  </w:r>
                </w:p>
                <w:p w14:paraId="787BFDA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68</w:t>
                  </w:r>
                  <w:r>
                    <w:rPr>
                      <w:rFonts w:hint="default" w:ascii="Times New Roman" w:hAnsi="Times New Roman" w:eastAsia="宋体" w:cs="Times New Roman"/>
                      <w:snapToGrid w:val="0"/>
                      <w:color w:val="auto"/>
                      <w:spacing w:val="0"/>
                      <w:kern w:val="0"/>
                      <w:sz w:val="18"/>
                      <w:szCs w:val="18"/>
                      <w:highlight w:val="none"/>
                      <w:lang w:val="en-US" w:eastAsia="zh-CN"/>
                    </w:rPr>
                    <w:t>m</w:t>
                  </w:r>
                </w:p>
                <w:p w14:paraId="4E82F49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30</w:t>
                  </w:r>
                  <w:r>
                    <w:rPr>
                      <w:rFonts w:hint="default" w:ascii="Times New Roman" w:hAnsi="Times New Roman" w:eastAsia="宋体" w:cs="Times New Roman"/>
                      <w:snapToGrid w:val="0"/>
                      <w:color w:val="auto"/>
                      <w:spacing w:val="0"/>
                      <w:kern w:val="0"/>
                      <w:sz w:val="18"/>
                      <w:szCs w:val="18"/>
                      <w:highlight w:val="none"/>
                      <w:lang w:val="en-US" w:eastAsia="zh-CN"/>
                    </w:rPr>
                    <w:t>m</w:t>
                  </w:r>
                </w:p>
                <w:p w14:paraId="30DE4D2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24</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1D463F4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37.6</w:t>
                  </w:r>
                </w:p>
                <w:p w14:paraId="41B6E07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33.6</w:t>
                  </w:r>
                </w:p>
                <w:p w14:paraId="73AAF96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45.5</w:t>
                  </w:r>
                </w:p>
                <w:p w14:paraId="5BFEB87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42.4</w:t>
                  </w:r>
                </w:p>
              </w:tc>
              <w:tc>
                <w:tcPr>
                  <w:tcW w:w="157" w:type="pct"/>
                  <w:vMerge w:val="continue"/>
                  <w:noWrap w:val="0"/>
                  <w:vAlign w:val="center"/>
                </w:tcPr>
                <w:p w14:paraId="055303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52F03A2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1469441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17.6</w:t>
                  </w:r>
                </w:p>
                <w:p w14:paraId="3E7E3C2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13.6</w:t>
                  </w:r>
                </w:p>
                <w:p w14:paraId="06D929D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25.5</w:t>
                  </w:r>
                </w:p>
                <w:p w14:paraId="7542FEC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22.4</w:t>
                  </w:r>
                </w:p>
              </w:tc>
              <w:tc>
                <w:tcPr>
                  <w:tcW w:w="288" w:type="pct"/>
                  <w:noWrap w:val="0"/>
                  <w:vAlign w:val="center"/>
                </w:tcPr>
                <w:p w14:paraId="492824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2A786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7FBFF17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50</w:t>
                  </w:r>
                </w:p>
              </w:tc>
              <w:tc>
                <w:tcPr>
                  <w:tcW w:w="189" w:type="pct"/>
                  <w:vMerge w:val="continue"/>
                  <w:noWrap w:val="0"/>
                  <w:vAlign w:val="center"/>
                </w:tcPr>
                <w:p w14:paraId="1E9C4B8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7DB3304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包装机</w:t>
                  </w:r>
                </w:p>
              </w:tc>
              <w:tc>
                <w:tcPr>
                  <w:tcW w:w="514" w:type="pct"/>
                  <w:noWrap w:val="0"/>
                  <w:vAlign w:val="center"/>
                </w:tcPr>
                <w:p w14:paraId="1E4A504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LCS-1000</w:t>
                  </w:r>
                </w:p>
              </w:tc>
              <w:tc>
                <w:tcPr>
                  <w:tcW w:w="344" w:type="pct"/>
                  <w:noWrap w:val="0"/>
                  <w:vAlign w:val="center"/>
                </w:tcPr>
                <w:p w14:paraId="1D5DBD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70</w:t>
                  </w:r>
                </w:p>
              </w:tc>
              <w:tc>
                <w:tcPr>
                  <w:tcW w:w="269" w:type="pct"/>
                  <w:vMerge w:val="continue"/>
                  <w:noWrap w:val="0"/>
                  <w:vAlign w:val="center"/>
                </w:tcPr>
                <w:p w14:paraId="3211EB8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483105CC">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-108</w:t>
                  </w:r>
                </w:p>
              </w:tc>
              <w:tc>
                <w:tcPr>
                  <w:tcW w:w="260" w:type="pct"/>
                  <w:noWrap w:val="0"/>
                  <w:vAlign w:val="center"/>
                </w:tcPr>
                <w:p w14:paraId="78EC9E65">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0</w:t>
                  </w:r>
                </w:p>
              </w:tc>
              <w:tc>
                <w:tcPr>
                  <w:tcW w:w="244" w:type="pct"/>
                  <w:noWrap w:val="0"/>
                  <w:vAlign w:val="center"/>
                </w:tcPr>
                <w:p w14:paraId="444B528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1.5</w:t>
                  </w:r>
                </w:p>
              </w:tc>
              <w:tc>
                <w:tcPr>
                  <w:tcW w:w="481" w:type="pct"/>
                  <w:noWrap w:val="0"/>
                  <w:vAlign w:val="center"/>
                </w:tcPr>
                <w:p w14:paraId="56D4E46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74</w:t>
                  </w:r>
                  <w:r>
                    <w:rPr>
                      <w:rFonts w:hint="default" w:ascii="Times New Roman" w:hAnsi="Times New Roman" w:eastAsia="宋体" w:cs="Times New Roman"/>
                      <w:snapToGrid w:val="0"/>
                      <w:color w:val="auto"/>
                      <w:spacing w:val="0"/>
                      <w:kern w:val="0"/>
                      <w:sz w:val="18"/>
                      <w:szCs w:val="18"/>
                      <w:highlight w:val="none"/>
                      <w:lang w:val="en-US" w:eastAsia="zh-CN"/>
                    </w:rPr>
                    <w:t>m</w:t>
                  </w:r>
                </w:p>
                <w:p w14:paraId="56A1716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66</w:t>
                  </w:r>
                  <w:r>
                    <w:rPr>
                      <w:rFonts w:hint="default" w:ascii="Times New Roman" w:hAnsi="Times New Roman" w:eastAsia="宋体" w:cs="Times New Roman"/>
                      <w:snapToGrid w:val="0"/>
                      <w:color w:val="auto"/>
                      <w:spacing w:val="0"/>
                      <w:kern w:val="0"/>
                      <w:sz w:val="18"/>
                      <w:szCs w:val="18"/>
                      <w:highlight w:val="none"/>
                      <w:lang w:val="en-US" w:eastAsia="zh-CN"/>
                    </w:rPr>
                    <w:t>m</w:t>
                  </w:r>
                </w:p>
                <w:p w14:paraId="2FAE47A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30</w:t>
                  </w:r>
                  <w:r>
                    <w:rPr>
                      <w:rFonts w:hint="default" w:ascii="Times New Roman" w:hAnsi="Times New Roman" w:eastAsia="宋体" w:cs="Times New Roman"/>
                      <w:snapToGrid w:val="0"/>
                      <w:color w:val="auto"/>
                      <w:spacing w:val="0"/>
                      <w:kern w:val="0"/>
                      <w:sz w:val="18"/>
                      <w:szCs w:val="18"/>
                      <w:highlight w:val="none"/>
                      <w:lang w:val="en-US" w:eastAsia="zh-CN"/>
                    </w:rPr>
                    <w:t>m</w:t>
                  </w:r>
                </w:p>
                <w:p w14:paraId="67833C5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26</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77080D1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37.6</w:t>
                  </w:r>
                </w:p>
                <w:p w14:paraId="348275F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33.6</w:t>
                  </w:r>
                </w:p>
                <w:p w14:paraId="32C5035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40.5</w:t>
                  </w:r>
                </w:p>
                <w:p w14:paraId="1143D91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41.7</w:t>
                  </w:r>
                </w:p>
              </w:tc>
              <w:tc>
                <w:tcPr>
                  <w:tcW w:w="157" w:type="pct"/>
                  <w:vMerge w:val="continue"/>
                  <w:noWrap w:val="0"/>
                  <w:vAlign w:val="center"/>
                </w:tcPr>
                <w:p w14:paraId="5877FD0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7E384F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6CE7F35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17.6</w:t>
                  </w:r>
                </w:p>
                <w:p w14:paraId="552F740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13.6</w:t>
                  </w:r>
                </w:p>
                <w:p w14:paraId="14214BE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20.5</w:t>
                  </w:r>
                </w:p>
                <w:p w14:paraId="2AF502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21.7</w:t>
                  </w:r>
                </w:p>
              </w:tc>
              <w:tc>
                <w:tcPr>
                  <w:tcW w:w="288" w:type="pct"/>
                  <w:noWrap w:val="0"/>
                  <w:vAlign w:val="center"/>
                </w:tcPr>
                <w:p w14:paraId="7574BD4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3138D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726AA0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51</w:t>
                  </w:r>
                </w:p>
              </w:tc>
              <w:tc>
                <w:tcPr>
                  <w:tcW w:w="189" w:type="pct"/>
                  <w:vMerge w:val="continue"/>
                  <w:noWrap w:val="0"/>
                  <w:vAlign w:val="center"/>
                </w:tcPr>
                <w:p w14:paraId="51E25AC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75FD886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default" w:ascii="Times New Roman" w:hAnsi="Times New Roman" w:eastAsia="宋体" w:cs="Times New Roman"/>
                      <w:i w:val="0"/>
                      <w:iCs w:val="0"/>
                      <w:color w:val="auto"/>
                      <w:kern w:val="0"/>
                      <w:sz w:val="18"/>
                      <w:szCs w:val="18"/>
                      <w:u w:val="none"/>
                      <w:lang w:val="en-US" w:eastAsia="zh-CN" w:bidi="ar"/>
                    </w:rPr>
                    <w:t>空压机</w:t>
                  </w:r>
                </w:p>
              </w:tc>
              <w:tc>
                <w:tcPr>
                  <w:tcW w:w="514" w:type="pct"/>
                  <w:noWrap w:val="0"/>
                  <w:vAlign w:val="center"/>
                </w:tcPr>
                <w:p w14:paraId="6950D9A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p>
              </w:tc>
              <w:tc>
                <w:tcPr>
                  <w:tcW w:w="344" w:type="pct"/>
                  <w:noWrap w:val="0"/>
                  <w:vAlign w:val="center"/>
                </w:tcPr>
                <w:p w14:paraId="65810F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90</w:t>
                  </w:r>
                </w:p>
              </w:tc>
              <w:tc>
                <w:tcPr>
                  <w:tcW w:w="269" w:type="pct"/>
                  <w:vMerge w:val="continue"/>
                  <w:noWrap w:val="0"/>
                  <w:vAlign w:val="center"/>
                </w:tcPr>
                <w:p w14:paraId="6C9A5DA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637CA75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-122</w:t>
                  </w:r>
                </w:p>
              </w:tc>
              <w:tc>
                <w:tcPr>
                  <w:tcW w:w="260" w:type="pct"/>
                  <w:noWrap w:val="0"/>
                  <w:vAlign w:val="center"/>
                </w:tcPr>
                <w:p w14:paraId="61EBC9E7">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34</w:t>
                  </w:r>
                </w:p>
              </w:tc>
              <w:tc>
                <w:tcPr>
                  <w:tcW w:w="244" w:type="pct"/>
                  <w:noWrap w:val="0"/>
                  <w:vAlign w:val="center"/>
                </w:tcPr>
                <w:p w14:paraId="1638F9D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81" w:type="pct"/>
                  <w:noWrap w:val="0"/>
                  <w:vAlign w:val="center"/>
                </w:tcPr>
                <w:p w14:paraId="2C9C0C4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72</w:t>
                  </w:r>
                  <w:r>
                    <w:rPr>
                      <w:rFonts w:hint="default" w:ascii="Times New Roman" w:hAnsi="Times New Roman" w:eastAsia="宋体" w:cs="Times New Roman"/>
                      <w:snapToGrid w:val="0"/>
                      <w:color w:val="auto"/>
                      <w:spacing w:val="0"/>
                      <w:kern w:val="0"/>
                      <w:sz w:val="18"/>
                      <w:szCs w:val="18"/>
                      <w:highlight w:val="none"/>
                      <w:lang w:val="en-US" w:eastAsia="zh-CN"/>
                    </w:rPr>
                    <w:t>m</w:t>
                  </w:r>
                </w:p>
                <w:p w14:paraId="54806FC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67</w:t>
                  </w:r>
                  <w:r>
                    <w:rPr>
                      <w:rFonts w:hint="default" w:ascii="Times New Roman" w:hAnsi="Times New Roman" w:eastAsia="宋体" w:cs="Times New Roman"/>
                      <w:snapToGrid w:val="0"/>
                      <w:color w:val="auto"/>
                      <w:spacing w:val="0"/>
                      <w:kern w:val="0"/>
                      <w:sz w:val="18"/>
                      <w:szCs w:val="18"/>
                      <w:highlight w:val="none"/>
                      <w:lang w:val="en-US" w:eastAsia="zh-CN"/>
                    </w:rPr>
                    <w:t>m</w:t>
                  </w:r>
                </w:p>
                <w:p w14:paraId="69F1582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32</w:t>
                  </w:r>
                  <w:r>
                    <w:rPr>
                      <w:rFonts w:hint="default" w:ascii="Times New Roman" w:hAnsi="Times New Roman" w:eastAsia="宋体" w:cs="Times New Roman"/>
                      <w:snapToGrid w:val="0"/>
                      <w:color w:val="auto"/>
                      <w:spacing w:val="0"/>
                      <w:kern w:val="0"/>
                      <w:sz w:val="18"/>
                      <w:szCs w:val="18"/>
                      <w:highlight w:val="none"/>
                      <w:lang w:val="en-US" w:eastAsia="zh-CN"/>
                    </w:rPr>
                    <w:t>m</w:t>
                  </w:r>
                </w:p>
                <w:p w14:paraId="7662E01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461F073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42.9</w:t>
                  </w:r>
                </w:p>
                <w:p w14:paraId="05D1506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53.5</w:t>
                  </w:r>
                </w:p>
                <w:p w14:paraId="5618E5B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49.9</w:t>
                  </w:r>
                </w:p>
                <w:p w14:paraId="4292254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62.0</w:t>
                  </w:r>
                </w:p>
              </w:tc>
              <w:tc>
                <w:tcPr>
                  <w:tcW w:w="157" w:type="pct"/>
                  <w:vMerge w:val="continue"/>
                  <w:noWrap w:val="0"/>
                  <w:vAlign w:val="center"/>
                </w:tcPr>
                <w:p w14:paraId="5F8B38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5F72183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3D9F569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22.9</w:t>
                  </w:r>
                </w:p>
                <w:p w14:paraId="64131B9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33.5</w:t>
                  </w:r>
                </w:p>
                <w:p w14:paraId="39FF3CA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29.9</w:t>
                  </w:r>
                </w:p>
                <w:p w14:paraId="47F13D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42.0</w:t>
                  </w:r>
                </w:p>
              </w:tc>
              <w:tc>
                <w:tcPr>
                  <w:tcW w:w="288" w:type="pct"/>
                  <w:noWrap w:val="0"/>
                  <w:vAlign w:val="center"/>
                </w:tcPr>
                <w:p w14:paraId="686212C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372B3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125426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52</w:t>
                  </w:r>
                </w:p>
              </w:tc>
              <w:tc>
                <w:tcPr>
                  <w:tcW w:w="189" w:type="pct"/>
                  <w:vMerge w:val="continue"/>
                  <w:noWrap w:val="0"/>
                  <w:vAlign w:val="center"/>
                </w:tcPr>
                <w:p w14:paraId="14DFCE0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1BFBD8D0">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混合机刮板机</w:t>
                  </w:r>
                </w:p>
              </w:tc>
              <w:tc>
                <w:tcPr>
                  <w:tcW w:w="514" w:type="pct"/>
                  <w:noWrap w:val="0"/>
                  <w:vAlign w:val="center"/>
                </w:tcPr>
                <w:p w14:paraId="3426A32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MS630</w:t>
                  </w:r>
                </w:p>
              </w:tc>
              <w:tc>
                <w:tcPr>
                  <w:tcW w:w="344" w:type="pct"/>
                  <w:noWrap w:val="0"/>
                  <w:vAlign w:val="center"/>
                </w:tcPr>
                <w:p w14:paraId="0481646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75</w:t>
                  </w:r>
                </w:p>
              </w:tc>
              <w:tc>
                <w:tcPr>
                  <w:tcW w:w="269" w:type="pct"/>
                  <w:vMerge w:val="continue"/>
                  <w:noWrap w:val="0"/>
                  <w:vAlign w:val="center"/>
                </w:tcPr>
                <w:p w14:paraId="40166BA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54D89F8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-112</w:t>
                  </w:r>
                </w:p>
              </w:tc>
              <w:tc>
                <w:tcPr>
                  <w:tcW w:w="260" w:type="pct"/>
                  <w:noWrap w:val="0"/>
                  <w:vAlign w:val="center"/>
                </w:tcPr>
                <w:p w14:paraId="364F1AE7">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-60</w:t>
                  </w:r>
                </w:p>
              </w:tc>
              <w:tc>
                <w:tcPr>
                  <w:tcW w:w="244" w:type="pct"/>
                  <w:noWrap w:val="0"/>
                  <w:vAlign w:val="center"/>
                </w:tcPr>
                <w:p w14:paraId="02B11C6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81" w:type="pct"/>
                  <w:noWrap w:val="0"/>
                  <w:vAlign w:val="center"/>
                </w:tcPr>
                <w:p w14:paraId="6EE09BF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56</w:t>
                  </w:r>
                  <w:r>
                    <w:rPr>
                      <w:rFonts w:hint="default" w:ascii="Times New Roman" w:hAnsi="Times New Roman" w:eastAsia="宋体" w:cs="Times New Roman"/>
                      <w:snapToGrid w:val="0"/>
                      <w:color w:val="auto"/>
                      <w:spacing w:val="0"/>
                      <w:kern w:val="0"/>
                      <w:sz w:val="18"/>
                      <w:szCs w:val="18"/>
                      <w:highlight w:val="none"/>
                      <w:lang w:val="en-US" w:eastAsia="zh-CN"/>
                    </w:rPr>
                    <w:t>m</w:t>
                  </w:r>
                </w:p>
                <w:p w14:paraId="2A16B40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82</w:t>
                  </w:r>
                  <w:r>
                    <w:rPr>
                      <w:rFonts w:hint="default" w:ascii="Times New Roman" w:hAnsi="Times New Roman" w:eastAsia="宋体" w:cs="Times New Roman"/>
                      <w:snapToGrid w:val="0"/>
                      <w:color w:val="auto"/>
                      <w:spacing w:val="0"/>
                      <w:kern w:val="0"/>
                      <w:sz w:val="18"/>
                      <w:szCs w:val="18"/>
                      <w:highlight w:val="none"/>
                      <w:lang w:val="en-US" w:eastAsia="zh-CN"/>
                    </w:rPr>
                    <w:t>m</w:t>
                  </w:r>
                </w:p>
                <w:p w14:paraId="75FAC02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48</w:t>
                  </w:r>
                  <w:r>
                    <w:rPr>
                      <w:rFonts w:hint="default" w:ascii="Times New Roman" w:hAnsi="Times New Roman" w:eastAsia="宋体" w:cs="Times New Roman"/>
                      <w:snapToGrid w:val="0"/>
                      <w:color w:val="auto"/>
                      <w:spacing w:val="0"/>
                      <w:kern w:val="0"/>
                      <w:sz w:val="18"/>
                      <w:szCs w:val="18"/>
                      <w:highlight w:val="none"/>
                      <w:lang w:val="en-US" w:eastAsia="zh-CN"/>
                    </w:rPr>
                    <w:t>m</w:t>
                  </w:r>
                </w:p>
                <w:p w14:paraId="113A61A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10</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46E81A6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45.0</w:t>
                  </w:r>
                </w:p>
                <w:p w14:paraId="6C23397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36.7</w:t>
                  </w:r>
                </w:p>
                <w:p w14:paraId="6717643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46.4</w:t>
                  </w:r>
                </w:p>
                <w:p w14:paraId="3ED6BAF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55.0</w:t>
                  </w:r>
                </w:p>
              </w:tc>
              <w:tc>
                <w:tcPr>
                  <w:tcW w:w="157" w:type="pct"/>
                  <w:vMerge w:val="continue"/>
                  <w:noWrap w:val="0"/>
                  <w:vAlign w:val="center"/>
                </w:tcPr>
                <w:p w14:paraId="08BC43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7ECA8F0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75FA485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25.0</w:t>
                  </w:r>
                </w:p>
                <w:p w14:paraId="77DA215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16.7</w:t>
                  </w:r>
                </w:p>
                <w:p w14:paraId="0C83BAA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26.4</w:t>
                  </w:r>
                </w:p>
                <w:p w14:paraId="19B867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35.0</w:t>
                  </w:r>
                </w:p>
              </w:tc>
              <w:tc>
                <w:tcPr>
                  <w:tcW w:w="288" w:type="pct"/>
                  <w:noWrap w:val="0"/>
                  <w:vAlign w:val="center"/>
                </w:tcPr>
                <w:p w14:paraId="1ECFC10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6E5EA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22E4429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snapToGrid w:val="0"/>
                      <w:color w:val="auto"/>
                      <w:spacing w:val="0"/>
                      <w:kern w:val="0"/>
                      <w:sz w:val="18"/>
                      <w:szCs w:val="18"/>
                      <w:highlight w:val="none"/>
                      <w:lang w:val="en-US" w:eastAsia="zh-CN"/>
                    </w:rPr>
                    <w:t>53</w:t>
                  </w:r>
                </w:p>
              </w:tc>
              <w:tc>
                <w:tcPr>
                  <w:tcW w:w="189" w:type="pct"/>
                  <w:vMerge w:val="continue"/>
                  <w:noWrap w:val="0"/>
                  <w:vAlign w:val="center"/>
                </w:tcPr>
                <w:p w14:paraId="7523F95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4449388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分料刮板机</w:t>
                  </w:r>
                </w:p>
              </w:tc>
              <w:tc>
                <w:tcPr>
                  <w:tcW w:w="514" w:type="pct"/>
                  <w:noWrap w:val="0"/>
                  <w:vAlign w:val="center"/>
                </w:tcPr>
                <w:p w14:paraId="0100A7B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MS630</w:t>
                  </w:r>
                </w:p>
              </w:tc>
              <w:tc>
                <w:tcPr>
                  <w:tcW w:w="344" w:type="pct"/>
                  <w:noWrap w:val="0"/>
                  <w:vAlign w:val="center"/>
                </w:tcPr>
                <w:p w14:paraId="094567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75</w:t>
                  </w:r>
                </w:p>
              </w:tc>
              <w:tc>
                <w:tcPr>
                  <w:tcW w:w="269" w:type="pct"/>
                  <w:vMerge w:val="continue"/>
                  <w:noWrap w:val="0"/>
                  <w:vAlign w:val="center"/>
                </w:tcPr>
                <w:p w14:paraId="70BDD8A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3BD0B945">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-98</w:t>
                  </w:r>
                </w:p>
              </w:tc>
              <w:tc>
                <w:tcPr>
                  <w:tcW w:w="260" w:type="pct"/>
                  <w:noWrap w:val="0"/>
                  <w:vAlign w:val="center"/>
                </w:tcPr>
                <w:p w14:paraId="6DB48E0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23</w:t>
                  </w:r>
                </w:p>
              </w:tc>
              <w:tc>
                <w:tcPr>
                  <w:tcW w:w="244" w:type="pct"/>
                  <w:noWrap w:val="0"/>
                  <w:vAlign w:val="center"/>
                </w:tcPr>
                <w:p w14:paraId="4E45291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81" w:type="pct"/>
                  <w:noWrap w:val="0"/>
                  <w:vAlign w:val="center"/>
                </w:tcPr>
                <w:p w14:paraId="50F77E8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40</w:t>
                  </w:r>
                  <w:r>
                    <w:rPr>
                      <w:rFonts w:hint="default" w:ascii="Times New Roman" w:hAnsi="Times New Roman" w:eastAsia="宋体" w:cs="Times New Roman"/>
                      <w:snapToGrid w:val="0"/>
                      <w:color w:val="auto"/>
                      <w:spacing w:val="0"/>
                      <w:kern w:val="0"/>
                      <w:sz w:val="18"/>
                      <w:szCs w:val="18"/>
                      <w:highlight w:val="none"/>
                      <w:lang w:val="en-US" w:eastAsia="zh-CN"/>
                    </w:rPr>
                    <w:t>m</w:t>
                  </w:r>
                </w:p>
                <w:p w14:paraId="22B98AC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84</w:t>
                  </w:r>
                  <w:r>
                    <w:rPr>
                      <w:rFonts w:hint="default" w:ascii="Times New Roman" w:hAnsi="Times New Roman" w:eastAsia="宋体" w:cs="Times New Roman"/>
                      <w:snapToGrid w:val="0"/>
                      <w:color w:val="auto"/>
                      <w:spacing w:val="0"/>
                      <w:kern w:val="0"/>
                      <w:sz w:val="18"/>
                      <w:szCs w:val="18"/>
                      <w:highlight w:val="none"/>
                      <w:lang w:val="en-US" w:eastAsia="zh-CN"/>
                    </w:rPr>
                    <w:t>m</w:t>
                  </w:r>
                </w:p>
                <w:p w14:paraId="0BBC7D6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64</w:t>
                  </w:r>
                  <w:r>
                    <w:rPr>
                      <w:rFonts w:hint="default" w:ascii="Times New Roman" w:hAnsi="Times New Roman" w:eastAsia="宋体" w:cs="Times New Roman"/>
                      <w:snapToGrid w:val="0"/>
                      <w:color w:val="auto"/>
                      <w:spacing w:val="0"/>
                      <w:kern w:val="0"/>
                      <w:sz w:val="18"/>
                      <w:szCs w:val="18"/>
                      <w:highlight w:val="none"/>
                      <w:lang w:val="en-US" w:eastAsia="zh-CN"/>
                    </w:rPr>
                    <w:t>m</w:t>
                  </w:r>
                </w:p>
                <w:p w14:paraId="2DACE91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8</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68080BA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48.0</w:t>
                  </w:r>
                </w:p>
                <w:p w14:paraId="5530466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36.5</w:t>
                  </w:r>
                </w:p>
                <w:p w14:paraId="43DC6F5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43.9</w:t>
                  </w:r>
                </w:p>
                <w:p w14:paraId="53D6D4B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56.9</w:t>
                  </w:r>
                </w:p>
              </w:tc>
              <w:tc>
                <w:tcPr>
                  <w:tcW w:w="157" w:type="pct"/>
                  <w:vMerge w:val="continue"/>
                  <w:noWrap w:val="0"/>
                  <w:vAlign w:val="center"/>
                </w:tcPr>
                <w:p w14:paraId="0FEE77D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7BC73ED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6D889EB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28.0</w:t>
                  </w:r>
                </w:p>
                <w:p w14:paraId="64F77A9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16.5</w:t>
                  </w:r>
                </w:p>
                <w:p w14:paraId="7F2F253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23.9</w:t>
                  </w:r>
                </w:p>
                <w:p w14:paraId="61890F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36.9</w:t>
                  </w:r>
                </w:p>
              </w:tc>
              <w:tc>
                <w:tcPr>
                  <w:tcW w:w="288" w:type="pct"/>
                  <w:noWrap w:val="0"/>
                  <w:vAlign w:val="center"/>
                </w:tcPr>
                <w:p w14:paraId="62E437F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02BE1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44B65F3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54</w:t>
                  </w:r>
                </w:p>
              </w:tc>
              <w:tc>
                <w:tcPr>
                  <w:tcW w:w="189" w:type="pct"/>
                  <w:vMerge w:val="continue"/>
                  <w:noWrap w:val="0"/>
                  <w:vAlign w:val="center"/>
                </w:tcPr>
                <w:p w14:paraId="49E709A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0A055FB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除尘返料输送机</w:t>
                  </w:r>
                </w:p>
              </w:tc>
              <w:tc>
                <w:tcPr>
                  <w:tcW w:w="514" w:type="pct"/>
                  <w:noWrap w:val="0"/>
                  <w:vAlign w:val="center"/>
                </w:tcPr>
                <w:p w14:paraId="050270A6">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B650</w:t>
                  </w:r>
                </w:p>
              </w:tc>
              <w:tc>
                <w:tcPr>
                  <w:tcW w:w="344" w:type="pct"/>
                  <w:noWrap w:val="0"/>
                  <w:vAlign w:val="center"/>
                </w:tcPr>
                <w:p w14:paraId="63DE3BB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70</w:t>
                  </w:r>
                </w:p>
              </w:tc>
              <w:tc>
                <w:tcPr>
                  <w:tcW w:w="269" w:type="pct"/>
                  <w:vMerge w:val="continue"/>
                  <w:noWrap w:val="0"/>
                  <w:vAlign w:val="center"/>
                </w:tcPr>
                <w:p w14:paraId="7C3C6AE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6055D10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-123</w:t>
                  </w:r>
                </w:p>
              </w:tc>
              <w:tc>
                <w:tcPr>
                  <w:tcW w:w="260" w:type="pct"/>
                  <w:noWrap w:val="0"/>
                  <w:vAlign w:val="center"/>
                </w:tcPr>
                <w:p w14:paraId="3B285EFF">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11</w:t>
                  </w:r>
                </w:p>
              </w:tc>
              <w:tc>
                <w:tcPr>
                  <w:tcW w:w="244" w:type="pct"/>
                  <w:noWrap w:val="0"/>
                  <w:vAlign w:val="center"/>
                </w:tcPr>
                <w:p w14:paraId="498091A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81" w:type="pct"/>
                  <w:noWrap w:val="0"/>
                  <w:vAlign w:val="center"/>
                </w:tcPr>
                <w:p w14:paraId="6848311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74</w:t>
                  </w:r>
                  <w:r>
                    <w:rPr>
                      <w:rFonts w:hint="default" w:ascii="Times New Roman" w:hAnsi="Times New Roman" w:eastAsia="宋体" w:cs="Times New Roman"/>
                      <w:snapToGrid w:val="0"/>
                      <w:color w:val="auto"/>
                      <w:spacing w:val="0"/>
                      <w:kern w:val="0"/>
                      <w:sz w:val="18"/>
                      <w:szCs w:val="18"/>
                      <w:highlight w:val="none"/>
                      <w:lang w:val="en-US" w:eastAsia="zh-CN"/>
                    </w:rPr>
                    <w:t>m</w:t>
                  </w:r>
                </w:p>
                <w:p w14:paraId="74549F9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50</w:t>
                  </w:r>
                  <w:r>
                    <w:rPr>
                      <w:rFonts w:hint="default" w:ascii="Times New Roman" w:hAnsi="Times New Roman" w:eastAsia="宋体" w:cs="Times New Roman"/>
                      <w:snapToGrid w:val="0"/>
                      <w:color w:val="auto"/>
                      <w:spacing w:val="0"/>
                      <w:kern w:val="0"/>
                      <w:sz w:val="18"/>
                      <w:szCs w:val="18"/>
                      <w:highlight w:val="none"/>
                      <w:lang w:val="en-US" w:eastAsia="zh-CN"/>
                    </w:rPr>
                    <w:t>m</w:t>
                  </w:r>
                </w:p>
                <w:p w14:paraId="40F89D9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30</w:t>
                  </w:r>
                  <w:r>
                    <w:rPr>
                      <w:rFonts w:hint="default" w:ascii="Times New Roman" w:hAnsi="Times New Roman" w:eastAsia="宋体" w:cs="Times New Roman"/>
                      <w:snapToGrid w:val="0"/>
                      <w:color w:val="auto"/>
                      <w:spacing w:val="0"/>
                      <w:kern w:val="0"/>
                      <w:sz w:val="18"/>
                      <w:szCs w:val="18"/>
                      <w:highlight w:val="none"/>
                      <w:lang w:val="en-US" w:eastAsia="zh-CN"/>
                    </w:rPr>
                    <w:t>m</w:t>
                  </w:r>
                </w:p>
                <w:p w14:paraId="38522D0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42</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7726FD0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37.6</w:t>
                  </w:r>
                </w:p>
                <w:p w14:paraId="57F6470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36.0</w:t>
                  </w:r>
                </w:p>
                <w:p w14:paraId="045447E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40.5</w:t>
                  </w:r>
                </w:p>
                <w:p w14:paraId="12DF80A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37.5</w:t>
                  </w:r>
                </w:p>
              </w:tc>
              <w:tc>
                <w:tcPr>
                  <w:tcW w:w="157" w:type="pct"/>
                  <w:vMerge w:val="continue"/>
                  <w:noWrap w:val="0"/>
                  <w:vAlign w:val="center"/>
                </w:tcPr>
                <w:p w14:paraId="2B4F553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54E4B4B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34BDCFF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17.6</w:t>
                  </w:r>
                </w:p>
                <w:p w14:paraId="68A5935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16.0</w:t>
                  </w:r>
                </w:p>
                <w:p w14:paraId="24F74BF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20.5</w:t>
                  </w:r>
                </w:p>
                <w:p w14:paraId="04634A1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17.5</w:t>
                  </w:r>
                </w:p>
              </w:tc>
              <w:tc>
                <w:tcPr>
                  <w:tcW w:w="288" w:type="pct"/>
                  <w:noWrap w:val="0"/>
                  <w:vAlign w:val="center"/>
                </w:tcPr>
                <w:p w14:paraId="45853B1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B60E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639269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55</w:t>
                  </w:r>
                </w:p>
              </w:tc>
              <w:tc>
                <w:tcPr>
                  <w:tcW w:w="189" w:type="pct"/>
                  <w:vMerge w:val="continue"/>
                  <w:noWrap w:val="0"/>
                  <w:vAlign w:val="center"/>
                </w:tcPr>
                <w:p w14:paraId="60F278D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1CD53341">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精筛返料输送机</w:t>
                  </w:r>
                </w:p>
              </w:tc>
              <w:tc>
                <w:tcPr>
                  <w:tcW w:w="514" w:type="pct"/>
                  <w:noWrap w:val="0"/>
                  <w:vAlign w:val="center"/>
                </w:tcPr>
                <w:p w14:paraId="37AC2DD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B650</w:t>
                  </w:r>
                </w:p>
              </w:tc>
              <w:tc>
                <w:tcPr>
                  <w:tcW w:w="344" w:type="pct"/>
                  <w:noWrap w:val="0"/>
                  <w:vAlign w:val="center"/>
                </w:tcPr>
                <w:p w14:paraId="7857734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70</w:t>
                  </w:r>
                </w:p>
              </w:tc>
              <w:tc>
                <w:tcPr>
                  <w:tcW w:w="269" w:type="pct"/>
                  <w:vMerge w:val="continue"/>
                  <w:noWrap w:val="0"/>
                  <w:vAlign w:val="center"/>
                </w:tcPr>
                <w:p w14:paraId="0CBD4B2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2654D1EC">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-109</w:t>
                  </w:r>
                </w:p>
              </w:tc>
              <w:tc>
                <w:tcPr>
                  <w:tcW w:w="260" w:type="pct"/>
                  <w:noWrap w:val="0"/>
                  <w:vAlign w:val="center"/>
                </w:tcPr>
                <w:p w14:paraId="5686A640">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-21</w:t>
                  </w:r>
                </w:p>
              </w:tc>
              <w:tc>
                <w:tcPr>
                  <w:tcW w:w="244" w:type="pct"/>
                  <w:noWrap w:val="0"/>
                  <w:vAlign w:val="center"/>
                </w:tcPr>
                <w:p w14:paraId="60FFD06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w:t>
                  </w:r>
                </w:p>
              </w:tc>
              <w:tc>
                <w:tcPr>
                  <w:tcW w:w="481" w:type="pct"/>
                  <w:noWrap w:val="0"/>
                  <w:vAlign w:val="center"/>
                </w:tcPr>
                <w:p w14:paraId="3FF8D39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63</w:t>
                  </w:r>
                  <w:r>
                    <w:rPr>
                      <w:rFonts w:hint="default" w:ascii="Times New Roman" w:hAnsi="Times New Roman" w:eastAsia="宋体" w:cs="Times New Roman"/>
                      <w:snapToGrid w:val="0"/>
                      <w:color w:val="auto"/>
                      <w:spacing w:val="0"/>
                      <w:kern w:val="0"/>
                      <w:sz w:val="18"/>
                      <w:szCs w:val="18"/>
                      <w:highlight w:val="none"/>
                      <w:lang w:val="en-US" w:eastAsia="zh-CN"/>
                    </w:rPr>
                    <w:t>m</w:t>
                  </w:r>
                </w:p>
                <w:p w14:paraId="005631C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4A36364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41</w:t>
                  </w:r>
                  <w:r>
                    <w:rPr>
                      <w:rFonts w:hint="default" w:ascii="Times New Roman" w:hAnsi="Times New Roman" w:eastAsia="宋体" w:cs="Times New Roman"/>
                      <w:snapToGrid w:val="0"/>
                      <w:color w:val="auto"/>
                      <w:spacing w:val="0"/>
                      <w:kern w:val="0"/>
                      <w:sz w:val="18"/>
                      <w:szCs w:val="18"/>
                      <w:highlight w:val="none"/>
                      <w:lang w:val="en-US" w:eastAsia="zh-CN"/>
                    </w:rPr>
                    <w:t>m</w:t>
                  </w:r>
                </w:p>
                <w:p w14:paraId="3533196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48</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5DEE96F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44.1</w:t>
                  </w:r>
                </w:p>
                <w:p w14:paraId="345C9DD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37.1</w:t>
                  </w:r>
                </w:p>
                <w:p w14:paraId="04F43C4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47.7</w:t>
                  </w:r>
                </w:p>
                <w:p w14:paraId="26E1700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36.4</w:t>
                  </w:r>
                </w:p>
              </w:tc>
              <w:tc>
                <w:tcPr>
                  <w:tcW w:w="157" w:type="pct"/>
                  <w:vMerge w:val="continue"/>
                  <w:noWrap w:val="0"/>
                  <w:vAlign w:val="center"/>
                </w:tcPr>
                <w:p w14:paraId="718EF0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6F76FAD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085BCB6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24.1</w:t>
                  </w:r>
                </w:p>
                <w:p w14:paraId="34E39F2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17.1</w:t>
                  </w:r>
                </w:p>
                <w:p w14:paraId="6EC8C45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27.7</w:t>
                  </w:r>
                </w:p>
                <w:p w14:paraId="6CBABFD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16.4</w:t>
                  </w:r>
                </w:p>
              </w:tc>
              <w:tc>
                <w:tcPr>
                  <w:tcW w:w="288" w:type="pct"/>
                  <w:noWrap w:val="0"/>
                  <w:vAlign w:val="center"/>
                </w:tcPr>
                <w:p w14:paraId="2408EC0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FDB2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749A2A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56</w:t>
                  </w:r>
                </w:p>
              </w:tc>
              <w:tc>
                <w:tcPr>
                  <w:tcW w:w="189" w:type="pct"/>
                  <w:vMerge w:val="continue"/>
                  <w:noWrap w:val="0"/>
                  <w:vAlign w:val="center"/>
                </w:tcPr>
                <w:p w14:paraId="7F7681F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4DC5EE4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精、粗筛返料输送机</w:t>
                  </w:r>
                </w:p>
              </w:tc>
              <w:tc>
                <w:tcPr>
                  <w:tcW w:w="514" w:type="pct"/>
                  <w:noWrap w:val="0"/>
                  <w:vAlign w:val="center"/>
                </w:tcPr>
                <w:p w14:paraId="41E803A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B650</w:t>
                  </w:r>
                </w:p>
              </w:tc>
              <w:tc>
                <w:tcPr>
                  <w:tcW w:w="344" w:type="pct"/>
                  <w:noWrap w:val="0"/>
                  <w:vAlign w:val="center"/>
                </w:tcPr>
                <w:p w14:paraId="1CD46D8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70</w:t>
                  </w:r>
                </w:p>
              </w:tc>
              <w:tc>
                <w:tcPr>
                  <w:tcW w:w="269" w:type="pct"/>
                  <w:vMerge w:val="continue"/>
                  <w:noWrap w:val="0"/>
                  <w:vAlign w:val="center"/>
                </w:tcPr>
                <w:p w14:paraId="335F6B1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3D941E87">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-109</w:t>
                  </w:r>
                </w:p>
              </w:tc>
              <w:tc>
                <w:tcPr>
                  <w:tcW w:w="260" w:type="pct"/>
                  <w:noWrap w:val="0"/>
                  <w:vAlign w:val="center"/>
                </w:tcPr>
                <w:p w14:paraId="2AEEC74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-23</w:t>
                  </w:r>
                </w:p>
              </w:tc>
              <w:tc>
                <w:tcPr>
                  <w:tcW w:w="244" w:type="pct"/>
                  <w:noWrap w:val="0"/>
                  <w:vAlign w:val="center"/>
                </w:tcPr>
                <w:p w14:paraId="7F7FDCA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w:t>
                  </w:r>
                </w:p>
              </w:tc>
              <w:tc>
                <w:tcPr>
                  <w:tcW w:w="481" w:type="pct"/>
                  <w:noWrap w:val="0"/>
                  <w:vAlign w:val="center"/>
                </w:tcPr>
                <w:p w14:paraId="26BCB66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58</w:t>
                  </w:r>
                  <w:r>
                    <w:rPr>
                      <w:rFonts w:hint="default" w:ascii="Times New Roman" w:hAnsi="Times New Roman" w:eastAsia="宋体" w:cs="Times New Roman"/>
                      <w:snapToGrid w:val="0"/>
                      <w:color w:val="auto"/>
                      <w:spacing w:val="0"/>
                      <w:kern w:val="0"/>
                      <w:sz w:val="18"/>
                      <w:szCs w:val="18"/>
                      <w:highlight w:val="none"/>
                      <w:lang w:val="en-US" w:eastAsia="zh-CN"/>
                    </w:rPr>
                    <w:t>m</w:t>
                  </w:r>
                </w:p>
                <w:p w14:paraId="26AB2E2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46</w:t>
                  </w:r>
                  <w:r>
                    <w:rPr>
                      <w:rFonts w:hint="default" w:ascii="Times New Roman" w:hAnsi="Times New Roman" w:eastAsia="宋体" w:cs="Times New Roman"/>
                      <w:snapToGrid w:val="0"/>
                      <w:color w:val="auto"/>
                      <w:spacing w:val="0"/>
                      <w:kern w:val="0"/>
                      <w:sz w:val="18"/>
                      <w:szCs w:val="18"/>
                      <w:highlight w:val="none"/>
                      <w:lang w:val="en-US" w:eastAsia="zh-CN"/>
                    </w:rPr>
                    <w:t>m</w:t>
                  </w:r>
                </w:p>
                <w:p w14:paraId="0369FBB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46</w:t>
                  </w:r>
                  <w:r>
                    <w:rPr>
                      <w:rFonts w:hint="default" w:ascii="Times New Roman" w:hAnsi="Times New Roman" w:eastAsia="宋体" w:cs="Times New Roman"/>
                      <w:snapToGrid w:val="0"/>
                      <w:color w:val="auto"/>
                      <w:spacing w:val="0"/>
                      <w:kern w:val="0"/>
                      <w:sz w:val="18"/>
                      <w:szCs w:val="18"/>
                      <w:highlight w:val="none"/>
                      <w:lang w:val="en-US" w:eastAsia="zh-CN"/>
                    </w:rPr>
                    <w:t>m</w:t>
                  </w:r>
                </w:p>
                <w:p w14:paraId="0738AC6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47</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456B4C0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44.7</w:t>
                  </w:r>
                </w:p>
                <w:p w14:paraId="558F3C5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33.9</w:t>
                  </w:r>
                </w:p>
                <w:p w14:paraId="7869CCB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33.9</w:t>
                  </w:r>
                </w:p>
                <w:p w14:paraId="0B1A52D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36.7</w:t>
                  </w:r>
                </w:p>
              </w:tc>
              <w:tc>
                <w:tcPr>
                  <w:tcW w:w="157" w:type="pct"/>
                  <w:vMerge w:val="continue"/>
                  <w:noWrap w:val="0"/>
                  <w:vAlign w:val="center"/>
                </w:tcPr>
                <w:p w14:paraId="6B570E2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369AA76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5D1D0AA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24.7</w:t>
                  </w:r>
                </w:p>
                <w:p w14:paraId="21E8E28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13.9</w:t>
                  </w:r>
                </w:p>
                <w:p w14:paraId="116205E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13.9</w:t>
                  </w:r>
                </w:p>
                <w:p w14:paraId="4FE431E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16.7</w:t>
                  </w:r>
                </w:p>
              </w:tc>
              <w:tc>
                <w:tcPr>
                  <w:tcW w:w="288" w:type="pct"/>
                  <w:noWrap w:val="0"/>
                  <w:vAlign w:val="center"/>
                </w:tcPr>
                <w:p w14:paraId="4B4798A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263C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2ACE27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57</w:t>
                  </w:r>
                </w:p>
              </w:tc>
              <w:tc>
                <w:tcPr>
                  <w:tcW w:w="189" w:type="pct"/>
                  <w:vMerge w:val="continue"/>
                  <w:noWrap w:val="0"/>
                  <w:vAlign w:val="center"/>
                </w:tcPr>
                <w:p w14:paraId="5CBBB85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5741D0F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粗筛返料输送机</w:t>
                  </w:r>
                </w:p>
              </w:tc>
              <w:tc>
                <w:tcPr>
                  <w:tcW w:w="514" w:type="pct"/>
                  <w:noWrap w:val="0"/>
                  <w:vAlign w:val="center"/>
                </w:tcPr>
                <w:p w14:paraId="7826D56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B800</w:t>
                  </w:r>
                </w:p>
              </w:tc>
              <w:tc>
                <w:tcPr>
                  <w:tcW w:w="344" w:type="pct"/>
                  <w:noWrap w:val="0"/>
                  <w:vAlign w:val="center"/>
                </w:tcPr>
                <w:p w14:paraId="5BFBEF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70</w:t>
                  </w:r>
                </w:p>
              </w:tc>
              <w:tc>
                <w:tcPr>
                  <w:tcW w:w="269" w:type="pct"/>
                  <w:vMerge w:val="continue"/>
                  <w:noWrap w:val="0"/>
                  <w:vAlign w:val="center"/>
                </w:tcPr>
                <w:p w14:paraId="3F3D70D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320ED3D4">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-103</w:t>
                  </w:r>
                </w:p>
              </w:tc>
              <w:tc>
                <w:tcPr>
                  <w:tcW w:w="260" w:type="pct"/>
                  <w:noWrap w:val="0"/>
                  <w:vAlign w:val="center"/>
                </w:tcPr>
                <w:p w14:paraId="4642FA05">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-13</w:t>
                  </w:r>
                </w:p>
              </w:tc>
              <w:tc>
                <w:tcPr>
                  <w:tcW w:w="244" w:type="pct"/>
                  <w:noWrap w:val="0"/>
                  <w:vAlign w:val="center"/>
                </w:tcPr>
                <w:p w14:paraId="51F1440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w:t>
                  </w:r>
                </w:p>
              </w:tc>
              <w:tc>
                <w:tcPr>
                  <w:tcW w:w="481" w:type="pct"/>
                  <w:noWrap w:val="0"/>
                  <w:vAlign w:val="center"/>
                </w:tcPr>
                <w:p w14:paraId="757C4DA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58</w:t>
                  </w:r>
                  <w:r>
                    <w:rPr>
                      <w:rFonts w:hint="default" w:ascii="Times New Roman" w:hAnsi="Times New Roman" w:eastAsia="宋体" w:cs="Times New Roman"/>
                      <w:snapToGrid w:val="0"/>
                      <w:color w:val="auto"/>
                      <w:spacing w:val="0"/>
                      <w:kern w:val="0"/>
                      <w:sz w:val="18"/>
                      <w:szCs w:val="18"/>
                      <w:highlight w:val="none"/>
                      <w:lang w:val="en-US" w:eastAsia="zh-CN"/>
                    </w:rPr>
                    <w:t>m</w:t>
                  </w:r>
                </w:p>
                <w:p w14:paraId="23D16BE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43</w:t>
                  </w:r>
                  <w:r>
                    <w:rPr>
                      <w:rFonts w:hint="default" w:ascii="Times New Roman" w:hAnsi="Times New Roman" w:eastAsia="宋体" w:cs="Times New Roman"/>
                      <w:snapToGrid w:val="0"/>
                      <w:color w:val="auto"/>
                      <w:spacing w:val="0"/>
                      <w:kern w:val="0"/>
                      <w:sz w:val="18"/>
                      <w:szCs w:val="18"/>
                      <w:highlight w:val="none"/>
                      <w:lang w:val="en-US" w:eastAsia="zh-CN"/>
                    </w:rPr>
                    <w:t>m</w:t>
                  </w:r>
                </w:p>
                <w:p w14:paraId="173569F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46</w:t>
                  </w:r>
                  <w:r>
                    <w:rPr>
                      <w:rFonts w:hint="default" w:ascii="Times New Roman" w:hAnsi="Times New Roman" w:eastAsia="宋体" w:cs="Times New Roman"/>
                      <w:snapToGrid w:val="0"/>
                      <w:color w:val="auto"/>
                      <w:spacing w:val="0"/>
                      <w:kern w:val="0"/>
                      <w:sz w:val="18"/>
                      <w:szCs w:val="18"/>
                      <w:highlight w:val="none"/>
                      <w:lang w:val="en-US" w:eastAsia="zh-CN"/>
                    </w:rPr>
                    <w:t>m</w:t>
                  </w:r>
                </w:p>
                <w:p w14:paraId="0B5DDB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FF0000"/>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49</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77D9546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44.7</w:t>
                  </w:r>
                </w:p>
                <w:p w14:paraId="6A8CC35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37.3</w:t>
                  </w:r>
                </w:p>
                <w:p w14:paraId="62DCEA4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33.9</w:t>
                  </w:r>
                </w:p>
                <w:p w14:paraId="3DCB6B5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36.2</w:t>
                  </w:r>
                </w:p>
              </w:tc>
              <w:tc>
                <w:tcPr>
                  <w:tcW w:w="157" w:type="pct"/>
                  <w:vMerge w:val="continue"/>
                  <w:noWrap w:val="0"/>
                  <w:vAlign w:val="center"/>
                </w:tcPr>
                <w:p w14:paraId="3B0353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06B6FC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3B75645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24.7</w:t>
                  </w:r>
                </w:p>
                <w:p w14:paraId="119D589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17.3</w:t>
                  </w:r>
                </w:p>
                <w:p w14:paraId="3E2F897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13.9</w:t>
                  </w:r>
                </w:p>
                <w:p w14:paraId="4BF1E42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16.2</w:t>
                  </w:r>
                </w:p>
              </w:tc>
              <w:tc>
                <w:tcPr>
                  <w:tcW w:w="288" w:type="pct"/>
                  <w:noWrap w:val="0"/>
                  <w:vAlign w:val="center"/>
                </w:tcPr>
                <w:p w14:paraId="12A847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D371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2BCFF64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58</w:t>
                  </w:r>
                </w:p>
              </w:tc>
              <w:tc>
                <w:tcPr>
                  <w:tcW w:w="189" w:type="pct"/>
                  <w:vMerge w:val="continue"/>
                  <w:noWrap w:val="0"/>
                  <w:vAlign w:val="center"/>
                </w:tcPr>
                <w:p w14:paraId="3BB2D36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4D51D3C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汇总返料输送机</w:t>
                  </w:r>
                </w:p>
              </w:tc>
              <w:tc>
                <w:tcPr>
                  <w:tcW w:w="514" w:type="pct"/>
                  <w:noWrap w:val="0"/>
                  <w:vAlign w:val="center"/>
                </w:tcPr>
                <w:p w14:paraId="14B4941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B800</w:t>
                  </w:r>
                </w:p>
              </w:tc>
              <w:tc>
                <w:tcPr>
                  <w:tcW w:w="344" w:type="pct"/>
                  <w:noWrap w:val="0"/>
                  <w:vAlign w:val="center"/>
                </w:tcPr>
                <w:p w14:paraId="726B051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70</w:t>
                  </w:r>
                </w:p>
              </w:tc>
              <w:tc>
                <w:tcPr>
                  <w:tcW w:w="269" w:type="pct"/>
                  <w:vMerge w:val="continue"/>
                  <w:noWrap w:val="0"/>
                  <w:vAlign w:val="center"/>
                </w:tcPr>
                <w:p w14:paraId="002107A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20B41FE0">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-103</w:t>
                  </w:r>
                </w:p>
              </w:tc>
              <w:tc>
                <w:tcPr>
                  <w:tcW w:w="260" w:type="pct"/>
                  <w:noWrap w:val="0"/>
                  <w:vAlign w:val="center"/>
                </w:tcPr>
                <w:p w14:paraId="4B6541E1">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-22</w:t>
                  </w:r>
                </w:p>
              </w:tc>
              <w:tc>
                <w:tcPr>
                  <w:tcW w:w="244" w:type="pct"/>
                  <w:noWrap w:val="0"/>
                  <w:vAlign w:val="center"/>
                </w:tcPr>
                <w:p w14:paraId="6C5EFEA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w:t>
                  </w:r>
                </w:p>
              </w:tc>
              <w:tc>
                <w:tcPr>
                  <w:tcW w:w="481" w:type="pct"/>
                  <w:noWrap w:val="0"/>
                  <w:vAlign w:val="center"/>
                </w:tcPr>
                <w:p w14:paraId="1617AAB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74</w:t>
                  </w:r>
                  <w:r>
                    <w:rPr>
                      <w:rFonts w:hint="default" w:ascii="Times New Roman" w:hAnsi="Times New Roman" w:eastAsia="宋体" w:cs="Times New Roman"/>
                      <w:snapToGrid w:val="0"/>
                      <w:color w:val="auto"/>
                      <w:spacing w:val="0"/>
                      <w:kern w:val="0"/>
                      <w:sz w:val="18"/>
                      <w:szCs w:val="18"/>
                      <w:highlight w:val="none"/>
                      <w:lang w:val="en-US" w:eastAsia="zh-CN"/>
                    </w:rPr>
                    <w:t>m</w:t>
                  </w:r>
                </w:p>
                <w:p w14:paraId="4A979A4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4325F1C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30</w:t>
                  </w:r>
                  <w:r>
                    <w:rPr>
                      <w:rFonts w:hint="default" w:ascii="Times New Roman" w:hAnsi="Times New Roman" w:eastAsia="宋体" w:cs="Times New Roman"/>
                      <w:snapToGrid w:val="0"/>
                      <w:color w:val="auto"/>
                      <w:spacing w:val="0"/>
                      <w:kern w:val="0"/>
                      <w:sz w:val="18"/>
                      <w:szCs w:val="18"/>
                      <w:highlight w:val="none"/>
                      <w:lang w:val="en-US" w:eastAsia="zh-CN"/>
                    </w:rPr>
                    <w:t>m</w:t>
                  </w:r>
                </w:p>
                <w:p w14:paraId="5CDEFD0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32</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753421B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32.6</w:t>
                  </w:r>
                </w:p>
                <w:p w14:paraId="65FD66D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34.4</w:t>
                  </w:r>
                </w:p>
                <w:p w14:paraId="08EBFC0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40.5</w:t>
                  </w:r>
                </w:p>
                <w:p w14:paraId="39649DE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39.9</w:t>
                  </w:r>
                </w:p>
              </w:tc>
              <w:tc>
                <w:tcPr>
                  <w:tcW w:w="157" w:type="pct"/>
                  <w:vMerge w:val="continue"/>
                  <w:noWrap w:val="0"/>
                  <w:vAlign w:val="center"/>
                </w:tcPr>
                <w:p w14:paraId="11976D3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350E092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304772F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12.6</w:t>
                  </w:r>
                </w:p>
                <w:p w14:paraId="3F9E9F8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14.4</w:t>
                  </w:r>
                </w:p>
                <w:p w14:paraId="1666A0A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20.5</w:t>
                  </w:r>
                </w:p>
                <w:p w14:paraId="67F4428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19.9</w:t>
                  </w:r>
                </w:p>
              </w:tc>
              <w:tc>
                <w:tcPr>
                  <w:tcW w:w="288" w:type="pct"/>
                  <w:noWrap w:val="0"/>
                  <w:vAlign w:val="center"/>
                </w:tcPr>
                <w:p w14:paraId="7BA0634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636A2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109A305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59</w:t>
                  </w:r>
                </w:p>
              </w:tc>
              <w:tc>
                <w:tcPr>
                  <w:tcW w:w="189" w:type="pct"/>
                  <w:vMerge w:val="continue"/>
                  <w:noWrap w:val="0"/>
                  <w:vAlign w:val="center"/>
                </w:tcPr>
                <w:p w14:paraId="4F5056D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5BC9050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原料提升机</w:t>
                  </w:r>
                </w:p>
              </w:tc>
              <w:tc>
                <w:tcPr>
                  <w:tcW w:w="514" w:type="pct"/>
                  <w:noWrap w:val="0"/>
                  <w:vAlign w:val="center"/>
                </w:tcPr>
                <w:p w14:paraId="1C0BBD9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TH630</w:t>
                  </w:r>
                </w:p>
              </w:tc>
              <w:tc>
                <w:tcPr>
                  <w:tcW w:w="344" w:type="pct"/>
                  <w:noWrap w:val="0"/>
                  <w:vAlign w:val="center"/>
                </w:tcPr>
                <w:p w14:paraId="1086DBD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269" w:type="pct"/>
                  <w:vMerge w:val="continue"/>
                  <w:noWrap w:val="0"/>
                  <w:vAlign w:val="center"/>
                </w:tcPr>
                <w:p w14:paraId="11F0B25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58B2402F">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-95</w:t>
                  </w:r>
                </w:p>
              </w:tc>
              <w:tc>
                <w:tcPr>
                  <w:tcW w:w="260" w:type="pct"/>
                  <w:noWrap w:val="0"/>
                  <w:vAlign w:val="center"/>
                </w:tcPr>
                <w:p w14:paraId="37CB88F5">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22</w:t>
                  </w:r>
                </w:p>
              </w:tc>
              <w:tc>
                <w:tcPr>
                  <w:tcW w:w="244" w:type="pct"/>
                  <w:noWrap w:val="0"/>
                  <w:vAlign w:val="center"/>
                </w:tcPr>
                <w:p w14:paraId="119CDF4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w:t>
                  </w:r>
                </w:p>
              </w:tc>
              <w:tc>
                <w:tcPr>
                  <w:tcW w:w="481" w:type="pct"/>
                  <w:noWrap w:val="0"/>
                  <w:vAlign w:val="center"/>
                </w:tcPr>
                <w:p w14:paraId="05F2798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40</w:t>
                  </w:r>
                  <w:r>
                    <w:rPr>
                      <w:rFonts w:hint="default" w:ascii="Times New Roman" w:hAnsi="Times New Roman" w:eastAsia="宋体" w:cs="Times New Roman"/>
                      <w:snapToGrid w:val="0"/>
                      <w:color w:val="auto"/>
                      <w:spacing w:val="0"/>
                      <w:kern w:val="0"/>
                      <w:sz w:val="18"/>
                      <w:szCs w:val="18"/>
                      <w:highlight w:val="none"/>
                      <w:lang w:val="en-US" w:eastAsia="zh-CN"/>
                    </w:rPr>
                    <w:t>m</w:t>
                  </w:r>
                </w:p>
                <w:p w14:paraId="2B8FD90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84</w:t>
                  </w:r>
                  <w:r>
                    <w:rPr>
                      <w:rFonts w:hint="default" w:ascii="Times New Roman" w:hAnsi="Times New Roman" w:eastAsia="宋体" w:cs="Times New Roman"/>
                      <w:snapToGrid w:val="0"/>
                      <w:color w:val="auto"/>
                      <w:spacing w:val="0"/>
                      <w:kern w:val="0"/>
                      <w:sz w:val="18"/>
                      <w:szCs w:val="18"/>
                      <w:highlight w:val="none"/>
                      <w:lang w:val="en-US" w:eastAsia="zh-CN"/>
                    </w:rPr>
                    <w:t>m</w:t>
                  </w:r>
                </w:p>
                <w:p w14:paraId="1D33465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64</w:t>
                  </w:r>
                  <w:r>
                    <w:rPr>
                      <w:rFonts w:hint="default" w:ascii="Times New Roman" w:hAnsi="Times New Roman" w:eastAsia="宋体" w:cs="Times New Roman"/>
                      <w:snapToGrid w:val="0"/>
                      <w:color w:val="auto"/>
                      <w:spacing w:val="0"/>
                      <w:kern w:val="0"/>
                      <w:sz w:val="18"/>
                      <w:szCs w:val="18"/>
                      <w:highlight w:val="none"/>
                      <w:lang w:val="en-US" w:eastAsia="zh-CN"/>
                    </w:rPr>
                    <w:t>m</w:t>
                  </w:r>
                </w:p>
                <w:p w14:paraId="10E4B80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8</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7EC1582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48.0</w:t>
                  </w:r>
                </w:p>
                <w:p w14:paraId="26A0A9F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41.5</w:t>
                  </w:r>
                </w:p>
                <w:p w14:paraId="10F8F31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43.9</w:t>
                  </w:r>
                </w:p>
                <w:p w14:paraId="5BE3545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61.9</w:t>
                  </w:r>
                </w:p>
              </w:tc>
              <w:tc>
                <w:tcPr>
                  <w:tcW w:w="157" w:type="pct"/>
                  <w:vMerge w:val="continue"/>
                  <w:noWrap w:val="0"/>
                  <w:vAlign w:val="center"/>
                </w:tcPr>
                <w:p w14:paraId="564BC9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3BCCFDE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7EA5DCB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28.0</w:t>
                  </w:r>
                </w:p>
                <w:p w14:paraId="341FDDA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21.5</w:t>
                  </w:r>
                </w:p>
                <w:p w14:paraId="5A42A26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23.9</w:t>
                  </w:r>
                </w:p>
                <w:p w14:paraId="30F91F7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41.9</w:t>
                  </w:r>
                </w:p>
              </w:tc>
              <w:tc>
                <w:tcPr>
                  <w:tcW w:w="288" w:type="pct"/>
                  <w:noWrap w:val="0"/>
                  <w:vAlign w:val="center"/>
                </w:tcPr>
                <w:p w14:paraId="29D34D8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3204E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noWrap w:val="0"/>
                  <w:vAlign w:val="center"/>
                </w:tcPr>
                <w:p w14:paraId="7321D5B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60</w:t>
                  </w:r>
                </w:p>
              </w:tc>
              <w:tc>
                <w:tcPr>
                  <w:tcW w:w="189" w:type="pct"/>
                  <w:vMerge w:val="continue"/>
                  <w:noWrap w:val="0"/>
                  <w:vAlign w:val="center"/>
                </w:tcPr>
                <w:p w14:paraId="0BA593C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3751EF3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造粒提升机</w:t>
                  </w:r>
                </w:p>
              </w:tc>
              <w:tc>
                <w:tcPr>
                  <w:tcW w:w="514" w:type="pct"/>
                  <w:noWrap w:val="0"/>
                  <w:vAlign w:val="center"/>
                </w:tcPr>
                <w:p w14:paraId="10DB0D9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TH630</w:t>
                  </w:r>
                </w:p>
              </w:tc>
              <w:tc>
                <w:tcPr>
                  <w:tcW w:w="344" w:type="pct"/>
                  <w:noWrap w:val="0"/>
                  <w:vAlign w:val="center"/>
                </w:tcPr>
                <w:p w14:paraId="56310E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269" w:type="pct"/>
                  <w:vMerge w:val="continue"/>
                  <w:noWrap w:val="0"/>
                  <w:vAlign w:val="center"/>
                </w:tcPr>
                <w:p w14:paraId="53D1DF7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noWrap w:val="0"/>
                  <w:vAlign w:val="center"/>
                </w:tcPr>
                <w:p w14:paraId="59E0DE6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-103</w:t>
                  </w:r>
                </w:p>
              </w:tc>
              <w:tc>
                <w:tcPr>
                  <w:tcW w:w="260" w:type="pct"/>
                  <w:noWrap w:val="0"/>
                  <w:vAlign w:val="center"/>
                </w:tcPr>
                <w:p w14:paraId="3A8503E7">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13</w:t>
                  </w:r>
                </w:p>
              </w:tc>
              <w:tc>
                <w:tcPr>
                  <w:tcW w:w="244" w:type="pct"/>
                  <w:noWrap w:val="0"/>
                  <w:vAlign w:val="center"/>
                </w:tcPr>
                <w:p w14:paraId="504B6E6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w:t>
                  </w:r>
                </w:p>
              </w:tc>
              <w:tc>
                <w:tcPr>
                  <w:tcW w:w="481" w:type="pct"/>
                  <w:noWrap w:val="0"/>
                  <w:vAlign w:val="center"/>
                </w:tcPr>
                <w:p w14:paraId="4F4954D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43AA62F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78</w:t>
                  </w:r>
                  <w:r>
                    <w:rPr>
                      <w:rFonts w:hint="default" w:ascii="Times New Roman" w:hAnsi="Times New Roman" w:eastAsia="宋体" w:cs="Times New Roman"/>
                      <w:snapToGrid w:val="0"/>
                      <w:color w:val="auto"/>
                      <w:spacing w:val="0"/>
                      <w:kern w:val="0"/>
                      <w:sz w:val="18"/>
                      <w:szCs w:val="18"/>
                      <w:highlight w:val="none"/>
                      <w:lang w:val="en-US" w:eastAsia="zh-CN"/>
                    </w:rPr>
                    <w:t>m</w:t>
                  </w:r>
                </w:p>
                <w:p w14:paraId="45D6454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394B784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16</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noWrap w:val="0"/>
                  <w:vAlign w:val="center"/>
                </w:tcPr>
                <w:p w14:paraId="47D6944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44.4</w:t>
                  </w:r>
                </w:p>
                <w:p w14:paraId="34A51D2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41.2</w:t>
                  </w:r>
                </w:p>
                <w:p w14:paraId="2022A3D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47.1</w:t>
                  </w:r>
                </w:p>
                <w:p w14:paraId="41FD4CA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55.9</w:t>
                  </w:r>
                </w:p>
              </w:tc>
              <w:tc>
                <w:tcPr>
                  <w:tcW w:w="157" w:type="pct"/>
                  <w:vMerge w:val="continue"/>
                  <w:noWrap w:val="0"/>
                  <w:vAlign w:val="center"/>
                </w:tcPr>
                <w:p w14:paraId="1620F2F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noWrap w:val="0"/>
                  <w:vAlign w:val="center"/>
                </w:tcPr>
                <w:p w14:paraId="5691BA5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noWrap w:val="0"/>
                  <w:vAlign w:val="center"/>
                </w:tcPr>
                <w:p w14:paraId="350E5A1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24.4</w:t>
                  </w:r>
                </w:p>
                <w:p w14:paraId="7C979D8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21.2</w:t>
                  </w:r>
                </w:p>
                <w:p w14:paraId="10000EF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27.1</w:t>
                  </w:r>
                </w:p>
                <w:p w14:paraId="2AFC37C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35.9</w:t>
                  </w:r>
                </w:p>
              </w:tc>
              <w:tc>
                <w:tcPr>
                  <w:tcW w:w="288" w:type="pct"/>
                  <w:noWrap w:val="0"/>
                  <w:vAlign w:val="center"/>
                </w:tcPr>
                <w:p w14:paraId="1E37BA4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6B204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vAlign w:val="center"/>
                </w:tcPr>
                <w:p w14:paraId="0A640BF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61</w:t>
                  </w:r>
                </w:p>
              </w:tc>
              <w:tc>
                <w:tcPr>
                  <w:tcW w:w="189" w:type="pct"/>
                  <w:vMerge w:val="continue"/>
                  <w:vAlign w:val="center"/>
                </w:tcPr>
                <w:p w14:paraId="768C701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vAlign w:val="center"/>
                </w:tcPr>
                <w:p w14:paraId="450D400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粗筛提升机</w:t>
                  </w:r>
                </w:p>
              </w:tc>
              <w:tc>
                <w:tcPr>
                  <w:tcW w:w="514" w:type="pct"/>
                  <w:vAlign w:val="center"/>
                </w:tcPr>
                <w:p w14:paraId="40B397C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TH630</w:t>
                  </w:r>
                </w:p>
              </w:tc>
              <w:tc>
                <w:tcPr>
                  <w:tcW w:w="344" w:type="pct"/>
                  <w:vAlign w:val="center"/>
                </w:tcPr>
                <w:p w14:paraId="04D4B7B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269" w:type="pct"/>
                  <w:vMerge w:val="continue"/>
                  <w:vAlign w:val="center"/>
                </w:tcPr>
                <w:p w14:paraId="5A70B79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vAlign w:val="center"/>
                </w:tcPr>
                <w:p w14:paraId="4331E478">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-102</w:t>
                  </w:r>
                </w:p>
              </w:tc>
              <w:tc>
                <w:tcPr>
                  <w:tcW w:w="260" w:type="pct"/>
                  <w:vAlign w:val="center"/>
                </w:tcPr>
                <w:p w14:paraId="230DE60F">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-14</w:t>
                  </w:r>
                </w:p>
              </w:tc>
              <w:tc>
                <w:tcPr>
                  <w:tcW w:w="244" w:type="pct"/>
                  <w:vAlign w:val="center"/>
                </w:tcPr>
                <w:p w14:paraId="422704C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w:t>
                  </w:r>
                </w:p>
              </w:tc>
              <w:tc>
                <w:tcPr>
                  <w:tcW w:w="481" w:type="pct"/>
                  <w:vAlign w:val="center"/>
                </w:tcPr>
                <w:p w14:paraId="722610D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58</w:t>
                  </w:r>
                  <w:r>
                    <w:rPr>
                      <w:rFonts w:hint="default" w:ascii="Times New Roman" w:hAnsi="Times New Roman" w:eastAsia="宋体" w:cs="Times New Roman"/>
                      <w:snapToGrid w:val="0"/>
                      <w:color w:val="auto"/>
                      <w:spacing w:val="0"/>
                      <w:kern w:val="0"/>
                      <w:sz w:val="18"/>
                      <w:szCs w:val="18"/>
                      <w:highlight w:val="none"/>
                      <w:lang w:val="en-US" w:eastAsia="zh-CN"/>
                    </w:rPr>
                    <w:t>m</w:t>
                  </w:r>
                </w:p>
                <w:p w14:paraId="40718D2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3488A55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46</w:t>
                  </w:r>
                  <w:r>
                    <w:rPr>
                      <w:rFonts w:hint="default" w:ascii="Times New Roman" w:hAnsi="Times New Roman" w:eastAsia="宋体" w:cs="Times New Roman"/>
                      <w:snapToGrid w:val="0"/>
                      <w:color w:val="auto"/>
                      <w:spacing w:val="0"/>
                      <w:kern w:val="0"/>
                      <w:sz w:val="18"/>
                      <w:szCs w:val="18"/>
                      <w:highlight w:val="none"/>
                      <w:lang w:val="en-US" w:eastAsia="zh-CN"/>
                    </w:rPr>
                    <w:t>m</w:t>
                  </w:r>
                </w:p>
                <w:p w14:paraId="4BC2C54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48</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vAlign w:val="center"/>
                </w:tcPr>
                <w:p w14:paraId="5BEA7AD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49.9</w:t>
                  </w:r>
                </w:p>
                <w:p w14:paraId="1C5BCF9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47.1</w:t>
                  </w:r>
                </w:p>
                <w:p w14:paraId="6520CCA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43.1</w:t>
                  </w:r>
                </w:p>
                <w:p w14:paraId="708FB1D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46.4</w:t>
                  </w:r>
                </w:p>
              </w:tc>
              <w:tc>
                <w:tcPr>
                  <w:tcW w:w="157" w:type="pct"/>
                  <w:vMerge w:val="continue"/>
                  <w:vAlign w:val="center"/>
                </w:tcPr>
                <w:p w14:paraId="41E438B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vAlign w:val="center"/>
                </w:tcPr>
                <w:p w14:paraId="67B52F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vAlign w:val="center"/>
                </w:tcPr>
                <w:p w14:paraId="71AF16F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29.9</w:t>
                  </w:r>
                </w:p>
                <w:p w14:paraId="6C25661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27.1</w:t>
                  </w:r>
                </w:p>
                <w:p w14:paraId="11AE50F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23.1</w:t>
                  </w:r>
                </w:p>
                <w:p w14:paraId="617AF2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26.4</w:t>
                  </w:r>
                </w:p>
              </w:tc>
              <w:tc>
                <w:tcPr>
                  <w:tcW w:w="288" w:type="pct"/>
                  <w:vAlign w:val="center"/>
                </w:tcPr>
                <w:p w14:paraId="7C6E859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Times New Roman" w:cs="Times New Roman"/>
                      <w:snapToGrid w:val="0"/>
                      <w:color w:val="auto"/>
                      <w:spacing w:val="0"/>
                      <w:kern w:val="0"/>
                      <w:sz w:val="18"/>
                      <w:szCs w:val="18"/>
                      <w:highlight w:val="none"/>
                    </w:rPr>
                    <w:t>1</w:t>
                  </w:r>
                </w:p>
              </w:tc>
            </w:tr>
            <w:tr w14:paraId="33F59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shd w:val="clear" w:color="auto" w:fill="auto"/>
                  <w:vAlign w:val="center"/>
                </w:tcPr>
                <w:p w14:paraId="468B374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62</w:t>
                  </w:r>
                </w:p>
              </w:tc>
              <w:tc>
                <w:tcPr>
                  <w:tcW w:w="189" w:type="pct"/>
                  <w:vMerge w:val="continue"/>
                  <w:vAlign w:val="center"/>
                </w:tcPr>
                <w:p w14:paraId="7F5C1A0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vAlign w:val="center"/>
                </w:tcPr>
                <w:p w14:paraId="6B92F2F7">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冷却提升机</w:t>
                  </w:r>
                </w:p>
              </w:tc>
              <w:tc>
                <w:tcPr>
                  <w:tcW w:w="514" w:type="pct"/>
                  <w:vAlign w:val="center"/>
                </w:tcPr>
                <w:p w14:paraId="78C0A87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TH500</w:t>
                  </w:r>
                </w:p>
              </w:tc>
              <w:tc>
                <w:tcPr>
                  <w:tcW w:w="344" w:type="pct"/>
                  <w:vAlign w:val="center"/>
                </w:tcPr>
                <w:p w14:paraId="3B761C3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269" w:type="pct"/>
                  <w:vMerge w:val="continue"/>
                  <w:vAlign w:val="center"/>
                </w:tcPr>
                <w:p w14:paraId="7C86FCB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vAlign w:val="center"/>
                </w:tcPr>
                <w:p w14:paraId="4A044828">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-115</w:t>
                  </w:r>
                </w:p>
              </w:tc>
              <w:tc>
                <w:tcPr>
                  <w:tcW w:w="260" w:type="pct"/>
                  <w:vAlign w:val="center"/>
                </w:tcPr>
                <w:p w14:paraId="7C2AEF2B">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-11</w:t>
                  </w:r>
                </w:p>
              </w:tc>
              <w:tc>
                <w:tcPr>
                  <w:tcW w:w="244" w:type="pct"/>
                  <w:vAlign w:val="center"/>
                </w:tcPr>
                <w:p w14:paraId="77A8D10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w:t>
                  </w:r>
                </w:p>
              </w:tc>
              <w:tc>
                <w:tcPr>
                  <w:tcW w:w="481" w:type="pct"/>
                  <w:vAlign w:val="center"/>
                </w:tcPr>
                <w:p w14:paraId="7C02D6A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69</w:t>
                  </w:r>
                  <w:r>
                    <w:rPr>
                      <w:rFonts w:hint="default" w:ascii="Times New Roman" w:hAnsi="Times New Roman" w:eastAsia="宋体" w:cs="Times New Roman"/>
                      <w:snapToGrid w:val="0"/>
                      <w:color w:val="auto"/>
                      <w:spacing w:val="0"/>
                      <w:kern w:val="0"/>
                      <w:sz w:val="18"/>
                      <w:szCs w:val="18"/>
                      <w:highlight w:val="none"/>
                      <w:lang w:val="en-US" w:eastAsia="zh-CN"/>
                    </w:rPr>
                    <w:t>m</w:t>
                  </w:r>
                </w:p>
                <w:p w14:paraId="3FBDD51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52</w:t>
                  </w:r>
                  <w:r>
                    <w:rPr>
                      <w:rFonts w:hint="default" w:ascii="Times New Roman" w:hAnsi="Times New Roman" w:eastAsia="宋体" w:cs="Times New Roman"/>
                      <w:snapToGrid w:val="0"/>
                      <w:color w:val="auto"/>
                      <w:spacing w:val="0"/>
                      <w:kern w:val="0"/>
                      <w:sz w:val="18"/>
                      <w:szCs w:val="18"/>
                      <w:highlight w:val="none"/>
                      <w:lang w:val="en-US" w:eastAsia="zh-CN"/>
                    </w:rPr>
                    <w:t>m</w:t>
                  </w:r>
                </w:p>
                <w:p w14:paraId="4474148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35</w:t>
                  </w:r>
                  <w:r>
                    <w:rPr>
                      <w:rFonts w:hint="default" w:ascii="Times New Roman" w:hAnsi="Times New Roman" w:eastAsia="宋体" w:cs="Times New Roman"/>
                      <w:snapToGrid w:val="0"/>
                      <w:color w:val="auto"/>
                      <w:spacing w:val="0"/>
                      <w:kern w:val="0"/>
                      <w:sz w:val="18"/>
                      <w:szCs w:val="18"/>
                      <w:highlight w:val="none"/>
                      <w:lang w:val="en-US" w:eastAsia="zh-CN"/>
                    </w:rPr>
                    <w:t>m</w:t>
                  </w:r>
                </w:p>
                <w:p w14:paraId="5882D3D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vAlign w:val="center"/>
                </w:tcPr>
                <w:p w14:paraId="1F4568B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47.3</w:t>
                  </w:r>
                </w:p>
                <w:p w14:paraId="37305EE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45.7</w:t>
                  </w:r>
                </w:p>
                <w:p w14:paraId="1253442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44.3</w:t>
                  </w:r>
                </w:p>
                <w:p w14:paraId="7E1FB99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48.0</w:t>
                  </w:r>
                </w:p>
              </w:tc>
              <w:tc>
                <w:tcPr>
                  <w:tcW w:w="157" w:type="pct"/>
                  <w:vMerge w:val="continue"/>
                  <w:vAlign w:val="center"/>
                </w:tcPr>
                <w:p w14:paraId="7FE144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vAlign w:val="center"/>
                </w:tcPr>
                <w:p w14:paraId="0FF6C6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vAlign w:val="center"/>
                </w:tcPr>
                <w:p w14:paraId="664A639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27.3</w:t>
                  </w:r>
                </w:p>
                <w:p w14:paraId="37AC9F7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25.7</w:t>
                  </w:r>
                </w:p>
                <w:p w14:paraId="48503CA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24.3</w:t>
                  </w:r>
                </w:p>
                <w:p w14:paraId="0B248B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28.0</w:t>
                  </w:r>
                </w:p>
              </w:tc>
              <w:tc>
                <w:tcPr>
                  <w:tcW w:w="288" w:type="pct"/>
                  <w:vAlign w:val="center"/>
                </w:tcPr>
                <w:p w14:paraId="7E6C0AC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napToGrid w:val="0"/>
                      <w:color w:val="auto"/>
                      <w:spacing w:val="0"/>
                      <w:kern w:val="0"/>
                      <w:sz w:val="18"/>
                      <w:szCs w:val="18"/>
                      <w:highlight w:val="none"/>
                      <w:lang w:val="en-US" w:eastAsia="zh-CN"/>
                    </w:rPr>
                  </w:pPr>
                  <w:r>
                    <w:rPr>
                      <w:rFonts w:hint="eastAsia" w:eastAsia="宋体" w:cs="Times New Roman"/>
                      <w:snapToGrid w:val="0"/>
                      <w:color w:val="auto"/>
                      <w:spacing w:val="0"/>
                      <w:kern w:val="0"/>
                      <w:sz w:val="18"/>
                      <w:szCs w:val="18"/>
                      <w:highlight w:val="none"/>
                      <w:lang w:val="en-US" w:eastAsia="zh-CN"/>
                    </w:rPr>
                    <w:t>1</w:t>
                  </w:r>
                </w:p>
              </w:tc>
            </w:tr>
            <w:tr w14:paraId="26F38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vAlign w:val="center"/>
                </w:tcPr>
                <w:p w14:paraId="58F9016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63</w:t>
                  </w:r>
                </w:p>
              </w:tc>
              <w:tc>
                <w:tcPr>
                  <w:tcW w:w="189" w:type="pct"/>
                  <w:vMerge w:val="continue"/>
                  <w:vAlign w:val="center"/>
                </w:tcPr>
                <w:p w14:paraId="00656DA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vAlign w:val="center"/>
                </w:tcPr>
                <w:p w14:paraId="35CE1DB3">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精筛提升机</w:t>
                  </w:r>
                </w:p>
              </w:tc>
              <w:tc>
                <w:tcPr>
                  <w:tcW w:w="514" w:type="pct"/>
                  <w:vAlign w:val="center"/>
                </w:tcPr>
                <w:p w14:paraId="1B9F13DB">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TH500</w:t>
                  </w:r>
                </w:p>
              </w:tc>
              <w:tc>
                <w:tcPr>
                  <w:tcW w:w="344" w:type="pct"/>
                  <w:vAlign w:val="center"/>
                </w:tcPr>
                <w:p w14:paraId="74C8B6B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269" w:type="pct"/>
                  <w:vMerge w:val="continue"/>
                  <w:vAlign w:val="center"/>
                </w:tcPr>
                <w:p w14:paraId="4E17272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vAlign w:val="center"/>
                </w:tcPr>
                <w:p w14:paraId="251C8274">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-108</w:t>
                  </w:r>
                </w:p>
              </w:tc>
              <w:tc>
                <w:tcPr>
                  <w:tcW w:w="260" w:type="pct"/>
                  <w:vAlign w:val="center"/>
                </w:tcPr>
                <w:p w14:paraId="240148CC">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-16</w:t>
                  </w:r>
                </w:p>
              </w:tc>
              <w:tc>
                <w:tcPr>
                  <w:tcW w:w="244" w:type="pct"/>
                  <w:vAlign w:val="center"/>
                </w:tcPr>
                <w:p w14:paraId="7C4EEE4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w:t>
                  </w:r>
                </w:p>
              </w:tc>
              <w:tc>
                <w:tcPr>
                  <w:tcW w:w="481" w:type="pct"/>
                  <w:vAlign w:val="center"/>
                </w:tcPr>
                <w:p w14:paraId="0EFC292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63</w:t>
                  </w:r>
                  <w:r>
                    <w:rPr>
                      <w:rFonts w:hint="default" w:ascii="Times New Roman" w:hAnsi="Times New Roman" w:eastAsia="宋体" w:cs="Times New Roman"/>
                      <w:snapToGrid w:val="0"/>
                      <w:color w:val="auto"/>
                      <w:spacing w:val="0"/>
                      <w:kern w:val="0"/>
                      <w:sz w:val="18"/>
                      <w:szCs w:val="18"/>
                      <w:highlight w:val="none"/>
                      <w:lang w:val="en-US" w:eastAsia="zh-CN"/>
                    </w:rPr>
                    <w:t>m</w:t>
                  </w:r>
                </w:p>
                <w:p w14:paraId="7034E0A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0CDDCDA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41</w:t>
                  </w:r>
                  <w:r>
                    <w:rPr>
                      <w:rFonts w:hint="default" w:ascii="Times New Roman" w:hAnsi="Times New Roman" w:eastAsia="宋体" w:cs="Times New Roman"/>
                      <w:snapToGrid w:val="0"/>
                      <w:color w:val="auto"/>
                      <w:spacing w:val="0"/>
                      <w:kern w:val="0"/>
                      <w:sz w:val="18"/>
                      <w:szCs w:val="18"/>
                      <w:highlight w:val="none"/>
                      <w:lang w:val="en-US" w:eastAsia="zh-CN"/>
                    </w:rPr>
                    <w:t>m</w:t>
                  </w:r>
                </w:p>
                <w:p w14:paraId="0F3ED66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48</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vAlign w:val="center"/>
                </w:tcPr>
                <w:p w14:paraId="7591469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48.6</w:t>
                  </w:r>
                </w:p>
                <w:p w14:paraId="507E0FE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47.1</w:t>
                  </w:r>
                </w:p>
                <w:p w14:paraId="4FC009E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43.5</w:t>
                  </w:r>
                </w:p>
                <w:p w14:paraId="084FAFE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46.4</w:t>
                  </w:r>
                </w:p>
              </w:tc>
              <w:tc>
                <w:tcPr>
                  <w:tcW w:w="157" w:type="pct"/>
                  <w:vMerge w:val="continue"/>
                  <w:vAlign w:val="center"/>
                </w:tcPr>
                <w:p w14:paraId="10DF0C2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vAlign w:val="center"/>
                </w:tcPr>
                <w:p w14:paraId="518FC20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vAlign w:val="center"/>
                </w:tcPr>
                <w:p w14:paraId="25A8DB3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28.6</w:t>
                  </w:r>
                </w:p>
                <w:p w14:paraId="6192768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27.1</w:t>
                  </w:r>
                </w:p>
                <w:p w14:paraId="42BB2B1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23.5</w:t>
                  </w:r>
                </w:p>
                <w:p w14:paraId="037519E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26.4</w:t>
                  </w:r>
                </w:p>
              </w:tc>
              <w:tc>
                <w:tcPr>
                  <w:tcW w:w="288" w:type="pct"/>
                  <w:vAlign w:val="center"/>
                </w:tcPr>
                <w:p w14:paraId="5281216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napToGrid w:val="0"/>
                      <w:color w:val="auto"/>
                      <w:spacing w:val="0"/>
                      <w:kern w:val="0"/>
                      <w:sz w:val="18"/>
                      <w:szCs w:val="18"/>
                      <w:highlight w:val="none"/>
                      <w:lang w:val="en-US" w:eastAsia="zh-CN"/>
                    </w:rPr>
                  </w:pPr>
                  <w:r>
                    <w:rPr>
                      <w:rFonts w:hint="eastAsia" w:eastAsia="宋体" w:cs="Times New Roman"/>
                      <w:snapToGrid w:val="0"/>
                      <w:color w:val="auto"/>
                      <w:spacing w:val="0"/>
                      <w:kern w:val="0"/>
                      <w:sz w:val="18"/>
                      <w:szCs w:val="18"/>
                      <w:highlight w:val="none"/>
                      <w:lang w:val="en-US" w:eastAsia="zh-CN"/>
                    </w:rPr>
                    <w:t>1</w:t>
                  </w:r>
                </w:p>
              </w:tc>
            </w:tr>
            <w:tr w14:paraId="0B1F5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vAlign w:val="center"/>
                </w:tcPr>
                <w:p w14:paraId="6FF7643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64</w:t>
                  </w:r>
                </w:p>
              </w:tc>
              <w:tc>
                <w:tcPr>
                  <w:tcW w:w="189" w:type="pct"/>
                  <w:vMerge w:val="continue"/>
                  <w:vAlign w:val="center"/>
                </w:tcPr>
                <w:p w14:paraId="2AFDE31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vAlign w:val="center"/>
                </w:tcPr>
                <w:p w14:paraId="244CF28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yellow"/>
                      <w:u w:val="none"/>
                      <w:lang w:val="en-US" w:eastAsia="zh-CN" w:bidi="ar"/>
                    </w:rPr>
                  </w:pPr>
                  <w:r>
                    <w:rPr>
                      <w:rFonts w:hint="eastAsia" w:cs="Times New Roman"/>
                      <w:i w:val="0"/>
                      <w:iCs w:val="0"/>
                      <w:color w:val="000000"/>
                      <w:kern w:val="0"/>
                      <w:sz w:val="18"/>
                      <w:szCs w:val="18"/>
                      <w:u w:val="none"/>
                      <w:lang w:val="en-US" w:eastAsia="zh-CN" w:bidi="ar"/>
                    </w:rPr>
                    <w:t>混合机</w:t>
                  </w:r>
                </w:p>
              </w:tc>
              <w:tc>
                <w:tcPr>
                  <w:tcW w:w="514" w:type="pct"/>
                  <w:shd w:val="clear" w:color="auto" w:fill="auto"/>
                  <w:vAlign w:val="center"/>
                </w:tcPr>
                <w:p w14:paraId="318786D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344" w:type="pct"/>
                  <w:vAlign w:val="center"/>
                </w:tcPr>
                <w:p w14:paraId="3D5CA1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269" w:type="pct"/>
                  <w:vMerge w:val="continue"/>
                  <w:vAlign w:val="center"/>
                </w:tcPr>
                <w:p w14:paraId="24FF1D4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vAlign w:val="center"/>
                </w:tcPr>
                <w:p w14:paraId="3D6DF04E">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-114</w:t>
                  </w:r>
                </w:p>
              </w:tc>
              <w:tc>
                <w:tcPr>
                  <w:tcW w:w="260" w:type="pct"/>
                  <w:vAlign w:val="center"/>
                </w:tcPr>
                <w:p w14:paraId="5AC389AF">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-60</w:t>
                  </w:r>
                </w:p>
              </w:tc>
              <w:tc>
                <w:tcPr>
                  <w:tcW w:w="244" w:type="pct"/>
                  <w:vAlign w:val="center"/>
                </w:tcPr>
                <w:p w14:paraId="42B6F04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81" w:type="pct"/>
                  <w:vAlign w:val="center"/>
                </w:tcPr>
                <w:p w14:paraId="2543175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r>
                    <w:rPr>
                      <w:rFonts w:hint="default" w:ascii="Times New Roman" w:hAnsi="Times New Roman" w:eastAsia="宋体" w:cs="Times New Roman"/>
                      <w:snapToGrid w:val="0"/>
                      <w:color w:val="auto"/>
                      <w:spacing w:val="0"/>
                      <w:kern w:val="0"/>
                      <w:sz w:val="18"/>
                      <w:szCs w:val="18"/>
                      <w:highlight w:val="none"/>
                      <w:lang w:val="en-US" w:eastAsia="zh-CN"/>
                    </w:rPr>
                    <w:t>m</w:t>
                  </w:r>
                </w:p>
                <w:p w14:paraId="31C6488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10</w:t>
                  </w:r>
                  <w:r>
                    <w:rPr>
                      <w:rFonts w:hint="default" w:ascii="Times New Roman" w:hAnsi="Times New Roman" w:eastAsia="宋体" w:cs="Times New Roman"/>
                      <w:snapToGrid w:val="0"/>
                      <w:color w:val="auto"/>
                      <w:spacing w:val="0"/>
                      <w:kern w:val="0"/>
                      <w:sz w:val="18"/>
                      <w:szCs w:val="18"/>
                      <w:highlight w:val="none"/>
                      <w:lang w:val="en-US" w:eastAsia="zh-CN"/>
                    </w:rPr>
                    <w:t>m</w:t>
                  </w:r>
                </w:p>
                <w:p w14:paraId="5AAEF63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r>
                    <w:rPr>
                      <w:rFonts w:hint="default" w:ascii="Times New Roman" w:hAnsi="Times New Roman" w:eastAsia="宋体" w:cs="Times New Roman"/>
                      <w:snapToGrid w:val="0"/>
                      <w:color w:val="auto"/>
                      <w:spacing w:val="0"/>
                      <w:kern w:val="0"/>
                      <w:sz w:val="18"/>
                      <w:szCs w:val="18"/>
                      <w:highlight w:val="none"/>
                      <w:lang w:val="en-US" w:eastAsia="zh-CN"/>
                    </w:rPr>
                    <w:t>m</w:t>
                  </w:r>
                </w:p>
                <w:p w14:paraId="01C4A7C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110</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vAlign w:val="center"/>
                </w:tcPr>
                <w:p w14:paraId="1AC829F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49.4</w:t>
                  </w:r>
                </w:p>
                <w:p w14:paraId="4F72545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65</w:t>
                  </w:r>
                </w:p>
                <w:p w14:paraId="77C77A8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52.1</w:t>
                  </w:r>
                </w:p>
                <w:p w14:paraId="390F3D3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44.2</w:t>
                  </w:r>
                </w:p>
              </w:tc>
              <w:tc>
                <w:tcPr>
                  <w:tcW w:w="157" w:type="pct"/>
                  <w:vMerge w:val="continue"/>
                  <w:vAlign w:val="center"/>
                </w:tcPr>
                <w:p w14:paraId="0425CDB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vAlign w:val="center"/>
                </w:tcPr>
                <w:p w14:paraId="09A19AC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vAlign w:val="center"/>
                </w:tcPr>
                <w:p w14:paraId="2F095C0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29.4</w:t>
                  </w:r>
                </w:p>
                <w:p w14:paraId="1B3E3A3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45</w:t>
                  </w:r>
                </w:p>
                <w:p w14:paraId="5BCA4E4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32.1</w:t>
                  </w:r>
                </w:p>
                <w:p w14:paraId="47BA098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24.2</w:t>
                  </w:r>
                </w:p>
              </w:tc>
              <w:tc>
                <w:tcPr>
                  <w:tcW w:w="288" w:type="pct"/>
                  <w:vAlign w:val="center"/>
                </w:tcPr>
                <w:p w14:paraId="62016C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eastAsia" w:eastAsia="宋体" w:cs="Times New Roman"/>
                      <w:snapToGrid w:val="0"/>
                      <w:color w:val="auto"/>
                      <w:spacing w:val="0"/>
                      <w:kern w:val="0"/>
                      <w:sz w:val="18"/>
                      <w:szCs w:val="18"/>
                      <w:highlight w:val="none"/>
                      <w:lang w:val="en-US" w:eastAsia="zh-CN"/>
                    </w:rPr>
                    <w:t>1</w:t>
                  </w:r>
                </w:p>
              </w:tc>
            </w:tr>
            <w:tr w14:paraId="2998B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vAlign w:val="center"/>
                </w:tcPr>
                <w:p w14:paraId="160A83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65</w:t>
                  </w:r>
                </w:p>
              </w:tc>
              <w:tc>
                <w:tcPr>
                  <w:tcW w:w="189" w:type="pct"/>
                  <w:vMerge w:val="continue"/>
                  <w:vAlign w:val="center"/>
                </w:tcPr>
                <w:p w14:paraId="0E5C7A8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vAlign w:val="center"/>
                </w:tcPr>
                <w:p w14:paraId="220BAC7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布袋除尘器</w:t>
                  </w:r>
                </w:p>
              </w:tc>
              <w:tc>
                <w:tcPr>
                  <w:tcW w:w="514" w:type="pct"/>
                  <w:shd w:val="clear" w:color="auto" w:fill="auto"/>
                  <w:vAlign w:val="center"/>
                </w:tcPr>
                <w:p w14:paraId="42AE590E">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LHDM96-6-3000</w:t>
                  </w:r>
                </w:p>
              </w:tc>
              <w:tc>
                <w:tcPr>
                  <w:tcW w:w="344" w:type="pct"/>
                  <w:vAlign w:val="center"/>
                </w:tcPr>
                <w:p w14:paraId="2EB648D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70</w:t>
                  </w:r>
                </w:p>
              </w:tc>
              <w:tc>
                <w:tcPr>
                  <w:tcW w:w="269" w:type="pct"/>
                  <w:vMerge w:val="restart"/>
                  <w:vAlign w:val="center"/>
                </w:tcPr>
                <w:p w14:paraId="0B1D76D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减振、消音</w:t>
                  </w:r>
                </w:p>
              </w:tc>
              <w:tc>
                <w:tcPr>
                  <w:tcW w:w="277" w:type="pct"/>
                  <w:vAlign w:val="center"/>
                </w:tcPr>
                <w:p w14:paraId="4BEB9A11">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-123</w:t>
                  </w:r>
                </w:p>
              </w:tc>
              <w:tc>
                <w:tcPr>
                  <w:tcW w:w="260" w:type="pct"/>
                  <w:vAlign w:val="center"/>
                </w:tcPr>
                <w:p w14:paraId="1556BCE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16</w:t>
                  </w:r>
                </w:p>
              </w:tc>
              <w:tc>
                <w:tcPr>
                  <w:tcW w:w="244" w:type="pct"/>
                  <w:vAlign w:val="center"/>
                </w:tcPr>
                <w:p w14:paraId="7E7470F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2.5</w:t>
                  </w:r>
                </w:p>
              </w:tc>
              <w:tc>
                <w:tcPr>
                  <w:tcW w:w="481" w:type="pct"/>
                  <w:vAlign w:val="center"/>
                </w:tcPr>
                <w:p w14:paraId="38E9E00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77</w:t>
                  </w:r>
                  <w:r>
                    <w:rPr>
                      <w:rFonts w:hint="default" w:ascii="Times New Roman" w:hAnsi="Times New Roman" w:eastAsia="宋体" w:cs="Times New Roman"/>
                      <w:snapToGrid w:val="0"/>
                      <w:color w:val="auto"/>
                      <w:spacing w:val="0"/>
                      <w:kern w:val="0"/>
                      <w:sz w:val="18"/>
                      <w:szCs w:val="18"/>
                      <w:highlight w:val="none"/>
                      <w:lang w:val="en-US" w:eastAsia="zh-CN"/>
                    </w:rPr>
                    <w:t>m</w:t>
                  </w:r>
                </w:p>
                <w:p w14:paraId="70D9B2A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58</w:t>
                  </w:r>
                  <w:r>
                    <w:rPr>
                      <w:rFonts w:hint="default" w:ascii="Times New Roman" w:hAnsi="Times New Roman" w:eastAsia="宋体" w:cs="Times New Roman"/>
                      <w:snapToGrid w:val="0"/>
                      <w:color w:val="auto"/>
                      <w:spacing w:val="0"/>
                      <w:kern w:val="0"/>
                      <w:sz w:val="18"/>
                      <w:szCs w:val="18"/>
                      <w:highlight w:val="none"/>
                      <w:lang w:val="en-US" w:eastAsia="zh-CN"/>
                    </w:rPr>
                    <w:t>m</w:t>
                  </w:r>
                </w:p>
                <w:p w14:paraId="333D2D9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27</w:t>
                  </w:r>
                  <w:r>
                    <w:rPr>
                      <w:rFonts w:hint="default" w:ascii="Times New Roman" w:hAnsi="Times New Roman" w:eastAsia="宋体" w:cs="Times New Roman"/>
                      <w:snapToGrid w:val="0"/>
                      <w:color w:val="auto"/>
                      <w:spacing w:val="0"/>
                      <w:kern w:val="0"/>
                      <w:sz w:val="18"/>
                      <w:szCs w:val="18"/>
                      <w:highlight w:val="none"/>
                      <w:lang w:val="en-US" w:eastAsia="zh-CN"/>
                    </w:rPr>
                    <w:t>m</w:t>
                  </w:r>
                </w:p>
                <w:p w14:paraId="54E3C5F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62</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vAlign w:val="center"/>
                </w:tcPr>
                <w:p w14:paraId="4345A7C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32.3</w:t>
                  </w:r>
                </w:p>
                <w:p w14:paraId="0BB0AF4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34.7</w:t>
                  </w:r>
                </w:p>
                <w:p w14:paraId="23974CB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41.4</w:t>
                  </w:r>
                </w:p>
                <w:p w14:paraId="413F61B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34.2</w:t>
                  </w:r>
                </w:p>
              </w:tc>
              <w:tc>
                <w:tcPr>
                  <w:tcW w:w="157" w:type="pct"/>
                  <w:vMerge w:val="continue"/>
                  <w:vAlign w:val="center"/>
                </w:tcPr>
                <w:p w14:paraId="4AF5549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vAlign w:val="center"/>
                </w:tcPr>
                <w:p w14:paraId="632E4A4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vAlign w:val="center"/>
                </w:tcPr>
                <w:p w14:paraId="3EDF0DE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12.3</w:t>
                  </w:r>
                </w:p>
                <w:p w14:paraId="38B05DA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14.7</w:t>
                  </w:r>
                </w:p>
                <w:p w14:paraId="46F2AE3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21.4</w:t>
                  </w:r>
                </w:p>
                <w:p w14:paraId="531F6C6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14.2</w:t>
                  </w:r>
                </w:p>
              </w:tc>
              <w:tc>
                <w:tcPr>
                  <w:tcW w:w="288" w:type="pct"/>
                  <w:vAlign w:val="center"/>
                </w:tcPr>
                <w:p w14:paraId="0BA7D6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eastAsia" w:eastAsia="宋体" w:cs="Times New Roman"/>
                      <w:snapToGrid w:val="0"/>
                      <w:color w:val="auto"/>
                      <w:spacing w:val="0"/>
                      <w:kern w:val="0"/>
                      <w:sz w:val="18"/>
                      <w:szCs w:val="18"/>
                      <w:highlight w:val="none"/>
                      <w:lang w:val="en-US" w:eastAsia="zh-CN"/>
                    </w:rPr>
                    <w:t>1</w:t>
                  </w:r>
                </w:p>
              </w:tc>
            </w:tr>
            <w:tr w14:paraId="015B2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vAlign w:val="center"/>
                </w:tcPr>
                <w:p w14:paraId="7D0CA8F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66</w:t>
                  </w:r>
                </w:p>
              </w:tc>
              <w:tc>
                <w:tcPr>
                  <w:tcW w:w="189" w:type="pct"/>
                  <w:vMerge w:val="continue"/>
                  <w:vAlign w:val="center"/>
                </w:tcPr>
                <w:p w14:paraId="5590F18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vAlign w:val="center"/>
                </w:tcPr>
                <w:p w14:paraId="4B6658A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布袋除尘器</w:t>
                  </w:r>
                </w:p>
              </w:tc>
              <w:tc>
                <w:tcPr>
                  <w:tcW w:w="514" w:type="pct"/>
                  <w:shd w:val="clear" w:color="auto" w:fill="auto"/>
                  <w:vAlign w:val="center"/>
                </w:tcPr>
                <w:p w14:paraId="0BCF855C">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LHDM96-6-3000</w:t>
                  </w:r>
                </w:p>
              </w:tc>
              <w:tc>
                <w:tcPr>
                  <w:tcW w:w="344" w:type="pct"/>
                  <w:vAlign w:val="center"/>
                </w:tcPr>
                <w:p w14:paraId="307AFF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70</w:t>
                  </w:r>
                </w:p>
              </w:tc>
              <w:tc>
                <w:tcPr>
                  <w:tcW w:w="269" w:type="pct"/>
                  <w:vMerge w:val="continue"/>
                  <w:vAlign w:val="center"/>
                </w:tcPr>
                <w:p w14:paraId="6886791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vAlign w:val="center"/>
                </w:tcPr>
                <w:p w14:paraId="5AF1AA47">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-116</w:t>
                  </w:r>
                </w:p>
              </w:tc>
              <w:tc>
                <w:tcPr>
                  <w:tcW w:w="260" w:type="pct"/>
                  <w:vAlign w:val="center"/>
                </w:tcPr>
                <w:p w14:paraId="430DB73A">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17</w:t>
                  </w:r>
                </w:p>
              </w:tc>
              <w:tc>
                <w:tcPr>
                  <w:tcW w:w="244" w:type="pct"/>
                  <w:vAlign w:val="center"/>
                </w:tcPr>
                <w:p w14:paraId="6183B66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2.5</w:t>
                  </w:r>
                </w:p>
              </w:tc>
              <w:tc>
                <w:tcPr>
                  <w:tcW w:w="481" w:type="pct"/>
                  <w:vAlign w:val="center"/>
                </w:tcPr>
                <w:p w14:paraId="35322C6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75</w:t>
                  </w:r>
                  <w:r>
                    <w:rPr>
                      <w:rFonts w:hint="default" w:ascii="Times New Roman" w:hAnsi="Times New Roman" w:eastAsia="宋体" w:cs="Times New Roman"/>
                      <w:snapToGrid w:val="0"/>
                      <w:color w:val="auto"/>
                      <w:spacing w:val="0"/>
                      <w:kern w:val="0"/>
                      <w:sz w:val="18"/>
                      <w:szCs w:val="18"/>
                      <w:highlight w:val="none"/>
                      <w:lang w:val="en-US" w:eastAsia="zh-CN"/>
                    </w:rPr>
                    <w:t>m</w:t>
                  </w:r>
                </w:p>
                <w:p w14:paraId="2DAC7A5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58</w:t>
                  </w:r>
                  <w:r>
                    <w:rPr>
                      <w:rFonts w:hint="default" w:ascii="Times New Roman" w:hAnsi="Times New Roman" w:eastAsia="宋体" w:cs="Times New Roman"/>
                      <w:snapToGrid w:val="0"/>
                      <w:color w:val="auto"/>
                      <w:spacing w:val="0"/>
                      <w:kern w:val="0"/>
                      <w:sz w:val="18"/>
                      <w:szCs w:val="18"/>
                      <w:highlight w:val="none"/>
                      <w:lang w:val="en-US" w:eastAsia="zh-CN"/>
                    </w:rPr>
                    <w:t>m</w:t>
                  </w:r>
                </w:p>
                <w:p w14:paraId="0B3A560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29</w:t>
                  </w:r>
                  <w:r>
                    <w:rPr>
                      <w:rFonts w:hint="default" w:ascii="Times New Roman" w:hAnsi="Times New Roman" w:eastAsia="宋体" w:cs="Times New Roman"/>
                      <w:snapToGrid w:val="0"/>
                      <w:color w:val="auto"/>
                      <w:spacing w:val="0"/>
                      <w:kern w:val="0"/>
                      <w:sz w:val="18"/>
                      <w:szCs w:val="18"/>
                      <w:highlight w:val="none"/>
                      <w:lang w:val="en-US" w:eastAsia="zh-CN"/>
                    </w:rPr>
                    <w:t>m</w:t>
                  </w:r>
                </w:p>
                <w:p w14:paraId="79E0C79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62</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vAlign w:val="center"/>
                </w:tcPr>
                <w:p w14:paraId="13319CA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32.5</w:t>
                  </w:r>
                </w:p>
                <w:p w14:paraId="73DA8F6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34.7</w:t>
                  </w:r>
                </w:p>
                <w:p w14:paraId="461AFEB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40.8</w:t>
                  </w:r>
                </w:p>
                <w:p w14:paraId="068540E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34.2</w:t>
                  </w:r>
                </w:p>
              </w:tc>
              <w:tc>
                <w:tcPr>
                  <w:tcW w:w="157" w:type="pct"/>
                  <w:vMerge w:val="continue"/>
                  <w:vAlign w:val="center"/>
                </w:tcPr>
                <w:p w14:paraId="58C34F7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vAlign w:val="center"/>
                </w:tcPr>
                <w:p w14:paraId="496D047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vAlign w:val="center"/>
                </w:tcPr>
                <w:p w14:paraId="6803F08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12.5</w:t>
                  </w:r>
                </w:p>
                <w:p w14:paraId="4677576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14.7</w:t>
                  </w:r>
                </w:p>
                <w:p w14:paraId="3074914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20.8</w:t>
                  </w:r>
                </w:p>
                <w:p w14:paraId="5171182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14.2</w:t>
                  </w:r>
                </w:p>
              </w:tc>
              <w:tc>
                <w:tcPr>
                  <w:tcW w:w="288" w:type="pct"/>
                  <w:vAlign w:val="center"/>
                </w:tcPr>
                <w:p w14:paraId="551756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eastAsia" w:eastAsia="宋体" w:cs="Times New Roman"/>
                      <w:snapToGrid w:val="0"/>
                      <w:color w:val="auto"/>
                      <w:spacing w:val="0"/>
                      <w:kern w:val="0"/>
                      <w:sz w:val="18"/>
                      <w:szCs w:val="18"/>
                      <w:highlight w:val="none"/>
                      <w:lang w:val="en-US" w:eastAsia="zh-CN"/>
                    </w:rPr>
                    <w:t>1</w:t>
                  </w:r>
                </w:p>
              </w:tc>
            </w:tr>
            <w:tr w14:paraId="00AD3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vAlign w:val="center"/>
                </w:tcPr>
                <w:p w14:paraId="0A2F764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67</w:t>
                  </w:r>
                </w:p>
              </w:tc>
              <w:tc>
                <w:tcPr>
                  <w:tcW w:w="189" w:type="pct"/>
                  <w:vMerge w:val="continue"/>
                  <w:vAlign w:val="center"/>
                </w:tcPr>
                <w:p w14:paraId="2B83E25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vAlign w:val="center"/>
                </w:tcPr>
                <w:p w14:paraId="0DF020B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布袋除尘器</w:t>
                  </w:r>
                </w:p>
              </w:tc>
              <w:tc>
                <w:tcPr>
                  <w:tcW w:w="514" w:type="pct"/>
                  <w:shd w:val="clear" w:color="auto" w:fill="auto"/>
                  <w:vAlign w:val="center"/>
                </w:tcPr>
                <w:p w14:paraId="081CC85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LHDM96-7-3000</w:t>
                  </w:r>
                </w:p>
              </w:tc>
              <w:tc>
                <w:tcPr>
                  <w:tcW w:w="344" w:type="pct"/>
                  <w:vAlign w:val="center"/>
                </w:tcPr>
                <w:p w14:paraId="0B2C13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70</w:t>
                  </w:r>
                </w:p>
              </w:tc>
              <w:tc>
                <w:tcPr>
                  <w:tcW w:w="269" w:type="pct"/>
                  <w:vMerge w:val="continue"/>
                  <w:vAlign w:val="center"/>
                </w:tcPr>
                <w:p w14:paraId="77A2A01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vAlign w:val="center"/>
                </w:tcPr>
                <w:p w14:paraId="5AC7CB67">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-111</w:t>
                  </w:r>
                </w:p>
              </w:tc>
              <w:tc>
                <w:tcPr>
                  <w:tcW w:w="260" w:type="pct"/>
                  <w:vAlign w:val="center"/>
                </w:tcPr>
                <w:p w14:paraId="6959B5B4">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15</w:t>
                  </w:r>
                </w:p>
              </w:tc>
              <w:tc>
                <w:tcPr>
                  <w:tcW w:w="244" w:type="pct"/>
                  <w:vAlign w:val="center"/>
                </w:tcPr>
                <w:p w14:paraId="233AA86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2.5</w:t>
                  </w:r>
                </w:p>
              </w:tc>
              <w:tc>
                <w:tcPr>
                  <w:tcW w:w="481" w:type="pct"/>
                  <w:vAlign w:val="center"/>
                </w:tcPr>
                <w:p w14:paraId="622F068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73</w:t>
                  </w:r>
                  <w:r>
                    <w:rPr>
                      <w:rFonts w:hint="default" w:ascii="Times New Roman" w:hAnsi="Times New Roman" w:eastAsia="宋体" w:cs="Times New Roman"/>
                      <w:snapToGrid w:val="0"/>
                      <w:color w:val="auto"/>
                      <w:spacing w:val="0"/>
                      <w:kern w:val="0"/>
                      <w:sz w:val="18"/>
                      <w:szCs w:val="18"/>
                      <w:highlight w:val="none"/>
                      <w:lang w:val="en-US" w:eastAsia="zh-CN"/>
                    </w:rPr>
                    <w:t>m</w:t>
                  </w:r>
                </w:p>
                <w:p w14:paraId="6D4118C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58</w:t>
                  </w:r>
                  <w:r>
                    <w:rPr>
                      <w:rFonts w:hint="default" w:ascii="Times New Roman" w:hAnsi="Times New Roman" w:eastAsia="宋体" w:cs="Times New Roman"/>
                      <w:snapToGrid w:val="0"/>
                      <w:color w:val="auto"/>
                      <w:spacing w:val="0"/>
                      <w:kern w:val="0"/>
                      <w:sz w:val="18"/>
                      <w:szCs w:val="18"/>
                      <w:highlight w:val="none"/>
                      <w:lang w:val="en-US" w:eastAsia="zh-CN"/>
                    </w:rPr>
                    <w:t>m</w:t>
                  </w:r>
                </w:p>
                <w:p w14:paraId="719C1AE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31</w:t>
                  </w:r>
                  <w:r>
                    <w:rPr>
                      <w:rFonts w:hint="default" w:ascii="Times New Roman" w:hAnsi="Times New Roman" w:eastAsia="宋体" w:cs="Times New Roman"/>
                      <w:snapToGrid w:val="0"/>
                      <w:color w:val="auto"/>
                      <w:spacing w:val="0"/>
                      <w:kern w:val="0"/>
                      <w:sz w:val="18"/>
                      <w:szCs w:val="18"/>
                      <w:highlight w:val="none"/>
                      <w:lang w:val="en-US" w:eastAsia="zh-CN"/>
                    </w:rPr>
                    <w:t>m</w:t>
                  </w:r>
                </w:p>
                <w:p w14:paraId="45FEE53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62</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vAlign w:val="center"/>
                </w:tcPr>
                <w:p w14:paraId="1CE0E14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32.7</w:t>
                  </w:r>
                </w:p>
                <w:p w14:paraId="479A050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34.7</w:t>
                  </w:r>
                </w:p>
                <w:p w14:paraId="272625E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44.2</w:t>
                  </w:r>
                </w:p>
                <w:p w14:paraId="363CDAF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34.2</w:t>
                  </w:r>
                </w:p>
              </w:tc>
              <w:tc>
                <w:tcPr>
                  <w:tcW w:w="157" w:type="pct"/>
                  <w:vMerge w:val="continue"/>
                  <w:vAlign w:val="center"/>
                </w:tcPr>
                <w:p w14:paraId="19AF053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vAlign w:val="center"/>
                </w:tcPr>
                <w:p w14:paraId="6FD437D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vAlign w:val="center"/>
                </w:tcPr>
                <w:p w14:paraId="54901FD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12.7</w:t>
                  </w:r>
                </w:p>
                <w:p w14:paraId="21D96E3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14.7</w:t>
                  </w:r>
                </w:p>
                <w:p w14:paraId="756949B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24.2</w:t>
                  </w:r>
                </w:p>
                <w:p w14:paraId="5504AE4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14.2</w:t>
                  </w:r>
                </w:p>
              </w:tc>
              <w:tc>
                <w:tcPr>
                  <w:tcW w:w="288" w:type="pct"/>
                  <w:vAlign w:val="center"/>
                </w:tcPr>
                <w:p w14:paraId="2C0EF53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eastAsia" w:eastAsia="宋体" w:cs="Times New Roman"/>
                      <w:snapToGrid w:val="0"/>
                      <w:color w:val="auto"/>
                      <w:spacing w:val="0"/>
                      <w:kern w:val="0"/>
                      <w:sz w:val="18"/>
                      <w:szCs w:val="18"/>
                      <w:highlight w:val="none"/>
                      <w:lang w:val="en-US" w:eastAsia="zh-CN"/>
                    </w:rPr>
                    <w:t>1</w:t>
                  </w:r>
                </w:p>
              </w:tc>
            </w:tr>
            <w:tr w14:paraId="6AA0F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vAlign w:val="center"/>
                </w:tcPr>
                <w:p w14:paraId="4513E40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68</w:t>
                  </w:r>
                </w:p>
              </w:tc>
              <w:tc>
                <w:tcPr>
                  <w:tcW w:w="189" w:type="pct"/>
                  <w:vMerge w:val="continue"/>
                  <w:vAlign w:val="center"/>
                </w:tcPr>
                <w:p w14:paraId="4E6953C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vAlign w:val="center"/>
                </w:tcPr>
                <w:p w14:paraId="0076E2BD">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水洗塔</w:t>
                  </w:r>
                </w:p>
              </w:tc>
              <w:tc>
                <w:tcPr>
                  <w:tcW w:w="514" w:type="pct"/>
                  <w:shd w:val="clear" w:color="auto" w:fill="auto"/>
                  <w:vAlign w:val="center"/>
                </w:tcPr>
                <w:p w14:paraId="2DF4225F">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φ3.0</w:t>
                  </w:r>
                </w:p>
              </w:tc>
              <w:tc>
                <w:tcPr>
                  <w:tcW w:w="344" w:type="pct"/>
                  <w:shd w:val="clear" w:color="auto" w:fill="auto"/>
                  <w:vAlign w:val="center"/>
                </w:tcPr>
                <w:p w14:paraId="22E04C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65</w:t>
                  </w:r>
                </w:p>
              </w:tc>
              <w:tc>
                <w:tcPr>
                  <w:tcW w:w="269" w:type="pct"/>
                  <w:vMerge w:val="continue"/>
                  <w:vAlign w:val="center"/>
                </w:tcPr>
                <w:p w14:paraId="0737626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vAlign w:val="center"/>
                </w:tcPr>
                <w:p w14:paraId="339D5A1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-122</w:t>
                  </w:r>
                </w:p>
              </w:tc>
              <w:tc>
                <w:tcPr>
                  <w:tcW w:w="260" w:type="pct"/>
                  <w:vAlign w:val="center"/>
                </w:tcPr>
                <w:p w14:paraId="23E5CB40">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23</w:t>
                  </w:r>
                </w:p>
              </w:tc>
              <w:tc>
                <w:tcPr>
                  <w:tcW w:w="244" w:type="pct"/>
                  <w:vAlign w:val="center"/>
                </w:tcPr>
                <w:p w14:paraId="6A739A7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2.5</w:t>
                  </w:r>
                </w:p>
              </w:tc>
              <w:tc>
                <w:tcPr>
                  <w:tcW w:w="481" w:type="pct"/>
                  <w:vAlign w:val="center"/>
                </w:tcPr>
                <w:p w14:paraId="2FC7462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77</w:t>
                  </w:r>
                  <w:r>
                    <w:rPr>
                      <w:rFonts w:hint="default" w:ascii="Times New Roman" w:hAnsi="Times New Roman" w:eastAsia="宋体" w:cs="Times New Roman"/>
                      <w:snapToGrid w:val="0"/>
                      <w:color w:val="auto"/>
                      <w:spacing w:val="0"/>
                      <w:kern w:val="0"/>
                      <w:sz w:val="18"/>
                      <w:szCs w:val="18"/>
                      <w:highlight w:val="none"/>
                      <w:lang w:val="en-US" w:eastAsia="zh-CN"/>
                    </w:rPr>
                    <w:t>m</w:t>
                  </w:r>
                </w:p>
                <w:p w14:paraId="469BD21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55</w:t>
                  </w:r>
                  <w:r>
                    <w:rPr>
                      <w:rFonts w:hint="default" w:ascii="Times New Roman" w:hAnsi="Times New Roman" w:eastAsia="宋体" w:cs="Times New Roman"/>
                      <w:snapToGrid w:val="0"/>
                      <w:color w:val="auto"/>
                      <w:spacing w:val="0"/>
                      <w:kern w:val="0"/>
                      <w:sz w:val="18"/>
                      <w:szCs w:val="18"/>
                      <w:highlight w:val="none"/>
                      <w:lang w:val="en-US" w:eastAsia="zh-CN"/>
                    </w:rPr>
                    <w:t>m</w:t>
                  </w:r>
                </w:p>
                <w:p w14:paraId="11DA730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27</w:t>
                  </w:r>
                  <w:r>
                    <w:rPr>
                      <w:rFonts w:hint="default" w:ascii="Times New Roman" w:hAnsi="Times New Roman" w:eastAsia="宋体" w:cs="Times New Roman"/>
                      <w:snapToGrid w:val="0"/>
                      <w:color w:val="auto"/>
                      <w:spacing w:val="0"/>
                      <w:kern w:val="0"/>
                      <w:sz w:val="18"/>
                      <w:szCs w:val="18"/>
                      <w:highlight w:val="none"/>
                      <w:lang w:val="en-US" w:eastAsia="zh-CN"/>
                    </w:rPr>
                    <w:t>m</w:t>
                  </w:r>
                </w:p>
                <w:p w14:paraId="0C14F2D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65</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vAlign w:val="center"/>
                </w:tcPr>
                <w:p w14:paraId="49094A9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27.3</w:t>
                  </w:r>
                </w:p>
                <w:p w14:paraId="68C75F3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30.2</w:t>
                  </w:r>
                </w:p>
                <w:p w14:paraId="23FE017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36.4</w:t>
                  </w:r>
                </w:p>
                <w:p w14:paraId="6697FBE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28.7</w:t>
                  </w:r>
                </w:p>
              </w:tc>
              <w:tc>
                <w:tcPr>
                  <w:tcW w:w="157" w:type="pct"/>
                  <w:vMerge w:val="continue"/>
                  <w:vAlign w:val="center"/>
                </w:tcPr>
                <w:p w14:paraId="52263D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vAlign w:val="center"/>
                </w:tcPr>
                <w:p w14:paraId="313B805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vAlign w:val="center"/>
                </w:tcPr>
                <w:p w14:paraId="195B654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7.3</w:t>
                  </w:r>
                </w:p>
                <w:p w14:paraId="2817E42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10.2</w:t>
                  </w:r>
                </w:p>
                <w:p w14:paraId="1FCC17F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16.4</w:t>
                  </w:r>
                </w:p>
                <w:p w14:paraId="29F451E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8.7</w:t>
                  </w:r>
                </w:p>
              </w:tc>
              <w:tc>
                <w:tcPr>
                  <w:tcW w:w="288" w:type="pct"/>
                  <w:vAlign w:val="center"/>
                </w:tcPr>
                <w:p w14:paraId="420BF3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eastAsia" w:eastAsia="宋体" w:cs="Times New Roman"/>
                      <w:snapToGrid w:val="0"/>
                      <w:color w:val="auto"/>
                      <w:spacing w:val="0"/>
                      <w:kern w:val="0"/>
                      <w:sz w:val="18"/>
                      <w:szCs w:val="18"/>
                      <w:highlight w:val="none"/>
                      <w:lang w:val="en-US" w:eastAsia="zh-CN"/>
                    </w:rPr>
                    <w:t>1</w:t>
                  </w:r>
                </w:p>
              </w:tc>
            </w:tr>
            <w:tr w14:paraId="6D6E1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vAlign w:val="center"/>
                </w:tcPr>
                <w:p w14:paraId="77CBC4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69</w:t>
                  </w:r>
                </w:p>
              </w:tc>
              <w:tc>
                <w:tcPr>
                  <w:tcW w:w="189" w:type="pct"/>
                  <w:vMerge w:val="continue"/>
                  <w:vAlign w:val="center"/>
                </w:tcPr>
                <w:p w14:paraId="201F919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vAlign w:val="center"/>
                </w:tcPr>
                <w:p w14:paraId="1E3FBABA">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烘干引风机</w:t>
                  </w:r>
                </w:p>
              </w:tc>
              <w:tc>
                <w:tcPr>
                  <w:tcW w:w="514" w:type="pct"/>
                  <w:shd w:val="clear" w:color="auto" w:fill="auto"/>
                  <w:vAlign w:val="center"/>
                </w:tcPr>
                <w:p w14:paraId="158253E5">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5-54-11D</w:t>
                  </w:r>
                </w:p>
              </w:tc>
              <w:tc>
                <w:tcPr>
                  <w:tcW w:w="344" w:type="pct"/>
                  <w:shd w:val="clear" w:color="auto" w:fill="auto"/>
                  <w:vAlign w:val="center"/>
                </w:tcPr>
                <w:p w14:paraId="73287A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80</w:t>
                  </w:r>
                </w:p>
              </w:tc>
              <w:tc>
                <w:tcPr>
                  <w:tcW w:w="269" w:type="pct"/>
                  <w:vMerge w:val="restart"/>
                  <w:vAlign w:val="center"/>
                </w:tcPr>
                <w:p w14:paraId="250182D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r>
                    <w:rPr>
                      <w:rFonts w:hint="default" w:ascii="Times New Roman" w:hAnsi="Times New Roman" w:eastAsia="宋体" w:cs="Times New Roman"/>
                      <w:color w:val="auto"/>
                      <w:spacing w:val="-1"/>
                      <w:sz w:val="18"/>
                      <w:szCs w:val="18"/>
                      <w:highlight w:val="none"/>
                      <w:lang w:eastAsia="en-US"/>
                    </w:rPr>
                    <w:t>减振、隔声罩</w:t>
                  </w:r>
                </w:p>
              </w:tc>
              <w:tc>
                <w:tcPr>
                  <w:tcW w:w="277" w:type="pct"/>
                  <w:vAlign w:val="center"/>
                </w:tcPr>
                <w:p w14:paraId="72FD3848">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-123</w:t>
                  </w:r>
                </w:p>
              </w:tc>
              <w:tc>
                <w:tcPr>
                  <w:tcW w:w="260" w:type="pct"/>
                  <w:vAlign w:val="center"/>
                </w:tcPr>
                <w:p w14:paraId="704D3CD9">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26</w:t>
                  </w:r>
                </w:p>
              </w:tc>
              <w:tc>
                <w:tcPr>
                  <w:tcW w:w="244" w:type="pct"/>
                  <w:vAlign w:val="center"/>
                </w:tcPr>
                <w:p w14:paraId="3E761EF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81" w:type="pct"/>
                  <w:vAlign w:val="center"/>
                </w:tcPr>
                <w:p w14:paraId="6116D5D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77</w:t>
                  </w:r>
                  <w:r>
                    <w:rPr>
                      <w:rFonts w:hint="default" w:ascii="Times New Roman" w:hAnsi="Times New Roman" w:eastAsia="宋体" w:cs="Times New Roman"/>
                      <w:snapToGrid w:val="0"/>
                      <w:color w:val="auto"/>
                      <w:spacing w:val="0"/>
                      <w:kern w:val="0"/>
                      <w:sz w:val="18"/>
                      <w:szCs w:val="18"/>
                      <w:highlight w:val="none"/>
                      <w:lang w:val="en-US" w:eastAsia="zh-CN"/>
                    </w:rPr>
                    <w:t>m</w:t>
                  </w:r>
                </w:p>
                <w:p w14:paraId="2843F19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53</w:t>
                  </w:r>
                  <w:r>
                    <w:rPr>
                      <w:rFonts w:hint="default" w:ascii="Times New Roman" w:hAnsi="Times New Roman" w:eastAsia="宋体" w:cs="Times New Roman"/>
                      <w:snapToGrid w:val="0"/>
                      <w:color w:val="auto"/>
                      <w:spacing w:val="0"/>
                      <w:kern w:val="0"/>
                      <w:sz w:val="18"/>
                      <w:szCs w:val="18"/>
                      <w:highlight w:val="none"/>
                      <w:lang w:val="en-US" w:eastAsia="zh-CN"/>
                    </w:rPr>
                    <w:t>m</w:t>
                  </w:r>
                </w:p>
                <w:p w14:paraId="5E486F1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27</w:t>
                  </w:r>
                  <w:r>
                    <w:rPr>
                      <w:rFonts w:hint="default" w:ascii="Times New Roman" w:hAnsi="Times New Roman" w:eastAsia="宋体" w:cs="Times New Roman"/>
                      <w:snapToGrid w:val="0"/>
                      <w:color w:val="auto"/>
                      <w:spacing w:val="0"/>
                      <w:kern w:val="0"/>
                      <w:sz w:val="18"/>
                      <w:szCs w:val="18"/>
                      <w:highlight w:val="none"/>
                      <w:lang w:val="en-US" w:eastAsia="zh-CN"/>
                    </w:rPr>
                    <w:t>m</w:t>
                  </w:r>
                </w:p>
                <w:p w14:paraId="10A2829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67</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vAlign w:val="center"/>
                </w:tcPr>
                <w:p w14:paraId="78D2745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42.3</w:t>
                  </w:r>
                </w:p>
                <w:p w14:paraId="5419607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45.5</w:t>
                  </w:r>
                </w:p>
                <w:p w14:paraId="41CD3D6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51.4</w:t>
                  </w:r>
                </w:p>
                <w:p w14:paraId="43D35DE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43.5</w:t>
                  </w:r>
                </w:p>
              </w:tc>
              <w:tc>
                <w:tcPr>
                  <w:tcW w:w="157" w:type="pct"/>
                  <w:vMerge w:val="continue"/>
                  <w:vAlign w:val="center"/>
                </w:tcPr>
                <w:p w14:paraId="2730ECB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vAlign w:val="center"/>
                </w:tcPr>
                <w:p w14:paraId="2A57AA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vAlign w:val="center"/>
                </w:tcPr>
                <w:p w14:paraId="2CCFABD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22.3</w:t>
                  </w:r>
                </w:p>
                <w:p w14:paraId="4579E2F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25.5</w:t>
                  </w:r>
                </w:p>
                <w:p w14:paraId="01BB1F7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31.4</w:t>
                  </w:r>
                </w:p>
                <w:p w14:paraId="4F3E7CD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23.5</w:t>
                  </w:r>
                </w:p>
              </w:tc>
              <w:tc>
                <w:tcPr>
                  <w:tcW w:w="288" w:type="pct"/>
                  <w:vAlign w:val="center"/>
                </w:tcPr>
                <w:p w14:paraId="552E03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eastAsia" w:eastAsia="宋体" w:cs="Times New Roman"/>
                      <w:snapToGrid w:val="0"/>
                      <w:color w:val="auto"/>
                      <w:spacing w:val="0"/>
                      <w:kern w:val="0"/>
                      <w:sz w:val="18"/>
                      <w:szCs w:val="18"/>
                      <w:highlight w:val="none"/>
                      <w:lang w:val="en-US" w:eastAsia="zh-CN"/>
                    </w:rPr>
                    <w:t>1</w:t>
                  </w:r>
                </w:p>
              </w:tc>
            </w:tr>
            <w:tr w14:paraId="2A3FB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vAlign w:val="center"/>
                </w:tcPr>
                <w:p w14:paraId="68D3E8B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70</w:t>
                  </w:r>
                </w:p>
              </w:tc>
              <w:tc>
                <w:tcPr>
                  <w:tcW w:w="189" w:type="pct"/>
                  <w:vMerge w:val="continue"/>
                  <w:vAlign w:val="center"/>
                </w:tcPr>
                <w:p w14:paraId="43BC97C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vAlign w:val="center"/>
                </w:tcPr>
                <w:p w14:paraId="6876D0F8">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冷却引风机</w:t>
                  </w:r>
                </w:p>
              </w:tc>
              <w:tc>
                <w:tcPr>
                  <w:tcW w:w="514" w:type="pct"/>
                  <w:shd w:val="clear" w:color="auto" w:fill="auto"/>
                  <w:vAlign w:val="center"/>
                </w:tcPr>
                <w:p w14:paraId="03555274">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5-78-11.2D</w:t>
                  </w:r>
                </w:p>
              </w:tc>
              <w:tc>
                <w:tcPr>
                  <w:tcW w:w="344" w:type="pct"/>
                  <w:shd w:val="clear" w:color="auto" w:fill="auto"/>
                  <w:vAlign w:val="center"/>
                </w:tcPr>
                <w:p w14:paraId="1C3B939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80</w:t>
                  </w:r>
                </w:p>
              </w:tc>
              <w:tc>
                <w:tcPr>
                  <w:tcW w:w="269" w:type="pct"/>
                  <w:vMerge w:val="continue"/>
                  <w:vAlign w:val="center"/>
                </w:tcPr>
                <w:p w14:paraId="2431341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vAlign w:val="center"/>
                </w:tcPr>
                <w:p w14:paraId="0B28AC49">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-117</w:t>
                  </w:r>
                </w:p>
              </w:tc>
              <w:tc>
                <w:tcPr>
                  <w:tcW w:w="260" w:type="pct"/>
                  <w:vAlign w:val="center"/>
                </w:tcPr>
                <w:p w14:paraId="634B0ABF">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25</w:t>
                  </w:r>
                </w:p>
              </w:tc>
              <w:tc>
                <w:tcPr>
                  <w:tcW w:w="244" w:type="pct"/>
                  <w:vAlign w:val="center"/>
                </w:tcPr>
                <w:p w14:paraId="0407A5C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81" w:type="pct"/>
                  <w:vAlign w:val="center"/>
                </w:tcPr>
                <w:p w14:paraId="696B253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75</w:t>
                  </w:r>
                  <w:r>
                    <w:rPr>
                      <w:rFonts w:hint="default" w:ascii="Times New Roman" w:hAnsi="Times New Roman" w:eastAsia="宋体" w:cs="Times New Roman"/>
                      <w:snapToGrid w:val="0"/>
                      <w:color w:val="auto"/>
                      <w:spacing w:val="0"/>
                      <w:kern w:val="0"/>
                      <w:sz w:val="18"/>
                      <w:szCs w:val="18"/>
                      <w:highlight w:val="none"/>
                      <w:lang w:val="en-US" w:eastAsia="zh-CN"/>
                    </w:rPr>
                    <w:t>m</w:t>
                  </w:r>
                </w:p>
                <w:p w14:paraId="5BAB027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55</w:t>
                  </w:r>
                  <w:r>
                    <w:rPr>
                      <w:rFonts w:hint="default" w:ascii="Times New Roman" w:hAnsi="Times New Roman" w:eastAsia="宋体" w:cs="Times New Roman"/>
                      <w:snapToGrid w:val="0"/>
                      <w:color w:val="auto"/>
                      <w:spacing w:val="0"/>
                      <w:kern w:val="0"/>
                      <w:sz w:val="18"/>
                      <w:szCs w:val="18"/>
                      <w:highlight w:val="none"/>
                      <w:lang w:val="en-US" w:eastAsia="zh-CN"/>
                    </w:rPr>
                    <w:t>m</w:t>
                  </w:r>
                </w:p>
                <w:p w14:paraId="62B5601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29</w:t>
                  </w:r>
                  <w:r>
                    <w:rPr>
                      <w:rFonts w:hint="default" w:ascii="Times New Roman" w:hAnsi="Times New Roman" w:eastAsia="宋体" w:cs="Times New Roman"/>
                      <w:snapToGrid w:val="0"/>
                      <w:color w:val="auto"/>
                      <w:spacing w:val="0"/>
                      <w:kern w:val="0"/>
                      <w:sz w:val="18"/>
                      <w:szCs w:val="18"/>
                      <w:highlight w:val="none"/>
                      <w:lang w:val="en-US" w:eastAsia="zh-CN"/>
                    </w:rPr>
                    <w:t>m</w:t>
                  </w:r>
                </w:p>
                <w:p w14:paraId="6C674E5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65</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vAlign w:val="center"/>
                </w:tcPr>
                <w:p w14:paraId="1894035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42.5</w:t>
                  </w:r>
                </w:p>
                <w:p w14:paraId="0057C74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45.2</w:t>
                  </w:r>
                </w:p>
                <w:p w14:paraId="452279B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50.8</w:t>
                  </w:r>
                </w:p>
                <w:p w14:paraId="539E752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43.7</w:t>
                  </w:r>
                </w:p>
              </w:tc>
              <w:tc>
                <w:tcPr>
                  <w:tcW w:w="157" w:type="pct"/>
                  <w:vMerge w:val="continue"/>
                  <w:vAlign w:val="center"/>
                </w:tcPr>
                <w:p w14:paraId="7615EF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vAlign w:val="center"/>
                </w:tcPr>
                <w:p w14:paraId="1534DC7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vAlign w:val="center"/>
                </w:tcPr>
                <w:p w14:paraId="49AC563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22.5</w:t>
                  </w:r>
                </w:p>
                <w:p w14:paraId="0BB6436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25.2</w:t>
                  </w:r>
                </w:p>
                <w:p w14:paraId="783D4A4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30.8</w:t>
                  </w:r>
                </w:p>
                <w:p w14:paraId="4B09C58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23.7</w:t>
                  </w:r>
                </w:p>
              </w:tc>
              <w:tc>
                <w:tcPr>
                  <w:tcW w:w="288" w:type="pct"/>
                  <w:vAlign w:val="center"/>
                </w:tcPr>
                <w:p w14:paraId="090F9A6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eastAsia" w:eastAsia="宋体" w:cs="Times New Roman"/>
                      <w:snapToGrid w:val="0"/>
                      <w:color w:val="auto"/>
                      <w:spacing w:val="0"/>
                      <w:kern w:val="0"/>
                      <w:sz w:val="18"/>
                      <w:szCs w:val="18"/>
                      <w:highlight w:val="none"/>
                      <w:lang w:val="en-US" w:eastAsia="zh-CN"/>
                    </w:rPr>
                    <w:t>1</w:t>
                  </w:r>
                </w:p>
              </w:tc>
            </w:tr>
            <w:tr w14:paraId="2B70D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15" w:type="pct"/>
                  <w:vAlign w:val="center"/>
                </w:tcPr>
                <w:p w14:paraId="7CA0505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71</w:t>
                  </w:r>
                </w:p>
              </w:tc>
              <w:tc>
                <w:tcPr>
                  <w:tcW w:w="189" w:type="pct"/>
                  <w:vMerge w:val="continue"/>
                  <w:vAlign w:val="center"/>
                </w:tcPr>
                <w:p w14:paraId="491708B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vAlign w:val="center"/>
                </w:tcPr>
                <w:p w14:paraId="4412B7C2">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引风机</w:t>
                  </w:r>
                </w:p>
              </w:tc>
              <w:tc>
                <w:tcPr>
                  <w:tcW w:w="514" w:type="pct"/>
                  <w:vAlign w:val="center"/>
                </w:tcPr>
                <w:p w14:paraId="1EDC11D9">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w:t>
                  </w:r>
                </w:p>
              </w:tc>
              <w:tc>
                <w:tcPr>
                  <w:tcW w:w="344" w:type="pct"/>
                  <w:vAlign w:val="center"/>
                </w:tcPr>
                <w:p w14:paraId="5A8CF7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269" w:type="pct"/>
                  <w:vMerge w:val="continue"/>
                  <w:vAlign w:val="center"/>
                </w:tcPr>
                <w:p w14:paraId="2AC84AB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FF0000"/>
                      <w:spacing w:val="0"/>
                      <w:kern w:val="0"/>
                      <w:sz w:val="18"/>
                      <w:szCs w:val="18"/>
                      <w:highlight w:val="none"/>
                    </w:rPr>
                  </w:pPr>
                </w:p>
              </w:tc>
              <w:tc>
                <w:tcPr>
                  <w:tcW w:w="277" w:type="pct"/>
                  <w:vAlign w:val="center"/>
                </w:tcPr>
                <w:p w14:paraId="369088FA">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-111</w:t>
                  </w:r>
                </w:p>
              </w:tc>
              <w:tc>
                <w:tcPr>
                  <w:tcW w:w="260" w:type="pct"/>
                  <w:vAlign w:val="center"/>
                </w:tcPr>
                <w:p w14:paraId="62C9A6A9">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24</w:t>
                  </w:r>
                </w:p>
              </w:tc>
              <w:tc>
                <w:tcPr>
                  <w:tcW w:w="244" w:type="pct"/>
                  <w:vAlign w:val="center"/>
                </w:tcPr>
                <w:p w14:paraId="594AE6D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81" w:type="pct"/>
                  <w:vAlign w:val="center"/>
                </w:tcPr>
                <w:p w14:paraId="5914B52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73</w:t>
                  </w:r>
                  <w:r>
                    <w:rPr>
                      <w:rFonts w:hint="default" w:ascii="Times New Roman" w:hAnsi="Times New Roman" w:eastAsia="宋体" w:cs="Times New Roman"/>
                      <w:snapToGrid w:val="0"/>
                      <w:color w:val="auto"/>
                      <w:spacing w:val="0"/>
                      <w:kern w:val="0"/>
                      <w:sz w:val="18"/>
                      <w:szCs w:val="18"/>
                      <w:highlight w:val="none"/>
                      <w:lang w:val="en-US" w:eastAsia="zh-CN"/>
                    </w:rPr>
                    <w:t>m</w:t>
                  </w:r>
                </w:p>
                <w:p w14:paraId="0169EE8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55</w:t>
                  </w:r>
                  <w:r>
                    <w:rPr>
                      <w:rFonts w:hint="default" w:ascii="Times New Roman" w:hAnsi="Times New Roman" w:eastAsia="宋体" w:cs="Times New Roman"/>
                      <w:snapToGrid w:val="0"/>
                      <w:color w:val="auto"/>
                      <w:spacing w:val="0"/>
                      <w:kern w:val="0"/>
                      <w:sz w:val="18"/>
                      <w:szCs w:val="18"/>
                      <w:highlight w:val="none"/>
                      <w:lang w:val="en-US" w:eastAsia="zh-CN"/>
                    </w:rPr>
                    <w:t>m</w:t>
                  </w:r>
                </w:p>
                <w:p w14:paraId="3F240F9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31</w:t>
                  </w:r>
                  <w:r>
                    <w:rPr>
                      <w:rFonts w:hint="default" w:ascii="Times New Roman" w:hAnsi="Times New Roman" w:eastAsia="宋体" w:cs="Times New Roman"/>
                      <w:snapToGrid w:val="0"/>
                      <w:color w:val="auto"/>
                      <w:spacing w:val="0"/>
                      <w:kern w:val="0"/>
                      <w:sz w:val="18"/>
                      <w:szCs w:val="18"/>
                      <w:highlight w:val="none"/>
                      <w:lang w:val="en-US" w:eastAsia="zh-CN"/>
                    </w:rPr>
                    <w:t>m</w:t>
                  </w:r>
                </w:p>
                <w:p w14:paraId="40E6B5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65</w:t>
                  </w:r>
                  <w:r>
                    <w:rPr>
                      <w:rFonts w:hint="default" w:ascii="Times New Roman" w:hAnsi="Times New Roman" w:eastAsia="宋体" w:cs="Times New Roman"/>
                      <w:snapToGrid w:val="0"/>
                      <w:color w:val="auto"/>
                      <w:spacing w:val="0"/>
                      <w:kern w:val="0"/>
                      <w:sz w:val="18"/>
                      <w:szCs w:val="18"/>
                      <w:highlight w:val="none"/>
                      <w:lang w:val="en-US" w:eastAsia="zh-CN"/>
                    </w:rPr>
                    <w:t>m</w:t>
                  </w:r>
                </w:p>
              </w:tc>
              <w:tc>
                <w:tcPr>
                  <w:tcW w:w="546" w:type="pct"/>
                  <w:vAlign w:val="center"/>
                </w:tcPr>
                <w:p w14:paraId="09EF30D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42.7</w:t>
                  </w:r>
                </w:p>
                <w:p w14:paraId="1039E67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45.2</w:t>
                  </w:r>
                </w:p>
                <w:p w14:paraId="3AB8FA8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50.2</w:t>
                  </w:r>
                </w:p>
                <w:p w14:paraId="72A3CD3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43.7</w:t>
                  </w:r>
                </w:p>
              </w:tc>
              <w:tc>
                <w:tcPr>
                  <w:tcW w:w="157" w:type="pct"/>
                  <w:vMerge w:val="continue"/>
                  <w:vAlign w:val="center"/>
                </w:tcPr>
                <w:p w14:paraId="1717E78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FF0000"/>
                      <w:spacing w:val="0"/>
                      <w:kern w:val="0"/>
                      <w:sz w:val="18"/>
                      <w:szCs w:val="18"/>
                      <w:highlight w:val="none"/>
                      <w:lang w:val="en-US" w:eastAsia="zh-CN"/>
                    </w:rPr>
                  </w:pPr>
                </w:p>
              </w:tc>
              <w:tc>
                <w:tcPr>
                  <w:tcW w:w="252" w:type="pct"/>
                  <w:vAlign w:val="center"/>
                </w:tcPr>
                <w:p w14:paraId="5B29B89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82" w:type="pct"/>
                  <w:shd w:val="clear" w:color="auto" w:fill="auto"/>
                  <w:vAlign w:val="center"/>
                </w:tcPr>
                <w:p w14:paraId="12DBB80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22.7</w:t>
                  </w:r>
                </w:p>
                <w:p w14:paraId="61977C4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25.2</w:t>
                  </w:r>
                </w:p>
                <w:p w14:paraId="2C51813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30.2</w:t>
                  </w:r>
                </w:p>
                <w:p w14:paraId="6B8AC2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23.7</w:t>
                  </w:r>
                </w:p>
              </w:tc>
              <w:tc>
                <w:tcPr>
                  <w:tcW w:w="288" w:type="pct"/>
                  <w:vAlign w:val="center"/>
                </w:tcPr>
                <w:p w14:paraId="351037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napToGrid w:val="0"/>
                      <w:color w:val="auto"/>
                      <w:spacing w:val="0"/>
                      <w:kern w:val="0"/>
                      <w:sz w:val="18"/>
                      <w:szCs w:val="18"/>
                      <w:highlight w:val="none"/>
                      <w:lang w:val="en-US" w:eastAsia="zh-CN"/>
                    </w:rPr>
                  </w:pPr>
                  <w:r>
                    <w:rPr>
                      <w:rFonts w:hint="eastAsia" w:eastAsia="宋体" w:cs="Times New Roman"/>
                      <w:snapToGrid w:val="0"/>
                      <w:color w:val="auto"/>
                      <w:spacing w:val="0"/>
                      <w:kern w:val="0"/>
                      <w:sz w:val="18"/>
                      <w:szCs w:val="18"/>
                      <w:highlight w:val="none"/>
                      <w:lang w:val="en-US" w:eastAsia="zh-CN"/>
                    </w:rPr>
                    <w:t>1</w:t>
                  </w:r>
                </w:p>
              </w:tc>
            </w:tr>
          </w:tbl>
          <w:p w14:paraId="1AB38259">
            <w:pPr>
              <w:spacing w:line="420" w:lineRule="exact"/>
              <w:ind w:firstLine="422" w:firstLineChars="200"/>
              <w:rPr>
                <w:rFonts w:hint="default" w:ascii="Times New Roman" w:hAnsi="Times New Roman" w:cs="Times New Roman"/>
                <w:b/>
                <w:bCs/>
                <w:color w:val="auto"/>
              </w:rPr>
            </w:pPr>
            <w:r>
              <w:rPr>
                <w:rFonts w:hint="default" w:ascii="Times New Roman" w:hAnsi="Times New Roman" w:cs="Times New Roman"/>
                <w:b/>
                <w:bCs/>
                <w:color w:val="auto"/>
              </w:rPr>
              <w:t>2、达标分析</w:t>
            </w:r>
          </w:p>
          <w:p w14:paraId="750557FA">
            <w:pPr>
              <w:spacing w:line="42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t>依据《环境工作手册-环境噪声控制卷》（高等教育出版社，2000年）可知，采取隔减振等措施均可达到10~25dB（A）的隔声（消声）量，墙壁可降低23~30 dB（A） 的噪声。</w:t>
            </w:r>
          </w:p>
          <w:p w14:paraId="56F83484">
            <w:pPr>
              <w:spacing w:line="420" w:lineRule="exact"/>
              <w:ind w:firstLine="420" w:firstLineChars="200"/>
              <w:rPr>
                <w:rFonts w:hint="default" w:ascii="Times New Roman" w:hAnsi="Times New Roman" w:cs="Times New Roman"/>
                <w:bCs/>
                <w:color w:val="auto"/>
              </w:rPr>
            </w:pPr>
            <w:r>
              <w:rPr>
                <w:rFonts w:hint="eastAsia" w:cs="Times New Roman"/>
                <w:bCs/>
                <w:color w:val="auto"/>
                <w:lang w:eastAsia="zh-CN"/>
              </w:rPr>
              <w:t>一期项目</w:t>
            </w:r>
            <w:r>
              <w:rPr>
                <w:rFonts w:hint="default" w:ascii="Times New Roman" w:hAnsi="Times New Roman" w:cs="Times New Roman"/>
                <w:bCs/>
                <w:color w:val="auto"/>
              </w:rPr>
              <w:t>采用《环境影响评价技术导则—声环境》（HJ2.4-2021）中推荐模式进行预测，噪声从声源发出后向外辐射，在传播过程中经距离衰减、地面构筑物屏蔽反射、空气吸收等阶段后到达受声点，本次评价采用A声级计算，模式如下：</w:t>
            </w:r>
          </w:p>
          <w:p w14:paraId="2CCA43E6">
            <w:pPr>
              <w:spacing w:line="420" w:lineRule="exact"/>
              <w:ind w:firstLine="420" w:firstLineChars="200"/>
              <w:rPr>
                <w:rFonts w:hint="default" w:ascii="Times New Roman" w:hAnsi="Times New Roman" w:cs="Times New Roman"/>
                <w:bCs/>
                <w:color w:val="auto"/>
              </w:rPr>
            </w:pPr>
            <w:r>
              <w:rPr>
                <w:rFonts w:hint="default" w:ascii="Times New Roman" w:hAnsi="Times New Roman" w:cs="Times New Roman"/>
                <w:bCs/>
                <w:color w:val="auto"/>
              </w:rPr>
              <w:t>①单个声源到达受声点的声压级</w:t>
            </w:r>
          </w:p>
          <w:p w14:paraId="464991BF">
            <w:pPr>
              <w:spacing w:line="420" w:lineRule="exact"/>
              <w:ind w:firstLine="420" w:firstLineChars="200"/>
              <w:jc w:val="center"/>
              <w:rPr>
                <w:rFonts w:hint="default" w:ascii="Times New Roman" w:hAnsi="Times New Roman" w:cs="Times New Roman"/>
                <w:bCs/>
                <w:color w:val="auto"/>
              </w:rPr>
            </w:pPr>
            <w:r>
              <w:rPr>
                <w:rFonts w:hint="default" w:ascii="Times New Roman" w:hAnsi="Times New Roman" w:cs="Times New Roman"/>
                <w:bCs/>
                <w:color w:val="auto"/>
              </w:rPr>
              <w:t>L</w:t>
            </w:r>
            <w:r>
              <w:rPr>
                <w:rFonts w:hint="default" w:ascii="Times New Roman" w:hAnsi="Times New Roman" w:cs="Times New Roman"/>
                <w:bCs/>
                <w:color w:val="auto"/>
                <w:vertAlign w:val="subscript"/>
              </w:rPr>
              <w:t>A</w:t>
            </w:r>
            <w:r>
              <w:rPr>
                <w:rFonts w:hint="default" w:ascii="Times New Roman" w:hAnsi="Times New Roman" w:cs="Times New Roman"/>
                <w:bCs/>
                <w:color w:val="auto"/>
              </w:rPr>
              <w:t>（r）=L</w:t>
            </w:r>
            <w:r>
              <w:rPr>
                <w:rFonts w:hint="default" w:ascii="Times New Roman" w:hAnsi="Times New Roman" w:cs="Times New Roman"/>
                <w:bCs/>
                <w:color w:val="auto"/>
                <w:vertAlign w:val="subscript"/>
              </w:rPr>
              <w:t>Aref</w:t>
            </w:r>
            <w:r>
              <w:rPr>
                <w:rFonts w:hint="default" w:ascii="Times New Roman" w:hAnsi="Times New Roman" w:cs="Times New Roman"/>
                <w:bCs/>
                <w:color w:val="auto"/>
              </w:rPr>
              <w:t>（ro）-（A</w:t>
            </w:r>
            <w:r>
              <w:rPr>
                <w:rFonts w:hint="default" w:ascii="Times New Roman" w:hAnsi="Times New Roman" w:cs="Times New Roman"/>
                <w:bCs/>
                <w:color w:val="auto"/>
                <w:vertAlign w:val="subscript"/>
              </w:rPr>
              <w:t>div</w:t>
            </w:r>
            <w:r>
              <w:rPr>
                <w:rFonts w:hint="default" w:ascii="Times New Roman" w:hAnsi="Times New Roman" w:cs="Times New Roman"/>
                <w:bCs/>
                <w:color w:val="auto"/>
              </w:rPr>
              <w:t>+A</w:t>
            </w:r>
            <w:r>
              <w:rPr>
                <w:rFonts w:hint="default" w:ascii="Times New Roman" w:hAnsi="Times New Roman" w:cs="Times New Roman"/>
                <w:bCs/>
                <w:color w:val="auto"/>
                <w:vertAlign w:val="subscript"/>
              </w:rPr>
              <w:t>bar</w:t>
            </w:r>
            <w:r>
              <w:rPr>
                <w:rFonts w:hint="default" w:ascii="Times New Roman" w:hAnsi="Times New Roman" w:cs="Times New Roman"/>
                <w:bCs/>
                <w:color w:val="auto"/>
              </w:rPr>
              <w:t>+A</w:t>
            </w:r>
            <w:r>
              <w:rPr>
                <w:rFonts w:hint="default" w:ascii="Times New Roman" w:hAnsi="Times New Roman" w:cs="Times New Roman"/>
                <w:bCs/>
                <w:color w:val="auto"/>
                <w:vertAlign w:val="subscript"/>
              </w:rPr>
              <w:t>atm</w:t>
            </w:r>
            <w:r>
              <w:rPr>
                <w:rFonts w:hint="default" w:ascii="Times New Roman" w:hAnsi="Times New Roman" w:cs="Times New Roman"/>
                <w:bCs/>
                <w:color w:val="auto"/>
              </w:rPr>
              <w:t>+A</w:t>
            </w:r>
            <w:r>
              <w:rPr>
                <w:rFonts w:hint="default" w:ascii="Times New Roman" w:hAnsi="Times New Roman" w:cs="Times New Roman"/>
                <w:bCs/>
                <w:color w:val="auto"/>
                <w:vertAlign w:val="subscript"/>
              </w:rPr>
              <w:t>exc</w:t>
            </w:r>
            <w:r>
              <w:rPr>
                <w:rFonts w:hint="default" w:ascii="Times New Roman" w:hAnsi="Times New Roman" w:cs="Times New Roman"/>
                <w:bCs/>
                <w:color w:val="auto"/>
              </w:rPr>
              <w:t>）</w:t>
            </w:r>
          </w:p>
          <w:p w14:paraId="6484B576">
            <w:pPr>
              <w:spacing w:line="420" w:lineRule="exact"/>
              <w:ind w:firstLine="420" w:firstLineChars="200"/>
              <w:rPr>
                <w:rFonts w:hint="default" w:ascii="Times New Roman" w:hAnsi="Times New Roman" w:cs="Times New Roman"/>
                <w:bCs/>
                <w:color w:val="auto"/>
              </w:rPr>
            </w:pPr>
            <w:r>
              <w:rPr>
                <w:rFonts w:hint="default" w:ascii="Times New Roman" w:hAnsi="Times New Roman" w:cs="Times New Roman"/>
                <w:bCs/>
                <w:color w:val="auto"/>
              </w:rPr>
              <w:t>式中：L</w:t>
            </w:r>
            <w:r>
              <w:rPr>
                <w:rFonts w:hint="default" w:ascii="Times New Roman" w:hAnsi="Times New Roman" w:cs="Times New Roman"/>
                <w:bCs/>
                <w:color w:val="auto"/>
                <w:vertAlign w:val="subscript"/>
              </w:rPr>
              <w:t>A</w:t>
            </w:r>
            <w:r>
              <w:rPr>
                <w:rFonts w:hint="default" w:ascii="Times New Roman" w:hAnsi="Times New Roman" w:cs="Times New Roman"/>
                <w:bCs/>
                <w:color w:val="auto"/>
              </w:rPr>
              <w:t>（r）——距声源r处的A声级，dB（A）；</w:t>
            </w:r>
          </w:p>
          <w:p w14:paraId="58A046E9">
            <w:pPr>
              <w:spacing w:line="420" w:lineRule="exact"/>
              <w:ind w:firstLine="420" w:firstLineChars="200"/>
              <w:rPr>
                <w:rFonts w:hint="default" w:ascii="Times New Roman" w:hAnsi="Times New Roman" w:cs="Times New Roman"/>
                <w:bCs/>
                <w:color w:val="auto"/>
              </w:rPr>
            </w:pPr>
            <w:r>
              <w:rPr>
                <w:rFonts w:hint="default" w:ascii="Times New Roman" w:hAnsi="Times New Roman" w:cs="Times New Roman"/>
                <w:bCs/>
                <w:color w:val="auto"/>
              </w:rPr>
              <w:t xml:space="preserve">          L</w:t>
            </w:r>
            <w:r>
              <w:rPr>
                <w:rFonts w:hint="default" w:ascii="Times New Roman" w:hAnsi="Times New Roman" w:cs="Times New Roman"/>
                <w:bCs/>
                <w:color w:val="auto"/>
                <w:vertAlign w:val="subscript"/>
              </w:rPr>
              <w:t>Aref</w:t>
            </w:r>
            <w:r>
              <w:rPr>
                <w:rFonts w:hint="default" w:ascii="Times New Roman" w:hAnsi="Times New Roman" w:cs="Times New Roman"/>
                <w:bCs/>
                <w:color w:val="auto"/>
              </w:rPr>
              <w:t>（ro）——参考位置ro处A声级，dB（A）；</w:t>
            </w:r>
          </w:p>
          <w:p w14:paraId="68268C0E">
            <w:pPr>
              <w:spacing w:line="420" w:lineRule="exact"/>
              <w:ind w:firstLine="420" w:firstLineChars="200"/>
              <w:rPr>
                <w:rFonts w:hint="default" w:ascii="Times New Roman" w:hAnsi="Times New Roman" w:cs="Times New Roman"/>
                <w:bCs/>
                <w:color w:val="auto"/>
              </w:rPr>
            </w:pPr>
            <w:r>
              <w:rPr>
                <w:rFonts w:hint="default" w:ascii="Times New Roman" w:hAnsi="Times New Roman" w:cs="Times New Roman"/>
                <w:bCs/>
                <w:color w:val="auto"/>
              </w:rPr>
              <w:t xml:space="preserve">          A</w:t>
            </w:r>
            <w:r>
              <w:rPr>
                <w:rFonts w:hint="default" w:ascii="Times New Roman" w:hAnsi="Times New Roman" w:cs="Times New Roman"/>
                <w:bCs/>
                <w:color w:val="auto"/>
                <w:vertAlign w:val="subscript"/>
              </w:rPr>
              <w:t>div</w:t>
            </w:r>
            <w:r>
              <w:rPr>
                <w:rFonts w:hint="default" w:ascii="Times New Roman" w:hAnsi="Times New Roman" w:cs="Times New Roman"/>
                <w:bCs/>
                <w:color w:val="auto"/>
              </w:rPr>
              <w:t>——声波几何发散引起的A声级衰减量，dB（A）；</w:t>
            </w:r>
          </w:p>
          <w:p w14:paraId="2413AF01">
            <w:pPr>
              <w:spacing w:line="420" w:lineRule="exact"/>
              <w:ind w:firstLine="420" w:firstLineChars="200"/>
              <w:rPr>
                <w:rFonts w:hint="default" w:ascii="Times New Roman" w:hAnsi="Times New Roman" w:cs="Times New Roman"/>
                <w:bCs/>
                <w:color w:val="auto"/>
              </w:rPr>
            </w:pPr>
            <w:r>
              <w:rPr>
                <w:rFonts w:hint="default" w:ascii="Times New Roman" w:hAnsi="Times New Roman" w:cs="Times New Roman"/>
                <w:bCs/>
                <w:color w:val="auto"/>
              </w:rPr>
              <w:t xml:space="preserve">          A</w:t>
            </w:r>
            <w:r>
              <w:rPr>
                <w:rFonts w:hint="default" w:ascii="Times New Roman" w:hAnsi="Times New Roman" w:cs="Times New Roman"/>
                <w:bCs/>
                <w:color w:val="auto"/>
                <w:vertAlign w:val="subscript"/>
              </w:rPr>
              <w:t>bar</w:t>
            </w:r>
            <w:r>
              <w:rPr>
                <w:rFonts w:hint="default" w:ascii="Times New Roman" w:hAnsi="Times New Roman" w:cs="Times New Roman"/>
                <w:bCs/>
                <w:color w:val="auto"/>
              </w:rPr>
              <w:t>——遮挡物引起的声级衰减量，dB（A）；</w:t>
            </w:r>
          </w:p>
          <w:p w14:paraId="35FB7A8C">
            <w:pPr>
              <w:spacing w:line="420" w:lineRule="exact"/>
              <w:ind w:firstLine="420" w:firstLineChars="200"/>
              <w:rPr>
                <w:rFonts w:hint="default" w:ascii="Times New Roman" w:hAnsi="Times New Roman" w:cs="Times New Roman"/>
                <w:bCs/>
                <w:color w:val="auto"/>
              </w:rPr>
            </w:pPr>
            <w:r>
              <w:rPr>
                <w:rFonts w:hint="default" w:ascii="Times New Roman" w:hAnsi="Times New Roman" w:cs="Times New Roman"/>
                <w:bCs/>
                <w:color w:val="auto"/>
              </w:rPr>
              <w:t xml:space="preserve">          A</w:t>
            </w:r>
            <w:r>
              <w:rPr>
                <w:rFonts w:hint="default" w:ascii="Times New Roman" w:hAnsi="Times New Roman" w:cs="Times New Roman"/>
                <w:bCs/>
                <w:color w:val="auto"/>
                <w:vertAlign w:val="subscript"/>
              </w:rPr>
              <w:t>atm</w:t>
            </w:r>
            <w:r>
              <w:rPr>
                <w:rFonts w:hint="default" w:ascii="Times New Roman" w:hAnsi="Times New Roman" w:cs="Times New Roman"/>
                <w:bCs/>
                <w:color w:val="auto"/>
              </w:rPr>
              <w:t>——空气吸收衰减量，dB（A）；</w:t>
            </w:r>
          </w:p>
          <w:p w14:paraId="35757685">
            <w:pPr>
              <w:spacing w:line="420" w:lineRule="exact"/>
              <w:ind w:firstLine="420" w:firstLineChars="200"/>
              <w:rPr>
                <w:rFonts w:hint="default" w:ascii="Times New Roman" w:hAnsi="Times New Roman" w:cs="Times New Roman"/>
                <w:bCs/>
                <w:color w:val="auto"/>
              </w:rPr>
            </w:pPr>
            <w:r>
              <w:rPr>
                <w:rFonts w:hint="default" w:ascii="Times New Roman" w:hAnsi="Times New Roman" w:cs="Times New Roman"/>
                <w:bCs/>
                <w:color w:val="auto"/>
              </w:rPr>
              <w:t xml:space="preserve">          A</w:t>
            </w:r>
            <w:r>
              <w:rPr>
                <w:rFonts w:hint="default" w:ascii="Times New Roman" w:hAnsi="Times New Roman" w:cs="Times New Roman"/>
                <w:bCs/>
                <w:color w:val="auto"/>
                <w:vertAlign w:val="subscript"/>
              </w:rPr>
              <w:t>exc</w:t>
            </w:r>
            <w:r>
              <w:rPr>
                <w:rFonts w:hint="default" w:ascii="Times New Roman" w:hAnsi="Times New Roman" w:cs="Times New Roman"/>
                <w:bCs/>
                <w:color w:val="auto"/>
              </w:rPr>
              <w:t>——附加衰减量，dB（A）。</w:t>
            </w:r>
          </w:p>
          <w:p w14:paraId="3E70773A">
            <w:pPr>
              <w:spacing w:line="420" w:lineRule="exact"/>
              <w:ind w:firstLine="420" w:firstLineChars="200"/>
              <w:rPr>
                <w:rFonts w:hint="default" w:ascii="Times New Roman" w:hAnsi="Times New Roman" w:cs="Times New Roman"/>
                <w:bCs/>
                <w:color w:val="auto"/>
              </w:rPr>
            </w:pPr>
            <w:r>
              <w:rPr>
                <w:rFonts w:hint="default" w:ascii="Times New Roman" w:hAnsi="Times New Roman" w:cs="Times New Roman"/>
                <w:bCs/>
                <w:color w:val="auto"/>
              </w:rPr>
              <w:t>②多个声源发出的噪声在同一受声点的共同影响，其公式为：</w:t>
            </w:r>
          </w:p>
          <w:p w14:paraId="0B76C012">
            <w:pPr>
              <w:spacing w:line="420" w:lineRule="exact"/>
              <w:ind w:firstLine="420" w:firstLineChars="200"/>
              <w:rPr>
                <w:rFonts w:hint="default" w:ascii="Times New Roman" w:hAnsi="Times New Roman" w:cs="Times New Roman"/>
                <w:bCs/>
                <w:color w:val="auto"/>
              </w:rPr>
            </w:pPr>
            <w:r>
              <w:rPr>
                <w:rFonts w:hint="default" w:ascii="Times New Roman" w:hAnsi="Times New Roman" w:cs="Times New Roman"/>
                <w:color w:val="auto"/>
              </w:rPr>
              <w:drawing>
                <wp:anchor distT="0" distB="0" distL="114300" distR="114300" simplePos="0" relativeHeight="251660288" behindDoc="0" locked="0" layoutInCell="1" allowOverlap="1">
                  <wp:simplePos x="0" y="0"/>
                  <wp:positionH relativeFrom="column">
                    <wp:posOffset>1579880</wp:posOffset>
                  </wp:positionH>
                  <wp:positionV relativeFrom="paragraph">
                    <wp:posOffset>89535</wp:posOffset>
                  </wp:positionV>
                  <wp:extent cx="1438275" cy="466725"/>
                  <wp:effectExtent l="0" t="0" r="9525" b="9525"/>
                  <wp:wrapNone/>
                  <wp:docPr id="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5"/>
                          <pic:cNvPicPr>
                            <a:picLocks noChangeAspect="1"/>
                          </pic:cNvPicPr>
                        </pic:nvPicPr>
                        <pic:blipFill>
                          <a:blip r:embed="rId19"/>
                          <a:stretch>
                            <a:fillRect/>
                          </a:stretch>
                        </pic:blipFill>
                        <pic:spPr>
                          <a:xfrm>
                            <a:off x="0" y="0"/>
                            <a:ext cx="1438275" cy="466725"/>
                          </a:xfrm>
                          <a:prstGeom prst="rect">
                            <a:avLst/>
                          </a:prstGeom>
                          <a:noFill/>
                          <a:ln>
                            <a:noFill/>
                          </a:ln>
                        </pic:spPr>
                      </pic:pic>
                    </a:graphicData>
                  </a:graphic>
                </wp:anchor>
              </w:drawing>
            </w:r>
          </w:p>
          <w:p w14:paraId="0CDE2C36">
            <w:pPr>
              <w:pStyle w:val="80"/>
              <w:rPr>
                <w:rFonts w:hint="default" w:ascii="Times New Roman" w:hAnsi="Times New Roman" w:cs="Times New Roman"/>
                <w:bCs/>
                <w:color w:val="auto"/>
              </w:rPr>
            </w:pPr>
          </w:p>
          <w:p w14:paraId="2467A46E">
            <w:pPr>
              <w:spacing w:line="420" w:lineRule="exact"/>
              <w:ind w:firstLine="420" w:firstLineChars="200"/>
              <w:rPr>
                <w:rFonts w:hint="default" w:ascii="Times New Roman" w:hAnsi="Times New Roman" w:cs="Times New Roman"/>
                <w:bCs/>
                <w:color w:val="auto"/>
              </w:rPr>
            </w:pPr>
            <w:r>
              <w:rPr>
                <w:rFonts w:hint="default" w:ascii="Times New Roman" w:hAnsi="Times New Roman" w:cs="Times New Roman"/>
                <w:bCs/>
                <w:color w:val="auto"/>
              </w:rPr>
              <w:t>其中：Lp——预测点处的声级叠加值，dB（A）；</w:t>
            </w:r>
          </w:p>
          <w:p w14:paraId="22DC20EC">
            <w:pPr>
              <w:spacing w:line="420" w:lineRule="exact"/>
              <w:ind w:firstLine="420" w:firstLineChars="200"/>
              <w:rPr>
                <w:rFonts w:hint="default" w:ascii="Times New Roman" w:hAnsi="Times New Roman" w:cs="Times New Roman"/>
                <w:bCs/>
                <w:color w:val="auto"/>
              </w:rPr>
            </w:pPr>
            <w:r>
              <w:rPr>
                <w:rFonts w:hint="default" w:ascii="Times New Roman" w:hAnsi="Times New Roman" w:cs="Times New Roman"/>
                <w:bCs/>
                <w:color w:val="auto"/>
              </w:rPr>
              <w:t xml:space="preserve">           n——噪声源个数。</w:t>
            </w:r>
          </w:p>
          <w:p w14:paraId="4E13CE7C">
            <w:pPr>
              <w:spacing w:line="420" w:lineRule="exact"/>
              <w:ind w:firstLine="420" w:firstLineChars="200"/>
              <w:rPr>
                <w:rFonts w:hint="default" w:ascii="Times New Roman" w:hAnsi="Times New Roman" w:cs="Times New Roman"/>
                <w:bCs/>
                <w:color w:val="auto"/>
              </w:rPr>
            </w:pPr>
            <w:r>
              <w:rPr>
                <w:rFonts w:hint="default" w:ascii="Times New Roman" w:hAnsi="Times New Roman" w:cs="Times New Roman"/>
                <w:bCs/>
                <w:color w:val="auto"/>
              </w:rPr>
              <w:t>参数确定：</w:t>
            </w:r>
          </w:p>
          <w:p w14:paraId="50521EF9">
            <w:pPr>
              <w:spacing w:line="420" w:lineRule="exact"/>
              <w:ind w:firstLine="420" w:firstLineChars="200"/>
              <w:rPr>
                <w:rFonts w:hint="default" w:ascii="Times New Roman" w:hAnsi="Times New Roman" w:cs="Times New Roman"/>
                <w:bCs/>
                <w:color w:val="auto"/>
                <w:vertAlign w:val="subscript"/>
              </w:rPr>
            </w:pPr>
            <w:r>
              <w:rPr>
                <w:rFonts w:hint="default" w:ascii="Times New Roman" w:hAnsi="Times New Roman" w:cs="Times New Roman"/>
                <w:color w:val="auto"/>
              </w:rPr>
              <w:drawing>
                <wp:anchor distT="0" distB="0" distL="114300" distR="114300" simplePos="0" relativeHeight="251661312" behindDoc="0" locked="0" layoutInCell="1" allowOverlap="1">
                  <wp:simplePos x="0" y="0"/>
                  <wp:positionH relativeFrom="column">
                    <wp:posOffset>1398905</wp:posOffset>
                  </wp:positionH>
                  <wp:positionV relativeFrom="paragraph">
                    <wp:posOffset>234315</wp:posOffset>
                  </wp:positionV>
                  <wp:extent cx="390525" cy="428625"/>
                  <wp:effectExtent l="0" t="0" r="9525" b="7620"/>
                  <wp:wrapNone/>
                  <wp:docPr id="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4"/>
                          <pic:cNvPicPr>
                            <a:picLocks noChangeAspect="1"/>
                          </pic:cNvPicPr>
                        </pic:nvPicPr>
                        <pic:blipFill>
                          <a:blip r:embed="rId20"/>
                          <a:stretch>
                            <a:fillRect/>
                          </a:stretch>
                        </pic:blipFill>
                        <pic:spPr>
                          <a:xfrm>
                            <a:off x="0" y="0"/>
                            <a:ext cx="390525" cy="428625"/>
                          </a:xfrm>
                          <a:prstGeom prst="rect">
                            <a:avLst/>
                          </a:prstGeom>
                          <a:noFill/>
                          <a:ln>
                            <a:noFill/>
                          </a:ln>
                        </pic:spPr>
                      </pic:pic>
                    </a:graphicData>
                  </a:graphic>
                </wp:anchor>
              </w:drawing>
            </w:r>
            <w:r>
              <w:rPr>
                <w:rFonts w:hint="default" w:ascii="Times New Roman" w:hAnsi="Times New Roman" w:cs="Times New Roman"/>
                <w:bCs/>
                <w:color w:val="auto"/>
              </w:rPr>
              <w:t>a. A</w:t>
            </w:r>
            <w:r>
              <w:rPr>
                <w:rFonts w:hint="default" w:ascii="Times New Roman" w:hAnsi="Times New Roman" w:cs="Times New Roman"/>
                <w:bCs/>
                <w:color w:val="auto"/>
                <w:vertAlign w:val="subscript"/>
              </w:rPr>
              <w:t>div</w:t>
            </w:r>
          </w:p>
          <w:p w14:paraId="0EC9A18F">
            <w:pPr>
              <w:spacing w:after="240" w:line="420" w:lineRule="exact"/>
              <w:ind w:firstLine="420" w:firstLineChars="200"/>
              <w:rPr>
                <w:rFonts w:hint="default" w:ascii="Times New Roman" w:hAnsi="Times New Roman" w:cs="Times New Roman"/>
                <w:bCs/>
                <w:color w:val="auto"/>
              </w:rPr>
            </w:pPr>
            <w:r>
              <w:rPr>
                <w:rFonts w:hint="default" w:ascii="Times New Roman" w:hAnsi="Times New Roman" w:cs="Times New Roman"/>
                <w:bCs/>
                <w:color w:val="auto"/>
              </w:rPr>
              <w:t>对点声源   A</w:t>
            </w:r>
            <w:r>
              <w:rPr>
                <w:rFonts w:hint="default" w:ascii="Times New Roman" w:hAnsi="Times New Roman" w:cs="Times New Roman"/>
                <w:bCs/>
                <w:color w:val="auto"/>
                <w:vertAlign w:val="subscript"/>
              </w:rPr>
              <w:t>div</w:t>
            </w:r>
            <w:r>
              <w:rPr>
                <w:rFonts w:hint="default" w:ascii="Times New Roman" w:hAnsi="Times New Roman" w:cs="Times New Roman"/>
                <w:bCs/>
                <w:color w:val="auto"/>
              </w:rPr>
              <w:t xml:space="preserve"> = 20</w:t>
            </w:r>
          </w:p>
          <w:p w14:paraId="51F60333">
            <w:pPr>
              <w:spacing w:line="420" w:lineRule="exact"/>
              <w:ind w:firstLine="420" w:firstLineChars="200"/>
              <w:rPr>
                <w:rFonts w:hint="default" w:ascii="Times New Roman" w:hAnsi="Times New Roman" w:cs="Times New Roman"/>
                <w:bCs/>
                <w:color w:val="auto"/>
              </w:rPr>
            </w:pPr>
            <w:r>
              <w:rPr>
                <w:rFonts w:hint="default" w:ascii="Times New Roman" w:hAnsi="Times New Roman" w:cs="Times New Roman"/>
                <w:bCs/>
                <w:color w:val="auto"/>
              </w:rPr>
              <w:t xml:space="preserve">    式中： r—声源到预测点的距离，m；</w:t>
            </w:r>
          </w:p>
          <w:p w14:paraId="2ECE1E35">
            <w:pPr>
              <w:spacing w:line="420" w:lineRule="exact"/>
              <w:ind w:firstLine="420" w:firstLineChars="200"/>
              <w:rPr>
                <w:rFonts w:hint="default" w:ascii="Times New Roman" w:hAnsi="Times New Roman" w:cs="Times New Roman"/>
                <w:bCs/>
                <w:color w:val="auto"/>
              </w:rPr>
            </w:pPr>
            <w:r>
              <w:rPr>
                <w:rFonts w:hint="default" w:ascii="Times New Roman" w:hAnsi="Times New Roman" w:cs="Times New Roman"/>
                <w:bCs/>
                <w:color w:val="auto"/>
              </w:rPr>
              <w:t xml:space="preserve">           r</w:t>
            </w:r>
            <w:r>
              <w:rPr>
                <w:rFonts w:hint="default" w:ascii="Times New Roman" w:hAnsi="Times New Roman" w:cs="Times New Roman"/>
                <w:bCs/>
                <w:color w:val="auto"/>
                <w:vertAlign w:val="subscript"/>
              </w:rPr>
              <w:t>0</w:t>
            </w:r>
            <w:r>
              <w:rPr>
                <w:rFonts w:hint="default" w:ascii="Times New Roman" w:hAnsi="Times New Roman" w:cs="Times New Roman"/>
                <w:bCs/>
                <w:color w:val="auto"/>
              </w:rPr>
              <w:t>—声源到参考点的距离，m。</w:t>
            </w:r>
          </w:p>
          <w:p w14:paraId="2A6E979E">
            <w:pPr>
              <w:spacing w:line="420" w:lineRule="exact"/>
              <w:ind w:firstLine="420" w:firstLineChars="200"/>
              <w:rPr>
                <w:rFonts w:hint="default" w:ascii="Times New Roman" w:hAnsi="Times New Roman" w:cs="Times New Roman"/>
                <w:bCs/>
                <w:color w:val="auto"/>
              </w:rPr>
            </w:pPr>
            <w:r>
              <w:rPr>
                <w:rFonts w:hint="default" w:ascii="Times New Roman" w:hAnsi="Times New Roman" w:cs="Times New Roman"/>
                <w:bCs/>
                <w:color w:val="auto"/>
              </w:rPr>
              <w:t>b. A</w:t>
            </w:r>
            <w:r>
              <w:rPr>
                <w:rFonts w:hint="default" w:ascii="Times New Roman" w:hAnsi="Times New Roman" w:cs="Times New Roman"/>
                <w:bCs/>
                <w:color w:val="auto"/>
                <w:vertAlign w:val="subscript"/>
              </w:rPr>
              <w:t>atm</w:t>
            </w:r>
          </w:p>
          <w:p w14:paraId="516CBDED">
            <w:pPr>
              <w:widowControl/>
              <w:jc w:val="center"/>
              <w:rPr>
                <w:rFonts w:hint="default" w:ascii="Times New Roman" w:hAnsi="Times New Roman" w:cs="Times New Roman"/>
                <w:color w:val="auto"/>
                <w:kern w:val="0"/>
              </w:rPr>
            </w:pPr>
            <w:r>
              <w:rPr>
                <w:rFonts w:hint="default" w:ascii="Times New Roman" w:hAnsi="Times New Roman" w:cs="Times New Roman"/>
                <w:color w:val="auto"/>
                <w:kern w:val="0"/>
              </w:rPr>
              <w:drawing>
                <wp:inline distT="0" distB="0" distL="114300" distR="114300">
                  <wp:extent cx="1009650" cy="400050"/>
                  <wp:effectExtent l="0" t="0" r="0" b="0"/>
                  <wp:docPr id="3" name="图片 9" descr="E:\韩晓龙\MobileFile\471847002\Image\C2C\9}A$]GUJ}L%HV}UNZ7TTV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 descr="E:\韩晓龙\MobileFile\471847002\Image\C2C\9}A$]GUJ}L%HV}UNZ7TTVHE.png"/>
                          <pic:cNvPicPr>
                            <a:picLocks noChangeAspect="1"/>
                          </pic:cNvPicPr>
                        </pic:nvPicPr>
                        <pic:blipFill>
                          <a:blip r:embed="rId21"/>
                          <a:stretch>
                            <a:fillRect/>
                          </a:stretch>
                        </pic:blipFill>
                        <pic:spPr>
                          <a:xfrm>
                            <a:off x="0" y="0"/>
                            <a:ext cx="1009650" cy="400050"/>
                          </a:xfrm>
                          <a:prstGeom prst="rect">
                            <a:avLst/>
                          </a:prstGeom>
                          <a:noFill/>
                          <a:ln>
                            <a:noFill/>
                          </a:ln>
                        </pic:spPr>
                      </pic:pic>
                    </a:graphicData>
                  </a:graphic>
                </wp:inline>
              </w:drawing>
            </w:r>
          </w:p>
          <w:p w14:paraId="5DE8A10B">
            <w:pPr>
              <w:spacing w:line="420" w:lineRule="exact"/>
              <w:ind w:firstLine="420" w:firstLineChars="200"/>
              <w:rPr>
                <w:rFonts w:hint="default" w:ascii="Times New Roman" w:hAnsi="Times New Roman" w:cs="Times New Roman"/>
                <w:bCs/>
                <w:color w:val="auto"/>
              </w:rPr>
            </w:pPr>
            <w:r>
              <w:rPr>
                <w:rFonts w:hint="default" w:ascii="Times New Roman" w:hAnsi="Times New Roman" w:cs="Times New Roman"/>
                <w:bCs/>
                <w:color w:val="auto"/>
              </w:rPr>
              <w:t>其中，a为空气吸声系数，其随频率的增大而增大。该厂噪声以中低频为主，空气吸收性衰减很小，预测时可忽略不计。</w:t>
            </w:r>
          </w:p>
          <w:p w14:paraId="0A11ED12">
            <w:pPr>
              <w:spacing w:line="420" w:lineRule="exact"/>
              <w:ind w:firstLine="420" w:firstLineChars="200"/>
              <w:rPr>
                <w:rFonts w:hint="default" w:ascii="Times New Roman" w:hAnsi="Times New Roman" w:cs="Times New Roman"/>
                <w:bCs/>
                <w:color w:val="auto"/>
              </w:rPr>
            </w:pPr>
            <w:r>
              <w:rPr>
                <w:rFonts w:hint="default" w:ascii="Times New Roman" w:hAnsi="Times New Roman" w:cs="Times New Roman"/>
                <w:bCs/>
                <w:color w:val="auto"/>
              </w:rPr>
              <w:t>c. A</w:t>
            </w:r>
            <w:r>
              <w:rPr>
                <w:rFonts w:hint="default" w:ascii="Times New Roman" w:hAnsi="Times New Roman" w:cs="Times New Roman"/>
                <w:bCs/>
                <w:color w:val="auto"/>
                <w:vertAlign w:val="subscript"/>
              </w:rPr>
              <w:t>bar</w:t>
            </w:r>
          </w:p>
          <w:p w14:paraId="5A354770">
            <w:pPr>
              <w:spacing w:line="420" w:lineRule="exact"/>
              <w:ind w:firstLine="420" w:firstLineChars="200"/>
              <w:rPr>
                <w:rFonts w:hint="default" w:ascii="Times New Roman" w:hAnsi="Times New Roman" w:cs="Times New Roman"/>
                <w:bCs/>
                <w:color w:val="auto"/>
              </w:rPr>
            </w:pPr>
            <w:r>
              <w:rPr>
                <w:rFonts w:hint="default" w:ascii="Times New Roman" w:hAnsi="Times New Roman" w:cs="Times New Roman"/>
                <w:bCs/>
                <w:color w:val="auto"/>
              </w:rPr>
              <w:t>由于主要噪声设备均置于厂房内，噪声在向外传播过程中将受到厂房或其他车间的阻挡影响，从而引起声能量的衰减，具体衰减依据声级的不同传播途径而定。</w:t>
            </w:r>
          </w:p>
          <w:p w14:paraId="1E05106F">
            <w:pPr>
              <w:spacing w:line="420" w:lineRule="exact"/>
              <w:ind w:firstLine="420" w:firstLineChars="200"/>
              <w:rPr>
                <w:rFonts w:hint="default" w:ascii="Times New Roman" w:hAnsi="Times New Roman" w:cs="Times New Roman"/>
                <w:bCs/>
                <w:color w:val="auto"/>
              </w:rPr>
            </w:pPr>
            <w:r>
              <w:rPr>
                <w:rFonts w:hint="default" w:ascii="Times New Roman" w:hAnsi="Times New Roman" w:cs="Times New Roman"/>
                <w:bCs/>
                <w:color w:val="auto"/>
              </w:rPr>
              <w:t>d. A</w:t>
            </w:r>
            <w:r>
              <w:rPr>
                <w:rFonts w:hint="default" w:ascii="Times New Roman" w:hAnsi="Times New Roman" w:cs="Times New Roman"/>
                <w:bCs/>
                <w:color w:val="auto"/>
                <w:vertAlign w:val="subscript"/>
              </w:rPr>
              <w:t>exc</w:t>
            </w:r>
          </w:p>
          <w:p w14:paraId="6EAA8E90">
            <w:pPr>
              <w:spacing w:line="420" w:lineRule="exact"/>
              <w:ind w:firstLine="420" w:firstLineChars="200"/>
              <w:rPr>
                <w:rFonts w:hint="default" w:ascii="Times New Roman" w:hAnsi="Times New Roman" w:cs="Times New Roman"/>
                <w:bCs/>
                <w:color w:val="auto"/>
                <w:highlight w:val="none"/>
              </w:rPr>
            </w:pPr>
            <w:r>
              <w:rPr>
                <w:rFonts w:hint="default" w:ascii="Times New Roman" w:hAnsi="Times New Roman" w:cs="Times New Roman"/>
                <w:bCs/>
                <w:color w:val="auto"/>
              </w:rPr>
              <w:t>主要考虑地面效应引起的附加衰减量，根据本工程厂区布置和噪声源强及外环境状况确定，取0～10dB（A）。</w:t>
            </w:r>
          </w:p>
          <w:p w14:paraId="6733EBB0">
            <w:pPr>
              <w:spacing w:line="420" w:lineRule="exact"/>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噪声影响评价选取4个厂界点位作为</w:t>
            </w:r>
            <w:r>
              <w:rPr>
                <w:rFonts w:hint="eastAsia" w:cs="Times New Roman"/>
                <w:color w:val="auto"/>
                <w:highlight w:val="none"/>
                <w:lang w:eastAsia="zh-CN"/>
              </w:rPr>
              <w:t>此次</w:t>
            </w:r>
            <w:r>
              <w:rPr>
                <w:rFonts w:hint="default" w:ascii="Times New Roman" w:hAnsi="Times New Roman" w:cs="Times New Roman"/>
                <w:color w:val="auto"/>
                <w:highlight w:val="none"/>
              </w:rPr>
              <w:t>工程对环境的影响预测点，预测、评价工程噪声对环境的影响。利用以上模式和参数计算得出项目建成后，主要噪声设备对厂界的噪声</w:t>
            </w:r>
            <w:r>
              <w:rPr>
                <w:rFonts w:hint="default" w:ascii="Times New Roman" w:hAnsi="Times New Roman" w:cs="Times New Roman"/>
                <w:color w:val="auto"/>
                <w:highlight w:val="none"/>
                <w:lang w:eastAsia="zh-CN"/>
              </w:rPr>
              <w:t>贡献</w:t>
            </w:r>
            <w:r>
              <w:rPr>
                <w:rFonts w:hint="default" w:ascii="Times New Roman" w:hAnsi="Times New Roman" w:cs="Times New Roman"/>
                <w:color w:val="auto"/>
                <w:highlight w:val="none"/>
              </w:rPr>
              <w:t>值。</w:t>
            </w:r>
            <w:r>
              <w:rPr>
                <w:rFonts w:hint="default" w:ascii="Times New Roman" w:hAnsi="Times New Roman" w:cs="Times New Roman"/>
                <w:color w:val="auto"/>
                <w:highlight w:val="none"/>
                <w:lang w:val="en-US" w:eastAsia="zh-CN"/>
              </w:rPr>
              <w:t>由于</w:t>
            </w:r>
            <w:r>
              <w:rPr>
                <w:rFonts w:hint="eastAsia" w:cs="Times New Roman"/>
                <w:color w:val="auto"/>
                <w:highlight w:val="none"/>
                <w:lang w:val="en-US" w:eastAsia="zh-CN"/>
              </w:rPr>
              <w:t>一期项目</w:t>
            </w:r>
            <w:r>
              <w:rPr>
                <w:rFonts w:hint="default" w:ascii="Times New Roman" w:hAnsi="Times New Roman" w:cs="Times New Roman"/>
                <w:color w:val="auto"/>
                <w:highlight w:val="none"/>
                <w:lang w:val="en-US" w:eastAsia="zh-CN"/>
              </w:rPr>
              <w:t>未新增生产设备，主要依托现有设备，混料、气流磨、分装工序工作时间由白班8h工作制，改为三班倒，每班8h，因此，昼间未新增噪声贡献值，昼间预测值参照现有项目现状监测值，</w:t>
            </w:r>
            <w:r>
              <w:rPr>
                <w:rFonts w:hint="default" w:ascii="Times New Roman" w:hAnsi="Times New Roman" w:cs="Times New Roman"/>
                <w:color w:val="auto"/>
                <w:highlight w:val="none"/>
              </w:rPr>
              <w:t>结果见下表。</w:t>
            </w:r>
          </w:p>
          <w:p w14:paraId="11D0FA0A">
            <w:pPr>
              <w:spacing w:line="420" w:lineRule="exact"/>
              <w:jc w:val="center"/>
              <w:rPr>
                <w:rFonts w:hint="default" w:ascii="Times New Roman" w:hAnsi="Times New Roman" w:cs="Times New Roman"/>
                <w:b/>
                <w:color w:val="auto"/>
                <w:spacing w:val="8"/>
                <w:kern w:val="24"/>
                <w:highlight w:val="none"/>
              </w:rPr>
            </w:pPr>
            <w:r>
              <w:rPr>
                <w:rFonts w:hint="default" w:ascii="Times New Roman" w:hAnsi="Times New Roman" w:cs="Times New Roman"/>
                <w:b/>
                <w:color w:val="auto"/>
                <w:spacing w:val="8"/>
                <w:kern w:val="24"/>
                <w:highlight w:val="none"/>
              </w:rPr>
              <w:t>表4-</w:t>
            </w:r>
            <w:r>
              <w:rPr>
                <w:rFonts w:hint="eastAsia" w:cs="Times New Roman"/>
                <w:b/>
                <w:color w:val="auto"/>
                <w:spacing w:val="8"/>
                <w:kern w:val="24"/>
                <w:highlight w:val="none"/>
                <w:lang w:val="en-US" w:eastAsia="zh-CN"/>
              </w:rPr>
              <w:t>27</w:t>
            </w:r>
            <w:r>
              <w:rPr>
                <w:rFonts w:hint="default" w:ascii="Times New Roman" w:hAnsi="Times New Roman" w:cs="Times New Roman"/>
                <w:b/>
                <w:color w:val="auto"/>
                <w:spacing w:val="8"/>
                <w:kern w:val="24"/>
                <w:highlight w:val="none"/>
              </w:rPr>
              <w:t>项目建成后各厂界的声级预测值一览表  单位：dB（A）</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2"/>
              <w:gridCol w:w="1110"/>
              <w:gridCol w:w="1373"/>
              <w:gridCol w:w="1378"/>
              <w:gridCol w:w="1442"/>
              <w:gridCol w:w="1977"/>
            </w:tblGrid>
            <w:tr w14:paraId="13D58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15" w:type="pct"/>
                  <w:gridSpan w:val="2"/>
                  <w:vMerge w:val="restart"/>
                  <w:noWrap w:val="0"/>
                  <w:vAlign w:val="center"/>
                </w:tcPr>
                <w:p w14:paraId="330809CE">
                  <w:pPr>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排放源</w:t>
                  </w:r>
                </w:p>
              </w:tc>
              <w:tc>
                <w:tcPr>
                  <w:tcW w:w="3684" w:type="pct"/>
                  <w:gridSpan w:val="4"/>
                  <w:noWrap w:val="0"/>
                  <w:vAlign w:val="center"/>
                </w:tcPr>
                <w:p w14:paraId="1B4DC276">
                  <w:pPr>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对最近厂界的贡献值dB（A）</w:t>
                  </w:r>
                </w:p>
              </w:tc>
            </w:tr>
            <w:tr w14:paraId="572DF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5" w:type="pct"/>
                  <w:gridSpan w:val="2"/>
                  <w:vMerge w:val="continue"/>
                  <w:noWrap w:val="0"/>
                  <w:vAlign w:val="center"/>
                </w:tcPr>
                <w:p w14:paraId="7B017788">
                  <w:pPr>
                    <w:adjustRightInd w:val="0"/>
                    <w:snapToGrid w:val="0"/>
                    <w:jc w:val="center"/>
                    <w:rPr>
                      <w:rFonts w:hint="default" w:ascii="Times New Roman" w:hAnsi="Times New Roman" w:cs="Times New Roman"/>
                      <w:color w:val="auto"/>
                      <w:kern w:val="0"/>
                      <w:sz w:val="18"/>
                      <w:szCs w:val="18"/>
                    </w:rPr>
                  </w:pPr>
                </w:p>
              </w:tc>
              <w:tc>
                <w:tcPr>
                  <w:tcW w:w="820" w:type="pct"/>
                  <w:noWrap w:val="0"/>
                  <w:vAlign w:val="center"/>
                </w:tcPr>
                <w:p w14:paraId="6502954D">
                  <w:pPr>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东</w:t>
                  </w:r>
                </w:p>
              </w:tc>
              <w:tc>
                <w:tcPr>
                  <w:tcW w:w="823" w:type="pct"/>
                  <w:noWrap w:val="0"/>
                  <w:vAlign w:val="center"/>
                </w:tcPr>
                <w:p w14:paraId="2949B1CD">
                  <w:pPr>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南</w:t>
                  </w:r>
                </w:p>
              </w:tc>
              <w:tc>
                <w:tcPr>
                  <w:tcW w:w="861" w:type="pct"/>
                  <w:noWrap w:val="0"/>
                  <w:vAlign w:val="center"/>
                </w:tcPr>
                <w:p w14:paraId="013A9CA9">
                  <w:pPr>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西</w:t>
                  </w:r>
                </w:p>
              </w:tc>
              <w:tc>
                <w:tcPr>
                  <w:tcW w:w="1180" w:type="pct"/>
                  <w:noWrap w:val="0"/>
                  <w:vAlign w:val="center"/>
                </w:tcPr>
                <w:p w14:paraId="0DF1C0B5">
                  <w:pPr>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北</w:t>
                  </w:r>
                </w:p>
              </w:tc>
            </w:tr>
            <w:tr w14:paraId="4969B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2" w:type="pct"/>
                  <w:vMerge w:val="restart"/>
                  <w:noWrap w:val="0"/>
                  <w:vAlign w:val="center"/>
                </w:tcPr>
                <w:p w14:paraId="7AB17393">
                  <w:pPr>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车间设备</w:t>
                  </w:r>
                </w:p>
              </w:tc>
              <w:tc>
                <w:tcPr>
                  <w:tcW w:w="662" w:type="pct"/>
                  <w:noWrap w:val="0"/>
                  <w:vAlign w:val="center"/>
                </w:tcPr>
                <w:p w14:paraId="55B61E0A">
                  <w:pPr>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昼间</w:t>
                  </w:r>
                </w:p>
              </w:tc>
              <w:tc>
                <w:tcPr>
                  <w:tcW w:w="820" w:type="pct"/>
                  <w:noWrap w:val="0"/>
                  <w:vAlign w:val="center"/>
                </w:tcPr>
                <w:p w14:paraId="0D6FF6C8">
                  <w:pPr>
                    <w:adjustRightInd w:val="0"/>
                    <w:snapToGrid w:val="0"/>
                    <w:jc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46.3</w:t>
                  </w:r>
                </w:p>
              </w:tc>
              <w:tc>
                <w:tcPr>
                  <w:tcW w:w="823" w:type="pct"/>
                  <w:noWrap w:val="0"/>
                  <w:vAlign w:val="center"/>
                </w:tcPr>
                <w:p w14:paraId="798B2A87">
                  <w:pPr>
                    <w:adjustRightInd w:val="0"/>
                    <w:snapToGrid w:val="0"/>
                    <w:jc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33.02</w:t>
                  </w:r>
                </w:p>
              </w:tc>
              <w:tc>
                <w:tcPr>
                  <w:tcW w:w="861" w:type="pct"/>
                  <w:noWrap w:val="0"/>
                  <w:vAlign w:val="center"/>
                </w:tcPr>
                <w:p w14:paraId="5ABC42F2">
                  <w:pPr>
                    <w:adjustRightInd w:val="0"/>
                    <w:snapToGrid w:val="0"/>
                    <w:jc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35.7</w:t>
                  </w:r>
                </w:p>
              </w:tc>
              <w:tc>
                <w:tcPr>
                  <w:tcW w:w="1180" w:type="pct"/>
                  <w:noWrap w:val="0"/>
                  <w:vAlign w:val="center"/>
                </w:tcPr>
                <w:p w14:paraId="5EAC38F2">
                  <w:pPr>
                    <w:adjustRightInd w:val="0"/>
                    <w:snapToGrid w:val="0"/>
                    <w:jc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47.7</w:t>
                  </w:r>
                </w:p>
              </w:tc>
            </w:tr>
            <w:tr w14:paraId="6DA46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2" w:type="pct"/>
                  <w:vMerge w:val="continue"/>
                  <w:noWrap w:val="0"/>
                  <w:vAlign w:val="center"/>
                </w:tcPr>
                <w:p w14:paraId="3068055D">
                  <w:pPr>
                    <w:adjustRightInd w:val="0"/>
                    <w:snapToGrid w:val="0"/>
                    <w:jc w:val="center"/>
                    <w:rPr>
                      <w:rFonts w:hint="default" w:ascii="Times New Roman" w:hAnsi="Times New Roman" w:cs="Times New Roman"/>
                      <w:color w:val="auto"/>
                      <w:kern w:val="0"/>
                      <w:sz w:val="18"/>
                      <w:szCs w:val="18"/>
                    </w:rPr>
                  </w:pPr>
                </w:p>
              </w:tc>
              <w:tc>
                <w:tcPr>
                  <w:tcW w:w="662" w:type="pct"/>
                  <w:noWrap w:val="0"/>
                  <w:vAlign w:val="center"/>
                </w:tcPr>
                <w:p w14:paraId="46796564">
                  <w:pPr>
                    <w:adjustRightInd w:val="0"/>
                    <w:snapToGrid w:val="0"/>
                    <w:jc w:val="center"/>
                    <w:rPr>
                      <w:rFonts w:hint="eastAsia" w:ascii="Times New Roman" w:hAnsi="Times New Roman" w:eastAsia="宋体"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夜间</w:t>
                  </w:r>
                </w:p>
              </w:tc>
              <w:tc>
                <w:tcPr>
                  <w:tcW w:w="820" w:type="pct"/>
                  <w:noWrap w:val="0"/>
                  <w:vAlign w:val="center"/>
                </w:tcPr>
                <w:p w14:paraId="0807EADD">
                  <w:pPr>
                    <w:adjustRightInd w:val="0"/>
                    <w:snapToGrid w:val="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rPr>
                    <w:t>46.3</w:t>
                  </w:r>
                </w:p>
              </w:tc>
              <w:tc>
                <w:tcPr>
                  <w:tcW w:w="823" w:type="pct"/>
                  <w:noWrap w:val="0"/>
                  <w:vAlign w:val="center"/>
                </w:tcPr>
                <w:p w14:paraId="469542E3">
                  <w:pPr>
                    <w:adjustRightInd w:val="0"/>
                    <w:snapToGrid w:val="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rPr>
                    <w:t>33.02</w:t>
                  </w:r>
                </w:p>
              </w:tc>
              <w:tc>
                <w:tcPr>
                  <w:tcW w:w="861" w:type="pct"/>
                  <w:noWrap w:val="0"/>
                  <w:vAlign w:val="center"/>
                </w:tcPr>
                <w:p w14:paraId="5C8E98B6">
                  <w:pPr>
                    <w:adjustRightInd w:val="0"/>
                    <w:snapToGrid w:val="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rPr>
                    <w:t>35.7</w:t>
                  </w:r>
                </w:p>
              </w:tc>
              <w:tc>
                <w:tcPr>
                  <w:tcW w:w="1180" w:type="pct"/>
                  <w:noWrap w:val="0"/>
                  <w:vAlign w:val="center"/>
                </w:tcPr>
                <w:p w14:paraId="7D389B11">
                  <w:pPr>
                    <w:adjustRightInd w:val="0"/>
                    <w:snapToGrid w:val="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rPr>
                    <w:t>47.7</w:t>
                  </w:r>
                </w:p>
              </w:tc>
            </w:tr>
          </w:tbl>
          <w:p w14:paraId="426F99F8">
            <w:pPr>
              <w:spacing w:line="42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t>由上表可知，</w:t>
            </w:r>
            <w:r>
              <w:rPr>
                <w:rFonts w:hint="eastAsia" w:cs="Times New Roman"/>
                <w:color w:val="auto"/>
                <w:lang w:eastAsia="zh-CN"/>
              </w:rPr>
              <w:t>一期项目</w:t>
            </w:r>
            <w:r>
              <w:rPr>
                <w:rFonts w:hint="default" w:ascii="Times New Roman" w:hAnsi="Times New Roman" w:cs="Times New Roman"/>
                <w:color w:val="auto"/>
                <w:lang w:eastAsia="zh-CN"/>
              </w:rPr>
              <w:t>完成后，</w:t>
            </w:r>
            <w:r>
              <w:rPr>
                <w:rFonts w:hint="default" w:ascii="Times New Roman" w:hAnsi="Times New Roman" w:cs="Times New Roman"/>
                <w:color w:val="auto"/>
              </w:rPr>
              <w:t>厂界昼</w:t>
            </w:r>
            <w:r>
              <w:rPr>
                <w:rFonts w:hint="default" w:ascii="Times New Roman" w:hAnsi="Times New Roman" w:cs="Times New Roman"/>
                <w:color w:val="auto"/>
                <w:lang w:eastAsia="zh-CN"/>
              </w:rPr>
              <w:t>夜</w:t>
            </w:r>
            <w:r>
              <w:rPr>
                <w:rFonts w:hint="default" w:ascii="Times New Roman" w:hAnsi="Times New Roman" w:cs="Times New Roman"/>
                <w:color w:val="auto"/>
              </w:rPr>
              <w:t>间噪声能满足《工业企业厂界环境噪声排放标准》（GB12348-2008）中2类标准（昼间60dB（A）</w:t>
            </w:r>
            <w:r>
              <w:rPr>
                <w:rFonts w:hint="default" w:ascii="Times New Roman" w:hAnsi="Times New Roman" w:cs="Times New Roman"/>
                <w:color w:val="auto"/>
                <w:lang w:eastAsia="zh-CN"/>
              </w:rPr>
              <w:t>，夜</w:t>
            </w:r>
            <w:r>
              <w:rPr>
                <w:rFonts w:hint="default" w:ascii="Times New Roman" w:hAnsi="Times New Roman" w:cs="Times New Roman"/>
                <w:color w:val="auto"/>
              </w:rPr>
              <w:t>间</w:t>
            </w:r>
            <w:r>
              <w:rPr>
                <w:rFonts w:hint="eastAsia" w:cs="Times New Roman"/>
                <w:color w:val="auto"/>
                <w:lang w:val="en-US" w:eastAsia="zh-CN"/>
              </w:rPr>
              <w:t>5</w:t>
            </w:r>
            <w:r>
              <w:rPr>
                <w:rFonts w:hint="default" w:ascii="Times New Roman" w:hAnsi="Times New Roman" w:cs="Times New Roman"/>
                <w:color w:val="auto"/>
              </w:rPr>
              <w:t>0dB（A））。</w:t>
            </w:r>
          </w:p>
          <w:p w14:paraId="511F0B3A">
            <w:pPr>
              <w:spacing w:line="420" w:lineRule="exact"/>
              <w:rPr>
                <w:rFonts w:hint="default" w:ascii="Times New Roman" w:hAnsi="Times New Roman" w:cs="Times New Roman"/>
                <w:b/>
                <w:bCs/>
                <w:color w:val="auto"/>
                <w:szCs w:val="18"/>
              </w:rPr>
            </w:pPr>
            <w:r>
              <w:rPr>
                <w:rFonts w:hint="default" w:ascii="Times New Roman" w:hAnsi="Times New Roman" w:cs="Times New Roman"/>
                <w:b/>
                <w:bCs/>
                <w:color w:val="auto"/>
                <w:szCs w:val="18"/>
              </w:rPr>
              <w:t>3、监测要求</w:t>
            </w:r>
          </w:p>
          <w:p w14:paraId="3CE52069">
            <w:pPr>
              <w:spacing w:line="42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t>依据《排污单位自行监测技术指南 总则》（HJ819-2017）</w:t>
            </w:r>
            <w:r>
              <w:rPr>
                <w:rFonts w:hint="eastAsia" w:cs="Times New Roman"/>
                <w:color w:val="auto"/>
                <w:lang w:eastAsia="zh-CN"/>
              </w:rPr>
              <w:t>、《排污单位自行监测技术指南 磷肥、钾肥、复混肥料、有机肥料和微生物肥料》（HJ 1088—2020）、《排污许可证申请与核发技术规范 工业噪声》（HJ 1301—2023）和一期项目情况</w:t>
            </w:r>
            <w:r>
              <w:rPr>
                <w:rFonts w:hint="default" w:ascii="Times New Roman" w:hAnsi="Times New Roman" w:cs="Times New Roman"/>
                <w:color w:val="auto"/>
              </w:rPr>
              <w:t>，对</w:t>
            </w:r>
            <w:r>
              <w:rPr>
                <w:rFonts w:hint="eastAsia" w:cs="Times New Roman"/>
                <w:color w:val="auto"/>
                <w:lang w:eastAsia="zh-CN"/>
              </w:rPr>
              <w:t>一期项目</w:t>
            </w:r>
            <w:r>
              <w:rPr>
                <w:rFonts w:hint="default" w:ascii="Times New Roman" w:hAnsi="Times New Roman" w:cs="Times New Roman"/>
                <w:color w:val="auto"/>
              </w:rPr>
              <w:t>噪声的日常监测要求见下表：</w:t>
            </w:r>
          </w:p>
          <w:p w14:paraId="23A9840D">
            <w:pPr>
              <w:spacing w:line="420" w:lineRule="exact"/>
              <w:ind w:firstLine="25" w:firstLineChars="12"/>
              <w:jc w:val="center"/>
              <w:rPr>
                <w:rFonts w:hint="default" w:ascii="Times New Roman" w:hAnsi="Times New Roman" w:cs="Times New Roman"/>
                <w:b/>
                <w:bCs/>
                <w:color w:val="auto"/>
              </w:rPr>
            </w:pPr>
            <w:r>
              <w:rPr>
                <w:rFonts w:hint="default" w:ascii="Times New Roman" w:hAnsi="Times New Roman" w:cs="Times New Roman"/>
                <w:b/>
                <w:bCs/>
                <w:color w:val="auto"/>
              </w:rPr>
              <w:t>表4-</w:t>
            </w:r>
            <w:r>
              <w:rPr>
                <w:rFonts w:hint="eastAsia" w:cs="Times New Roman"/>
                <w:b/>
                <w:bCs/>
                <w:color w:val="auto"/>
                <w:lang w:val="en-US" w:eastAsia="zh-CN"/>
              </w:rPr>
              <w:t>28</w:t>
            </w:r>
            <w:r>
              <w:rPr>
                <w:rFonts w:hint="default" w:ascii="Times New Roman" w:hAnsi="Times New Roman" w:cs="Times New Roman"/>
                <w:b/>
                <w:bCs/>
                <w:color w:val="auto"/>
                <w:lang w:val="en-US" w:eastAsia="zh-CN"/>
              </w:rPr>
              <w:t xml:space="preserve"> </w:t>
            </w:r>
            <w:r>
              <w:rPr>
                <w:rFonts w:hint="default" w:ascii="Times New Roman" w:hAnsi="Times New Roman" w:cs="Times New Roman"/>
                <w:b/>
                <w:bCs/>
                <w:color w:val="auto"/>
              </w:rPr>
              <w:t>噪声监测要求</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83"/>
              <w:gridCol w:w="5689"/>
            </w:tblGrid>
            <w:tr w14:paraId="23228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02" w:type="pct"/>
                  <w:noWrap w:val="0"/>
                  <w:vAlign w:val="center"/>
                </w:tcPr>
                <w:p w14:paraId="45D3B4FB">
                  <w:pPr>
                    <w:pStyle w:val="381"/>
                    <w:spacing w:line="420" w:lineRule="exact"/>
                    <w:ind w:firstLine="0" w:firstLineChars="0"/>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监测点位</w:t>
                  </w:r>
                </w:p>
              </w:tc>
              <w:tc>
                <w:tcPr>
                  <w:tcW w:w="3397" w:type="pct"/>
                  <w:noWrap w:val="0"/>
                  <w:vAlign w:val="center"/>
                </w:tcPr>
                <w:p w14:paraId="09D32E56">
                  <w:pPr>
                    <w:pStyle w:val="381"/>
                    <w:spacing w:line="420" w:lineRule="exact"/>
                    <w:ind w:firstLine="0" w:firstLine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厂界外1m</w:t>
                  </w:r>
                </w:p>
              </w:tc>
            </w:tr>
            <w:tr w14:paraId="3CA12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02" w:type="pct"/>
                  <w:noWrap w:val="0"/>
                  <w:vAlign w:val="center"/>
                </w:tcPr>
                <w:p w14:paraId="3E171FBA">
                  <w:pPr>
                    <w:pStyle w:val="381"/>
                    <w:spacing w:line="240" w:lineRule="exact"/>
                    <w:ind w:firstLine="0" w:firstLineChars="0"/>
                    <w:jc w:val="center"/>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bCs/>
                      <w:color w:val="auto"/>
                      <w:sz w:val="18"/>
                      <w:szCs w:val="18"/>
                      <w:highlight w:val="none"/>
                      <w:lang w:val="en-US" w:eastAsia="zh-CN"/>
                    </w:rPr>
                    <w:t>监测项目</w:t>
                  </w:r>
                </w:p>
              </w:tc>
              <w:tc>
                <w:tcPr>
                  <w:tcW w:w="3397" w:type="pct"/>
                  <w:noWrap w:val="0"/>
                  <w:vAlign w:val="center"/>
                </w:tcPr>
                <w:p w14:paraId="3471B4E5">
                  <w:pPr>
                    <w:pStyle w:val="381"/>
                    <w:spacing w:line="240" w:lineRule="exact"/>
                    <w:ind w:firstLine="0" w:firstLine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昼间、夜间</w:t>
                  </w:r>
                  <w:r>
                    <w:rPr>
                      <w:rFonts w:hint="default" w:ascii="Times New Roman" w:hAnsi="Times New Roman" w:eastAsia="宋体" w:cs="Times New Roman"/>
                      <w:color w:val="auto"/>
                      <w:sz w:val="18"/>
                      <w:szCs w:val="18"/>
                      <w:highlight w:val="none"/>
                      <w:lang w:val="en-US"/>
                    </w:rPr>
                    <w:t>等效连续 A 声级</w:t>
                  </w:r>
                  <w:r>
                    <w:rPr>
                      <w:rFonts w:hint="default" w:ascii="Times New Roman" w:hAnsi="Times New Roman" w:eastAsia="宋体" w:cs="Times New Roman"/>
                      <w:color w:val="auto"/>
                      <w:sz w:val="18"/>
                      <w:szCs w:val="18"/>
                      <w:highlight w:val="none"/>
                      <w:lang w:val="en-US" w:eastAsia="zh-CN"/>
                    </w:rPr>
                    <w:t>、夜间偶发噪声最大声级</w:t>
                  </w:r>
                  <w:r>
                    <w:rPr>
                      <w:rFonts w:hint="eastAsia"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Lmax)</w:t>
                  </w:r>
                </w:p>
              </w:tc>
            </w:tr>
            <w:tr w14:paraId="1DE73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02" w:type="pct"/>
                  <w:noWrap w:val="0"/>
                  <w:vAlign w:val="center"/>
                </w:tcPr>
                <w:p w14:paraId="1846ACA1">
                  <w:pPr>
                    <w:pStyle w:val="381"/>
                    <w:spacing w:line="420" w:lineRule="exact"/>
                    <w:ind w:firstLine="0" w:firstLineChars="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监测频次</w:t>
                  </w:r>
                </w:p>
              </w:tc>
              <w:tc>
                <w:tcPr>
                  <w:tcW w:w="3397" w:type="pct"/>
                  <w:noWrap w:val="0"/>
                  <w:vAlign w:val="center"/>
                </w:tcPr>
                <w:p w14:paraId="1710D737">
                  <w:pPr>
                    <w:pStyle w:val="381"/>
                    <w:spacing w:line="420" w:lineRule="exact"/>
                    <w:ind w:firstLine="0" w:firstLineChars="0"/>
                    <w:jc w:val="center"/>
                    <w:rPr>
                      <w:rFonts w:hint="default" w:ascii="Times New Roman" w:hAnsi="Times New Roman" w:eastAsia="宋体" w:cs="Times New Roman"/>
                      <w:color w:val="auto"/>
                      <w:sz w:val="18"/>
                      <w:szCs w:val="18"/>
                      <w:lang w:val="en-US"/>
                    </w:rPr>
                  </w:pPr>
                  <w:r>
                    <w:rPr>
                      <w:rFonts w:hint="default" w:ascii="Times New Roman" w:hAnsi="Times New Roman" w:eastAsia="宋体" w:cs="Times New Roman"/>
                      <w:color w:val="auto"/>
                      <w:sz w:val="18"/>
                      <w:szCs w:val="18"/>
                      <w:lang w:val="en-US"/>
                    </w:rPr>
                    <w:t>每季度1次</w:t>
                  </w:r>
                </w:p>
              </w:tc>
            </w:tr>
            <w:tr w14:paraId="3F7D3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02" w:type="pct"/>
                  <w:noWrap w:val="0"/>
                  <w:vAlign w:val="center"/>
                </w:tcPr>
                <w:p w14:paraId="238CBA4E">
                  <w:pPr>
                    <w:pStyle w:val="381"/>
                    <w:spacing w:line="420" w:lineRule="exact"/>
                    <w:ind w:firstLine="0" w:firstLineChars="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执行标准</w:t>
                  </w:r>
                </w:p>
              </w:tc>
              <w:tc>
                <w:tcPr>
                  <w:tcW w:w="3397" w:type="pct"/>
                  <w:noWrap w:val="0"/>
                  <w:vAlign w:val="center"/>
                </w:tcPr>
                <w:p w14:paraId="481BF5D5">
                  <w:pPr>
                    <w:pStyle w:val="381"/>
                    <w:spacing w:line="420" w:lineRule="exact"/>
                    <w:ind w:firstLine="0" w:firstLineChars="0"/>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《工业企业厂界环境噪声排放标准》（GB12348-2008）2类区标准</w:t>
                  </w:r>
                </w:p>
              </w:tc>
            </w:tr>
          </w:tbl>
          <w:p w14:paraId="4AFE8263">
            <w:pPr>
              <w:keepNext w:val="0"/>
              <w:keepLines w:val="0"/>
              <w:pageBreakBefore w:val="0"/>
              <w:widowControl w:val="0"/>
              <w:kinsoku/>
              <w:wordWrap/>
              <w:overflowPunct/>
              <w:topLinePunct w:val="0"/>
              <w:bidi w:val="0"/>
              <w:adjustRightInd w:val="0"/>
              <w:snapToGrid w:val="0"/>
              <w:spacing w:line="360" w:lineRule="auto"/>
              <w:ind w:firstLine="422" w:firstLineChars="200"/>
              <w:textAlignment w:val="auto"/>
              <w:rPr>
                <w:rFonts w:hint="default" w:ascii="Times New Roman" w:hAnsi="Times New Roman" w:cs="Times New Roman"/>
                <w:b/>
                <w:bCs/>
                <w:color w:val="auto"/>
              </w:rPr>
            </w:pPr>
            <w:r>
              <w:rPr>
                <w:rFonts w:hint="default" w:ascii="Times New Roman" w:hAnsi="Times New Roman" w:cs="Times New Roman"/>
                <w:b/>
                <w:bCs/>
                <w:color w:val="auto"/>
              </w:rPr>
              <w:t>四、固体废物</w:t>
            </w:r>
          </w:p>
          <w:p w14:paraId="3C5B979C">
            <w:pPr>
              <w:keepNext w:val="0"/>
              <w:keepLines w:val="0"/>
              <w:pageBreakBefore w:val="0"/>
              <w:widowControl w:val="0"/>
              <w:kinsoku/>
              <w:wordWrap/>
              <w:overflowPunct/>
              <w:topLinePunct w:val="0"/>
              <w:bidi w:val="0"/>
              <w:adjustRightInd w:val="0"/>
              <w:snapToGrid w:val="0"/>
              <w:spacing w:line="360" w:lineRule="auto"/>
              <w:ind w:firstLine="422" w:firstLineChars="200"/>
              <w:textAlignment w:val="auto"/>
              <w:rPr>
                <w:rFonts w:hint="default" w:ascii="Times New Roman" w:hAnsi="Times New Roman" w:cs="Times New Roman"/>
                <w:b/>
                <w:bCs/>
                <w:color w:val="auto"/>
              </w:rPr>
            </w:pPr>
            <w:r>
              <w:rPr>
                <w:rFonts w:hint="default" w:ascii="Times New Roman" w:hAnsi="Times New Roman" w:cs="Times New Roman"/>
                <w:b/>
                <w:bCs/>
                <w:color w:val="auto"/>
              </w:rPr>
              <w:t>1、固体废弃物产生环节及处置</w:t>
            </w:r>
          </w:p>
          <w:p w14:paraId="471FD76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rFonts w:hint="default" w:ascii="Times New Roman" w:hAnsi="Times New Roman" w:cs="Times New Roman"/>
                <w:color w:val="auto"/>
                <w:highlight w:val="none"/>
                <w:lang w:eastAsia="zh-CN"/>
              </w:rPr>
            </w:pPr>
            <w:r>
              <w:rPr>
                <w:rFonts w:hint="default" w:ascii="Times New Roman" w:hAnsi="Times New Roman" w:cs="Times New Roman"/>
                <w:snapToGrid w:val="0"/>
                <w:color w:val="auto"/>
                <w:kern w:val="0"/>
                <w:highlight w:val="none"/>
              </w:rPr>
              <w:t>根据《固体废物鉴别标准通则》（GB34330-2017）第6条6.1的要求：不经过</w:t>
            </w:r>
            <w:r>
              <w:rPr>
                <w:rFonts w:hint="default" w:ascii="Times New Roman" w:hAnsi="Times New Roman" w:cs="Times New Roman"/>
                <w:color w:val="auto"/>
                <w:highlight w:val="none"/>
              </w:rPr>
              <w:t>贮存或堆积过程，而在现场直接返回到原生产过程或返回其产生过程的物质，不作为固体废物管理</w:t>
            </w:r>
            <w:r>
              <w:rPr>
                <w:rFonts w:hint="default" w:ascii="Times New Roman" w:hAnsi="Times New Roman" w:cs="Times New Roman"/>
                <w:color w:val="auto"/>
                <w:highlight w:val="none"/>
                <w:lang w:eastAsia="zh-CN"/>
              </w:rPr>
              <w:t>；</w:t>
            </w:r>
            <w:r>
              <w:rPr>
                <w:rFonts w:hint="default" w:ascii="Times New Roman" w:hAnsi="Times New Roman" w:cs="Times New Roman"/>
                <w:bCs/>
                <w:color w:val="auto"/>
                <w:highlight w:val="none"/>
                <w:lang w:eastAsia="zh-CN"/>
              </w:rPr>
              <w:t>任何不需要修复和加工既可用于原始用途的物质，或者在产生点经过修复和加工后满足国家、地方制定或行业通行的产品质量标准并用于其原始用途的物质，不作为固体废物管理”</w:t>
            </w:r>
            <w:r>
              <w:rPr>
                <w:rFonts w:hint="default" w:ascii="Times New Roman" w:hAnsi="Times New Roman" w:cs="Times New Roman"/>
                <w:color w:val="auto"/>
                <w:highlight w:val="none"/>
              </w:rPr>
              <w:t>。</w:t>
            </w:r>
            <w:r>
              <w:rPr>
                <w:rFonts w:hint="eastAsia" w:cs="Times New Roman"/>
                <w:color w:val="auto"/>
                <w:highlight w:val="none"/>
                <w:lang w:eastAsia="zh-CN"/>
              </w:rPr>
              <w:t>一期项目</w:t>
            </w:r>
            <w:r>
              <w:rPr>
                <w:rFonts w:hint="default" w:ascii="Times New Roman" w:hAnsi="Times New Roman" w:cs="Times New Roman"/>
                <w:color w:val="auto"/>
                <w:highlight w:val="none"/>
                <w:lang w:eastAsia="zh-CN"/>
              </w:rPr>
              <w:t>除尘器收尘</w:t>
            </w:r>
            <w:r>
              <w:rPr>
                <w:rFonts w:hint="default" w:ascii="Times New Roman" w:hAnsi="Times New Roman" w:cs="Times New Roman"/>
                <w:color w:val="auto"/>
                <w:highlight w:val="none"/>
              </w:rPr>
              <w:t>直接回用生产，所以不按固废进行管理</w:t>
            </w:r>
            <w:r>
              <w:rPr>
                <w:rFonts w:hint="default" w:ascii="Times New Roman" w:hAnsi="Times New Roman" w:cs="Times New Roman"/>
                <w:color w:val="auto"/>
                <w:highlight w:val="none"/>
                <w:lang w:eastAsia="zh-CN"/>
              </w:rPr>
              <w:t>。</w:t>
            </w:r>
          </w:p>
          <w:p w14:paraId="380846D4">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default" w:ascii="Times New Roman" w:hAnsi="Times New Roman" w:cs="Times New Roman"/>
                <w:color w:val="FF0000"/>
              </w:rPr>
            </w:pPr>
            <w:r>
              <w:rPr>
                <w:rFonts w:hint="default" w:ascii="Times New Roman" w:hAnsi="Times New Roman" w:cs="Times New Roman"/>
                <w:color w:val="auto"/>
                <w:lang w:eastAsia="zh-CN"/>
              </w:rPr>
              <w:t>项目生产过程中产生的固废</w:t>
            </w:r>
            <w:r>
              <w:rPr>
                <w:rFonts w:hint="default" w:ascii="Times New Roman" w:hAnsi="Times New Roman" w:eastAsia="宋体" w:cs="Times New Roman"/>
                <w:caps w:val="0"/>
                <w:snapToGrid w:val="0"/>
                <w:color w:val="auto"/>
                <w:spacing w:val="0"/>
                <w:position w:val="0"/>
                <w:sz w:val="21"/>
                <w:szCs w:val="21"/>
                <w:highlight w:val="none"/>
                <w:lang w:eastAsia="zh-CN"/>
              </w:rPr>
              <w:t>可分为生活垃圾</w:t>
            </w:r>
            <w:r>
              <w:rPr>
                <w:rFonts w:hint="eastAsia" w:cs="Times New Roman"/>
                <w:caps w:val="0"/>
                <w:snapToGrid w:val="0"/>
                <w:color w:val="auto"/>
                <w:spacing w:val="0"/>
                <w:position w:val="0"/>
                <w:sz w:val="21"/>
                <w:szCs w:val="21"/>
                <w:highlight w:val="none"/>
                <w:lang w:eastAsia="zh-CN"/>
              </w:rPr>
              <w:t>（</w:t>
            </w:r>
            <w:r>
              <w:rPr>
                <w:rFonts w:hint="eastAsia" w:cs="Times New Roman"/>
                <w:caps w:val="0"/>
                <w:snapToGrid w:val="0"/>
                <w:color w:val="auto"/>
                <w:spacing w:val="0"/>
                <w:position w:val="0"/>
                <w:sz w:val="21"/>
                <w:szCs w:val="21"/>
                <w:highlight w:val="none"/>
                <w:lang w:val="en-US" w:eastAsia="zh-CN"/>
              </w:rPr>
              <w:t>S5</w:t>
            </w:r>
            <w:r>
              <w:rPr>
                <w:rFonts w:hint="eastAsia" w:cs="Times New Roman"/>
                <w:caps w:val="0"/>
                <w:snapToGrid w:val="0"/>
                <w:color w:val="auto"/>
                <w:spacing w:val="0"/>
                <w:position w:val="0"/>
                <w:sz w:val="21"/>
                <w:szCs w:val="21"/>
                <w:highlight w:val="none"/>
                <w:lang w:eastAsia="zh-CN"/>
              </w:rPr>
              <w:t>）</w:t>
            </w:r>
            <w:r>
              <w:rPr>
                <w:rFonts w:hint="default" w:ascii="Times New Roman" w:hAnsi="Times New Roman" w:eastAsia="宋体" w:cs="Times New Roman"/>
                <w:caps w:val="0"/>
                <w:snapToGrid w:val="0"/>
                <w:color w:val="auto"/>
                <w:spacing w:val="0"/>
                <w:position w:val="0"/>
                <w:sz w:val="21"/>
                <w:szCs w:val="21"/>
                <w:highlight w:val="none"/>
                <w:lang w:eastAsia="zh-CN"/>
              </w:rPr>
              <w:t>、一般工业固废。一般工业固废主要为废原料</w:t>
            </w:r>
            <w:r>
              <w:rPr>
                <w:rFonts w:hint="default" w:ascii="Times New Roman" w:hAnsi="Times New Roman" w:eastAsia="宋体" w:cs="Times New Roman"/>
                <w:caps w:val="0"/>
                <w:snapToGrid w:val="0"/>
                <w:color w:val="auto"/>
                <w:spacing w:val="0"/>
                <w:position w:val="0"/>
                <w:sz w:val="21"/>
                <w:szCs w:val="21"/>
                <w:highlight w:val="none"/>
                <w:lang w:val="en-US" w:eastAsia="zh-CN"/>
              </w:rPr>
              <w:t>包装袋</w:t>
            </w:r>
            <w:r>
              <w:rPr>
                <w:rFonts w:hint="eastAsia" w:cs="Times New Roman"/>
                <w:caps w:val="0"/>
                <w:snapToGrid w:val="0"/>
                <w:color w:val="auto"/>
                <w:spacing w:val="0"/>
                <w:position w:val="0"/>
                <w:sz w:val="21"/>
                <w:szCs w:val="21"/>
                <w:highlight w:val="none"/>
                <w:lang w:val="en-US" w:eastAsia="zh-CN"/>
              </w:rPr>
              <w:t>（S1、S2）、</w:t>
            </w:r>
            <w:r>
              <w:rPr>
                <w:rFonts w:hint="default" w:ascii="Times New Roman" w:hAnsi="Times New Roman" w:eastAsia="宋体" w:cs="Times New Roman"/>
                <w:caps w:val="0"/>
                <w:snapToGrid w:val="0"/>
                <w:color w:val="auto"/>
                <w:spacing w:val="0"/>
                <w:position w:val="0"/>
                <w:sz w:val="21"/>
                <w:szCs w:val="21"/>
                <w:highlight w:val="none"/>
                <w:lang w:val="en-US" w:eastAsia="zh-CN"/>
              </w:rPr>
              <w:t>废布袋</w:t>
            </w:r>
            <w:r>
              <w:rPr>
                <w:rFonts w:hint="eastAsia" w:cs="Times New Roman"/>
                <w:caps w:val="0"/>
                <w:snapToGrid w:val="0"/>
                <w:color w:val="auto"/>
                <w:spacing w:val="0"/>
                <w:position w:val="0"/>
                <w:sz w:val="21"/>
                <w:szCs w:val="21"/>
                <w:highlight w:val="none"/>
                <w:lang w:val="en-US" w:eastAsia="zh-CN"/>
              </w:rPr>
              <w:t>（S3）、车间沉降颗粒物清扫粉尘（S4）</w:t>
            </w:r>
            <w:r>
              <w:rPr>
                <w:rFonts w:hint="default" w:ascii="Times New Roman" w:hAnsi="Times New Roman" w:cs="Times New Roman"/>
                <w:color w:val="FF0000"/>
              </w:rPr>
              <w:t>。</w:t>
            </w:r>
          </w:p>
          <w:p w14:paraId="363693D2">
            <w:pPr>
              <w:keepNext w:val="0"/>
              <w:keepLines w:val="0"/>
              <w:pageBreakBefore w:val="0"/>
              <w:widowControl w:val="0"/>
              <w:numPr>
                <w:ilvl w:val="0"/>
                <w:numId w:val="20"/>
              </w:numPr>
              <w:kinsoku/>
              <w:wordWrap/>
              <w:overflowPunct/>
              <w:topLinePunct w:val="0"/>
              <w:autoSpaceDE w:val="0"/>
              <w:autoSpaceDN w:val="0"/>
              <w:bidi w:val="0"/>
              <w:adjustRightInd w:val="0"/>
              <w:snapToGrid w:val="0"/>
              <w:spacing w:line="360" w:lineRule="auto"/>
              <w:ind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废原料</w:t>
            </w:r>
            <w:r>
              <w:rPr>
                <w:rFonts w:hint="default" w:ascii="Times New Roman" w:hAnsi="Times New Roman" w:cs="Times New Roman"/>
                <w:color w:val="auto"/>
                <w:highlight w:val="none"/>
                <w:lang w:val="en-US" w:eastAsia="zh-CN"/>
              </w:rPr>
              <w:t>包装袋</w:t>
            </w:r>
            <w:r>
              <w:rPr>
                <w:rFonts w:hint="eastAsia" w:cs="Times New Roman"/>
                <w:caps w:val="0"/>
                <w:snapToGrid w:val="0"/>
                <w:color w:val="auto"/>
                <w:spacing w:val="0"/>
                <w:position w:val="0"/>
                <w:sz w:val="21"/>
                <w:szCs w:val="21"/>
                <w:highlight w:val="none"/>
                <w:lang w:val="en-US" w:eastAsia="zh-CN"/>
              </w:rPr>
              <w:t>（S1、S2）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原料包装</w:t>
            </w:r>
            <w:r>
              <w:rPr>
                <w:rFonts w:hint="default" w:ascii="Times New Roman" w:hAnsi="Times New Roman" w:cs="Times New Roman"/>
                <w:color w:val="auto"/>
                <w:highlight w:val="none"/>
              </w:rPr>
              <w:t>中会产生</w:t>
            </w:r>
            <w:r>
              <w:rPr>
                <w:rFonts w:hint="default" w:ascii="Times New Roman" w:hAnsi="Times New Roman" w:cs="Times New Roman"/>
                <w:color w:val="auto"/>
                <w:highlight w:val="none"/>
                <w:lang w:eastAsia="zh-CN"/>
              </w:rPr>
              <w:t>废包装袋</w:t>
            </w:r>
            <w:r>
              <w:rPr>
                <w:rFonts w:hint="default" w:ascii="Times New Roman" w:hAnsi="Times New Roman" w:cs="Times New Roman"/>
                <w:color w:val="auto"/>
                <w:highlight w:val="none"/>
              </w:rPr>
              <w:t>，</w:t>
            </w:r>
            <w:r>
              <w:rPr>
                <w:rFonts w:hint="eastAsia" w:cs="Times New Roman"/>
                <w:color w:val="auto"/>
                <w:highlight w:val="none"/>
                <w:lang w:val="en-US" w:eastAsia="zh-CN"/>
              </w:rPr>
              <w:t>其中5万吨硫酸铵为散装，5万吨硫酸铵包装规格为1t/袋，5万吨硫酸铵包装规格为50kg/袋，其余原料包装规格均为50kg/袋，经计算废包装袋产生量约为81.64t，其中98%（80.01）</w:t>
            </w:r>
            <w:r>
              <w:rPr>
                <w:rFonts w:hint="default" w:ascii="Times New Roman" w:hAnsi="Times New Roman" w:cs="Times New Roman"/>
                <w:color w:val="auto"/>
                <w:highlight w:val="none"/>
                <w:lang w:val="en-US" w:eastAsia="zh-CN"/>
              </w:rPr>
              <w:t>直接用于产品外包装，</w:t>
            </w:r>
            <w:r>
              <w:rPr>
                <w:rFonts w:hint="eastAsia" w:cs="Times New Roman"/>
                <w:color w:val="auto"/>
                <w:highlight w:val="none"/>
                <w:lang w:val="en-US" w:eastAsia="zh-CN"/>
              </w:rPr>
              <w:t>约2</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（1.63t/a）</w:t>
            </w:r>
            <w:r>
              <w:rPr>
                <w:rFonts w:hint="default" w:ascii="Times New Roman" w:hAnsi="Times New Roman" w:cs="Times New Roman"/>
                <w:color w:val="auto"/>
                <w:highlight w:val="none"/>
                <w:lang w:val="en-US" w:eastAsia="zh-CN"/>
              </w:rPr>
              <w:t>因破损，无法回用的，</w:t>
            </w:r>
            <w:r>
              <w:rPr>
                <w:rFonts w:hint="eastAsia" w:cs="Times New Roman"/>
                <w:color w:val="auto"/>
                <w:highlight w:val="none"/>
                <w:lang w:val="en-US" w:eastAsia="zh-CN"/>
              </w:rPr>
              <w:t>作为一般工业固体废物，代码900-003-S17，</w:t>
            </w:r>
            <w:r>
              <w:rPr>
                <w:rFonts w:hint="default" w:ascii="Times New Roman" w:hAnsi="Times New Roman" w:cs="Times New Roman"/>
                <w:color w:val="auto"/>
                <w:highlight w:val="none"/>
              </w:rPr>
              <w:t>经员工收集后暂存在一般固废暂存处，定期外卖。</w:t>
            </w:r>
          </w:p>
          <w:p w14:paraId="12E21DF5">
            <w:pPr>
              <w:autoSpaceDE w:val="0"/>
              <w:autoSpaceDN w:val="0"/>
              <w:adjustRightInd w:val="0"/>
              <w:snapToGrid w:val="0"/>
              <w:spacing w:line="360" w:lineRule="auto"/>
              <w:ind w:firstLine="420" w:firstLineChars="200"/>
              <w:rPr>
                <w:rFonts w:hint="default" w:ascii="Times New Roman" w:hAnsi="Times New Roman" w:eastAsia="宋体" w:cs="Times New Roman"/>
                <w:color w:val="auto"/>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eastAsia" w:cs="Times New Roman"/>
                <w:caps w:val="0"/>
                <w:snapToGrid w:val="0"/>
                <w:color w:val="auto"/>
                <w:spacing w:val="0"/>
                <w:position w:val="0"/>
                <w:sz w:val="21"/>
                <w:szCs w:val="21"/>
                <w:highlight w:val="none"/>
                <w:lang w:val="en-US" w:eastAsia="zh-CN"/>
              </w:rPr>
              <w:t>废布袋（S3）</w:t>
            </w:r>
            <w:r>
              <w:rPr>
                <w:rFonts w:hint="default" w:ascii="Times New Roman" w:hAnsi="Times New Roman" w:eastAsia="宋体" w:cs="Times New Roman"/>
                <w:caps w:val="0"/>
                <w:snapToGrid w:val="0"/>
                <w:color w:val="auto"/>
                <w:spacing w:val="0"/>
                <w:position w:val="0"/>
                <w:sz w:val="21"/>
                <w:szCs w:val="21"/>
                <w:highlight w:val="none"/>
                <w:lang w:val="en-US" w:eastAsia="zh-CN"/>
              </w:rPr>
              <w:t>：</w:t>
            </w:r>
            <w:r>
              <w:rPr>
                <w:rFonts w:hint="eastAsia" w:cs="Times New Roman"/>
                <w:caps w:val="0"/>
                <w:snapToGrid w:val="0"/>
                <w:color w:val="auto"/>
                <w:spacing w:val="0"/>
                <w:position w:val="0"/>
                <w:sz w:val="21"/>
                <w:szCs w:val="21"/>
                <w:highlight w:val="none"/>
                <w:lang w:val="en-US" w:eastAsia="zh-CN"/>
              </w:rPr>
              <w:t>一期项目</w:t>
            </w:r>
            <w:r>
              <w:rPr>
                <w:rFonts w:hint="default" w:ascii="Times New Roman" w:hAnsi="Times New Roman" w:eastAsia="宋体" w:cs="Times New Roman"/>
                <w:caps w:val="0"/>
                <w:snapToGrid w:val="0"/>
                <w:color w:val="auto"/>
                <w:spacing w:val="0"/>
                <w:position w:val="0"/>
                <w:sz w:val="21"/>
                <w:szCs w:val="21"/>
                <w:highlight w:val="none"/>
                <w:lang w:val="en-US" w:eastAsia="zh-CN"/>
              </w:rPr>
              <w:t>建成后布袋</w:t>
            </w:r>
            <w:r>
              <w:rPr>
                <w:rFonts w:hint="eastAsia" w:cs="Times New Roman"/>
                <w:caps w:val="0"/>
                <w:snapToGrid w:val="0"/>
                <w:color w:val="auto"/>
                <w:spacing w:val="0"/>
                <w:position w:val="0"/>
                <w:sz w:val="21"/>
                <w:szCs w:val="21"/>
                <w:highlight w:val="none"/>
                <w:lang w:val="en-US" w:eastAsia="zh-CN"/>
              </w:rPr>
              <w:t>需定期进行更换</w:t>
            </w:r>
            <w:r>
              <w:rPr>
                <w:rFonts w:hint="default" w:ascii="Times New Roman" w:hAnsi="Times New Roman" w:eastAsia="宋体" w:cs="Times New Roman"/>
                <w:caps w:val="0"/>
                <w:snapToGrid w:val="0"/>
                <w:color w:val="auto"/>
                <w:spacing w:val="0"/>
                <w:position w:val="0"/>
                <w:sz w:val="21"/>
                <w:szCs w:val="21"/>
                <w:highlight w:val="none"/>
                <w:lang w:val="en-US" w:eastAsia="zh-CN"/>
              </w:rPr>
              <w:t>，</w:t>
            </w:r>
            <w:r>
              <w:rPr>
                <w:rFonts w:hint="eastAsia" w:cs="Times New Roman"/>
                <w:caps w:val="0"/>
                <w:snapToGrid w:val="0"/>
                <w:color w:val="auto"/>
                <w:spacing w:val="0"/>
                <w:position w:val="0"/>
                <w:sz w:val="21"/>
                <w:szCs w:val="21"/>
                <w:highlight w:val="none"/>
                <w:lang w:val="en-US" w:eastAsia="zh-CN"/>
              </w:rPr>
              <w:t>一期项目废布袋产生量约为1.5</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eastAsia="zh-CN"/>
              </w:rPr>
              <w:t>，</w:t>
            </w:r>
            <w:r>
              <w:rPr>
                <w:rFonts w:hint="default" w:ascii="Times New Roman" w:hAnsi="Times New Roman" w:cs="Times New Roman"/>
                <w:bCs/>
                <w:lang w:val="en-US" w:eastAsia="zh-CN"/>
              </w:rPr>
              <w:t>属于一般工业固体废物，</w:t>
            </w:r>
            <w:r>
              <w:rPr>
                <w:rFonts w:hint="eastAsia" w:cs="Times New Roman"/>
                <w:color w:val="auto"/>
                <w:highlight w:val="none"/>
                <w:lang w:val="en-US" w:eastAsia="zh-CN"/>
              </w:rPr>
              <w:t>代码900-099-S59，</w:t>
            </w:r>
            <w:r>
              <w:rPr>
                <w:rFonts w:hint="default" w:ascii="Times New Roman" w:hAnsi="Times New Roman" w:cs="Times New Roman"/>
                <w:color w:val="auto"/>
                <w:highlight w:val="none"/>
              </w:rPr>
              <w:t>经员工收集后暂存在一般固废暂存处，定期外卖</w:t>
            </w:r>
            <w:r>
              <w:rPr>
                <w:rFonts w:hint="default" w:ascii="Times New Roman" w:hAnsi="Times New Roman" w:cs="Times New Roman"/>
                <w:color w:val="auto"/>
                <w:highlight w:val="none"/>
                <w:lang w:val="en-US" w:eastAsia="zh-CN"/>
              </w:rPr>
              <w:t>。</w:t>
            </w:r>
          </w:p>
          <w:p w14:paraId="61DB1F13">
            <w:pPr>
              <w:autoSpaceDE w:val="0"/>
              <w:autoSpaceDN w:val="0"/>
              <w:adjustRightInd w:val="0"/>
              <w:snapToGrid w:val="0"/>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3</w:t>
            </w:r>
            <w:r>
              <w:rPr>
                <w:rFonts w:hint="default" w:ascii="Times New Roman" w:hAnsi="Times New Roman" w:cs="Times New Roman"/>
                <w:color w:val="auto"/>
              </w:rPr>
              <w:t>）</w:t>
            </w:r>
            <w:r>
              <w:rPr>
                <w:rFonts w:hint="eastAsia" w:cs="Times New Roman"/>
                <w:caps w:val="0"/>
                <w:snapToGrid w:val="0"/>
                <w:color w:val="auto"/>
                <w:spacing w:val="0"/>
                <w:position w:val="0"/>
                <w:sz w:val="21"/>
                <w:szCs w:val="21"/>
                <w:highlight w:val="none"/>
                <w:lang w:val="en-US" w:eastAsia="zh-CN"/>
              </w:rPr>
              <w:t>车间沉降颗粒物清扫粉尘（S4）：</w:t>
            </w:r>
            <w:r>
              <w:rPr>
                <w:rFonts w:hint="eastAsia" w:cs="Times New Roman"/>
                <w:color w:val="auto"/>
                <w:highlight w:val="none"/>
                <w:lang w:val="en-US" w:eastAsia="zh-CN"/>
              </w:rPr>
              <w:t>一期项目</w:t>
            </w:r>
            <w:r>
              <w:rPr>
                <w:rFonts w:hint="default" w:ascii="Times New Roman" w:hAnsi="Times New Roman" w:cs="Times New Roman"/>
                <w:color w:val="auto"/>
                <w:highlight w:val="none"/>
              </w:rPr>
              <w:t>车间沉降颗粒物清扫粉尘产生量为</w:t>
            </w:r>
            <w:r>
              <w:rPr>
                <w:rFonts w:hint="eastAsia" w:cs="Times New Roman"/>
                <w:color w:val="auto"/>
                <w:highlight w:val="none"/>
                <w:lang w:val="en-US" w:eastAsia="zh-CN"/>
              </w:rPr>
              <w:t>1.397</w:t>
            </w:r>
            <w:r>
              <w:rPr>
                <w:rFonts w:hint="default" w:ascii="Times New Roman" w:hAnsi="Times New Roman" w:cs="Times New Roman"/>
                <w:color w:val="auto"/>
                <w:highlight w:val="none"/>
              </w:rPr>
              <w:t>t/a，</w:t>
            </w:r>
            <w:r>
              <w:rPr>
                <w:rFonts w:hint="default" w:ascii="Times New Roman" w:hAnsi="Times New Roman" w:cs="Times New Roman"/>
                <w:bCs/>
                <w:lang w:val="en-US" w:eastAsia="zh-CN"/>
              </w:rPr>
              <w:t>属于一般工业固体废物，</w:t>
            </w:r>
            <w:r>
              <w:rPr>
                <w:rFonts w:hint="eastAsia" w:cs="Times New Roman"/>
                <w:color w:val="auto"/>
                <w:highlight w:val="none"/>
                <w:lang w:val="en-US" w:eastAsia="zh-CN"/>
              </w:rPr>
              <w:t>代码900-099-S59，</w:t>
            </w:r>
            <w:r>
              <w:rPr>
                <w:rFonts w:hint="default" w:ascii="Times New Roman" w:hAnsi="Times New Roman" w:cs="Times New Roman"/>
                <w:color w:val="auto"/>
                <w:highlight w:val="none"/>
              </w:rPr>
              <w:t>经员工收集后暂存在一般固废暂存处，定期外卖。</w:t>
            </w:r>
          </w:p>
          <w:p w14:paraId="45C3FAC6">
            <w:pPr>
              <w:autoSpaceDE w:val="0"/>
              <w:autoSpaceDN w:val="0"/>
              <w:adjustRightInd w:val="0"/>
              <w:snapToGrid w:val="0"/>
              <w:spacing w:line="360" w:lineRule="auto"/>
              <w:ind w:firstLine="420" w:firstLineChars="200"/>
              <w:rPr>
                <w:rFonts w:hint="default" w:ascii="Times New Roman" w:hAnsi="Times New Roman" w:cs="Times New Roman"/>
                <w:color w:val="auto"/>
              </w:rPr>
            </w:pPr>
            <w:r>
              <w:rPr>
                <w:rFonts w:hint="eastAsia" w:cs="Times New Roman"/>
                <w:color w:val="auto"/>
                <w:lang w:eastAsia="zh-CN"/>
              </w:rPr>
              <w:t>（</w:t>
            </w:r>
            <w:r>
              <w:rPr>
                <w:rFonts w:hint="eastAsia" w:cs="Times New Roman"/>
                <w:color w:val="auto"/>
                <w:lang w:val="en-US" w:eastAsia="zh-CN"/>
              </w:rPr>
              <w:t>4</w:t>
            </w:r>
            <w:r>
              <w:rPr>
                <w:rFonts w:hint="eastAsia" w:cs="Times New Roman"/>
                <w:color w:val="auto"/>
                <w:lang w:eastAsia="zh-CN"/>
              </w:rPr>
              <w:t>）</w:t>
            </w:r>
            <w:r>
              <w:rPr>
                <w:rFonts w:hint="default" w:ascii="Times New Roman" w:hAnsi="Times New Roman" w:cs="Times New Roman"/>
                <w:color w:val="auto"/>
              </w:rPr>
              <w:t>生活垃圾</w:t>
            </w:r>
            <w:r>
              <w:rPr>
                <w:rFonts w:hint="eastAsia" w:cs="Times New Roman"/>
                <w:caps w:val="0"/>
                <w:snapToGrid w:val="0"/>
                <w:color w:val="auto"/>
                <w:spacing w:val="0"/>
                <w:position w:val="0"/>
                <w:sz w:val="21"/>
                <w:szCs w:val="21"/>
                <w:highlight w:val="none"/>
                <w:lang w:eastAsia="zh-CN"/>
              </w:rPr>
              <w:t>（</w:t>
            </w:r>
            <w:r>
              <w:rPr>
                <w:rFonts w:hint="eastAsia" w:cs="Times New Roman"/>
                <w:caps w:val="0"/>
                <w:snapToGrid w:val="0"/>
                <w:color w:val="auto"/>
                <w:spacing w:val="0"/>
                <w:position w:val="0"/>
                <w:sz w:val="21"/>
                <w:szCs w:val="21"/>
                <w:highlight w:val="none"/>
                <w:lang w:val="en-US" w:eastAsia="zh-CN"/>
              </w:rPr>
              <w:t>S5</w:t>
            </w:r>
            <w:r>
              <w:rPr>
                <w:rFonts w:hint="eastAsia" w:cs="Times New Roman"/>
                <w:caps w:val="0"/>
                <w:snapToGrid w:val="0"/>
                <w:color w:val="auto"/>
                <w:spacing w:val="0"/>
                <w:position w:val="0"/>
                <w:sz w:val="21"/>
                <w:szCs w:val="21"/>
                <w:highlight w:val="none"/>
                <w:lang w:eastAsia="zh-CN"/>
              </w:rPr>
              <w:t>）</w:t>
            </w:r>
            <w:r>
              <w:rPr>
                <w:rFonts w:hint="default" w:ascii="Times New Roman" w:hAnsi="Times New Roman" w:cs="Times New Roman"/>
                <w:color w:val="auto"/>
              </w:rPr>
              <w:t>：</w:t>
            </w:r>
            <w:r>
              <w:rPr>
                <w:rFonts w:hint="default" w:ascii="Times New Roman" w:hAnsi="Times New Roman" w:cs="Times New Roman"/>
                <w:color w:val="auto"/>
                <w:highlight w:val="none"/>
                <w:lang w:val="en-US" w:eastAsia="zh-CN"/>
              </w:rPr>
              <w:t>非住宿员工</w:t>
            </w:r>
            <w:r>
              <w:rPr>
                <w:rFonts w:hint="default" w:ascii="Times New Roman" w:hAnsi="Times New Roman" w:cs="Times New Roman"/>
                <w:color w:val="auto"/>
                <w:highlight w:val="none"/>
              </w:rPr>
              <w:t>生活垃圾以0.5kg/d·人计，</w:t>
            </w:r>
            <w:r>
              <w:rPr>
                <w:rFonts w:hint="eastAsia"/>
                <w:lang w:val="en-US" w:eastAsia="zh-CN"/>
              </w:rPr>
              <w:t>住宿</w:t>
            </w:r>
            <w:r>
              <w:rPr>
                <w:rFonts w:hint="default" w:ascii="Times New Roman" w:hAnsi="Times New Roman" w:cs="Times New Roman"/>
                <w:color w:val="auto"/>
                <w:highlight w:val="none"/>
                <w:lang w:val="en-US" w:eastAsia="zh-CN"/>
              </w:rPr>
              <w:t>员工</w:t>
            </w:r>
            <w:r>
              <w:rPr>
                <w:rFonts w:hint="default" w:ascii="Times New Roman" w:hAnsi="Times New Roman" w:cs="Times New Roman"/>
                <w:color w:val="auto"/>
                <w:highlight w:val="none"/>
              </w:rPr>
              <w:t>生活垃圾以</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rPr>
              <w:t>kg/d·人计，项目的职工定员为</w:t>
            </w:r>
            <w:r>
              <w:rPr>
                <w:rFonts w:hint="eastAsia" w:cs="Times New Roman"/>
                <w:color w:val="auto"/>
                <w:highlight w:val="none"/>
                <w:lang w:val="en-US" w:eastAsia="zh-CN"/>
              </w:rPr>
              <w:t>4</w:t>
            </w:r>
            <w:r>
              <w:rPr>
                <w:rFonts w:hint="default" w:ascii="Times New Roman" w:hAnsi="Times New Roman" w:cs="Times New Roman"/>
                <w:color w:val="auto"/>
                <w:highlight w:val="none"/>
              </w:rPr>
              <w:t>0人，</w:t>
            </w:r>
            <w:r>
              <w:rPr>
                <w:rFonts w:hint="default" w:ascii="Times New Roman" w:hAnsi="Times New Roman" w:cs="Times New Roman"/>
                <w:color w:val="auto"/>
                <w:highlight w:val="none"/>
                <w:lang w:val="en-US" w:eastAsia="zh-CN"/>
              </w:rPr>
              <w:t>其中</w:t>
            </w:r>
            <w:r>
              <w:rPr>
                <w:rFonts w:hint="eastAsia" w:cs="Times New Roman"/>
                <w:color w:val="auto"/>
                <w:highlight w:val="none"/>
                <w:lang w:val="en-US" w:eastAsia="zh-CN"/>
              </w:rPr>
              <w:t>8</w:t>
            </w:r>
            <w:r>
              <w:rPr>
                <w:rFonts w:hint="default" w:ascii="Times New Roman" w:hAnsi="Times New Roman" w:cs="Times New Roman"/>
                <w:color w:val="auto"/>
                <w:highlight w:val="none"/>
                <w:lang w:val="en-US" w:eastAsia="zh-CN"/>
              </w:rPr>
              <w:t>人住宿，</w:t>
            </w:r>
            <w:r>
              <w:rPr>
                <w:rFonts w:hint="default" w:ascii="Times New Roman" w:hAnsi="Times New Roman" w:cs="Times New Roman"/>
                <w:color w:val="auto"/>
                <w:highlight w:val="none"/>
              </w:rPr>
              <w:t>年运营300天，则项目产生量为</w:t>
            </w:r>
            <w:r>
              <w:rPr>
                <w:rFonts w:hint="eastAsia" w:cs="Times New Roman"/>
                <w:color w:val="auto"/>
                <w:highlight w:val="none"/>
                <w:lang w:val="en-US" w:eastAsia="zh-CN"/>
              </w:rPr>
              <w:t>7.2</w:t>
            </w:r>
            <w:r>
              <w:rPr>
                <w:rFonts w:hint="default" w:ascii="Times New Roman" w:hAnsi="Times New Roman" w:cs="Times New Roman"/>
                <w:color w:val="auto"/>
                <w:highlight w:val="none"/>
              </w:rPr>
              <w:t>t/a。全部交由当地环卫部门统一收集处理</w:t>
            </w:r>
            <w:r>
              <w:rPr>
                <w:rFonts w:hint="default" w:ascii="Times New Roman" w:hAnsi="Times New Roman" w:cs="Times New Roman"/>
                <w:color w:val="auto"/>
              </w:rPr>
              <w:t xml:space="preserve">。 </w:t>
            </w:r>
          </w:p>
          <w:p w14:paraId="41CC975C">
            <w:pPr>
              <w:autoSpaceDE w:val="0"/>
              <w:autoSpaceDN w:val="0"/>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rPr>
              <w:t>根据《建设项目</w:t>
            </w:r>
            <w:r>
              <w:rPr>
                <w:rFonts w:hint="default" w:ascii="Times New Roman" w:hAnsi="Times New Roman" w:cs="Times New Roman"/>
                <w:color w:val="auto"/>
                <w:highlight w:val="none"/>
              </w:rPr>
              <w:t>危险废物环境影响评价指南》（环保部公告[2017]43号）、《固体废物鉴别标准通则》（GB 34330-2017）。项目产生的固废为一般固废</w:t>
            </w:r>
            <w:r>
              <w:rPr>
                <w:rFonts w:hint="default" w:ascii="Times New Roman" w:hAnsi="Times New Roman" w:cs="Times New Roman"/>
                <w:color w:val="auto"/>
                <w:highlight w:val="none"/>
                <w:lang w:eastAsia="zh-CN"/>
              </w:rPr>
              <w:t>、生活</w:t>
            </w:r>
            <w:r>
              <w:rPr>
                <w:rFonts w:hint="eastAsia" w:cs="Times New Roman"/>
                <w:color w:val="auto"/>
                <w:highlight w:val="none"/>
                <w:lang w:val="en-US" w:eastAsia="zh-CN"/>
              </w:rPr>
              <w:t>垃圾</w:t>
            </w:r>
            <w:r>
              <w:rPr>
                <w:rFonts w:hint="default" w:ascii="Times New Roman" w:hAnsi="Times New Roman" w:cs="Times New Roman"/>
                <w:color w:val="auto"/>
                <w:highlight w:val="none"/>
              </w:rPr>
              <w:t>，一般固废</w:t>
            </w:r>
            <w:r>
              <w:rPr>
                <w:rFonts w:hint="default" w:ascii="Times New Roman" w:hAnsi="Times New Roman" w:cs="Times New Roman"/>
                <w:color w:val="auto"/>
                <w:highlight w:val="none"/>
                <w:lang w:eastAsia="zh-CN"/>
              </w:rPr>
              <w:t>、生活</w:t>
            </w:r>
            <w:r>
              <w:rPr>
                <w:rFonts w:hint="eastAsia" w:cs="Times New Roman"/>
                <w:color w:val="auto"/>
                <w:highlight w:val="none"/>
                <w:lang w:val="en-US" w:eastAsia="zh-CN"/>
              </w:rPr>
              <w:t>垃圾</w:t>
            </w:r>
            <w:r>
              <w:rPr>
                <w:rFonts w:hint="default" w:ascii="Times New Roman" w:hAnsi="Times New Roman" w:cs="Times New Roman"/>
                <w:color w:val="auto"/>
                <w:highlight w:val="none"/>
              </w:rPr>
              <w:t>产生情况分别如下所示：</w:t>
            </w:r>
          </w:p>
          <w:p w14:paraId="2CCF334B">
            <w:pPr>
              <w:spacing w:line="420" w:lineRule="exact"/>
              <w:ind w:firstLine="25" w:firstLineChars="12"/>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表4-</w:t>
            </w:r>
            <w:r>
              <w:rPr>
                <w:rFonts w:hint="eastAsia" w:cs="Times New Roman"/>
                <w:b/>
                <w:bCs/>
                <w:color w:val="auto"/>
                <w:highlight w:val="none"/>
                <w:lang w:val="en-US" w:eastAsia="zh-CN"/>
              </w:rPr>
              <w:t>29</w:t>
            </w:r>
            <w:r>
              <w:rPr>
                <w:rFonts w:hint="default" w:ascii="Times New Roman" w:hAnsi="Times New Roman" w:cs="Times New Roman"/>
                <w:b/>
                <w:bCs/>
                <w:color w:val="auto"/>
                <w:highlight w:val="none"/>
              </w:rPr>
              <w:t>一般固废</w:t>
            </w:r>
            <w:r>
              <w:rPr>
                <w:rFonts w:hint="default" w:ascii="Times New Roman" w:hAnsi="Times New Roman" w:cs="Times New Roman"/>
                <w:b/>
                <w:bCs/>
                <w:color w:val="auto"/>
                <w:highlight w:val="none"/>
                <w:lang w:eastAsia="zh-CN"/>
              </w:rPr>
              <w:t>及生活固废</w:t>
            </w:r>
            <w:r>
              <w:rPr>
                <w:rFonts w:hint="default" w:ascii="Times New Roman" w:hAnsi="Times New Roman" w:cs="Times New Roman"/>
                <w:b/>
                <w:bCs/>
                <w:color w:val="auto"/>
                <w:highlight w:val="none"/>
              </w:rPr>
              <w:t>产生情况表</w:t>
            </w:r>
          </w:p>
          <w:tbl>
            <w:tblPr>
              <w:tblStyle w:val="8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6"/>
              <w:gridCol w:w="1548"/>
              <w:gridCol w:w="771"/>
              <w:gridCol w:w="1025"/>
              <w:gridCol w:w="1297"/>
              <w:gridCol w:w="1439"/>
              <w:gridCol w:w="1094"/>
            </w:tblGrid>
            <w:tr w14:paraId="101A5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4" w:type="pct"/>
                  <w:vAlign w:val="center"/>
                </w:tcPr>
                <w:p w14:paraId="0804C548">
                  <w:pPr>
                    <w:autoSpaceDE w:val="0"/>
                    <w:autoSpaceDN w:val="0"/>
                    <w:adjustRightInd w:val="0"/>
                    <w:spacing w:line="30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产生环节</w:t>
                  </w:r>
                </w:p>
              </w:tc>
              <w:tc>
                <w:tcPr>
                  <w:tcW w:w="924" w:type="pct"/>
                  <w:vAlign w:val="center"/>
                </w:tcPr>
                <w:p w14:paraId="03904CB6">
                  <w:pPr>
                    <w:autoSpaceDE w:val="0"/>
                    <w:autoSpaceDN w:val="0"/>
                    <w:adjustRightInd w:val="0"/>
                    <w:spacing w:line="30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名称</w:t>
                  </w:r>
                </w:p>
              </w:tc>
              <w:tc>
                <w:tcPr>
                  <w:tcW w:w="460" w:type="pct"/>
                  <w:vAlign w:val="center"/>
                </w:tcPr>
                <w:p w14:paraId="79699825">
                  <w:pPr>
                    <w:autoSpaceDE w:val="0"/>
                    <w:autoSpaceDN w:val="0"/>
                    <w:adjustRightInd w:val="0"/>
                    <w:spacing w:line="30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性状</w:t>
                  </w:r>
                </w:p>
              </w:tc>
              <w:tc>
                <w:tcPr>
                  <w:tcW w:w="612" w:type="pct"/>
                  <w:vAlign w:val="center"/>
                </w:tcPr>
                <w:p w14:paraId="756C3342">
                  <w:pPr>
                    <w:autoSpaceDE w:val="0"/>
                    <w:autoSpaceDN w:val="0"/>
                    <w:adjustRightInd w:val="0"/>
                    <w:spacing w:line="30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产生量t/a</w:t>
                  </w:r>
                </w:p>
              </w:tc>
              <w:tc>
                <w:tcPr>
                  <w:tcW w:w="774" w:type="pct"/>
                  <w:vAlign w:val="center"/>
                </w:tcPr>
                <w:p w14:paraId="0FB52E95">
                  <w:pPr>
                    <w:autoSpaceDE w:val="0"/>
                    <w:autoSpaceDN w:val="0"/>
                    <w:adjustRightInd w:val="0"/>
                    <w:spacing w:line="30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储存方式</w:t>
                  </w:r>
                </w:p>
              </w:tc>
              <w:tc>
                <w:tcPr>
                  <w:tcW w:w="859" w:type="pct"/>
                  <w:vAlign w:val="center"/>
                </w:tcPr>
                <w:p w14:paraId="4D74CEE3">
                  <w:pPr>
                    <w:autoSpaceDE w:val="0"/>
                    <w:autoSpaceDN w:val="0"/>
                    <w:adjustRightInd w:val="0"/>
                    <w:spacing w:line="30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处置方式</w:t>
                  </w:r>
                </w:p>
              </w:tc>
              <w:tc>
                <w:tcPr>
                  <w:tcW w:w="653" w:type="pct"/>
                  <w:vAlign w:val="center"/>
                </w:tcPr>
                <w:p w14:paraId="1273DDED">
                  <w:pPr>
                    <w:autoSpaceDE w:val="0"/>
                    <w:autoSpaceDN w:val="0"/>
                    <w:adjustRightInd w:val="0"/>
                    <w:spacing w:line="30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处置量t/a</w:t>
                  </w:r>
                </w:p>
              </w:tc>
            </w:tr>
            <w:tr w14:paraId="2C2A6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4" w:type="pct"/>
                  <w:vAlign w:val="center"/>
                </w:tcPr>
                <w:p w14:paraId="3B6A74F8">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原料包装</w:t>
                  </w:r>
                </w:p>
              </w:tc>
              <w:tc>
                <w:tcPr>
                  <w:tcW w:w="924" w:type="pct"/>
                  <w:vAlign w:val="center"/>
                </w:tcPr>
                <w:p w14:paraId="5DCA3A8A">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废包装物</w:t>
                  </w:r>
                </w:p>
              </w:tc>
              <w:tc>
                <w:tcPr>
                  <w:tcW w:w="460" w:type="pct"/>
                  <w:vAlign w:val="center"/>
                </w:tcPr>
                <w:p w14:paraId="3C5EA5E8">
                  <w:pPr>
                    <w:autoSpaceDE w:val="0"/>
                    <w:autoSpaceDN w:val="0"/>
                    <w:adjustRightInd w:val="0"/>
                    <w:spacing w:line="30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固体</w:t>
                  </w:r>
                </w:p>
              </w:tc>
              <w:tc>
                <w:tcPr>
                  <w:tcW w:w="612" w:type="pct"/>
                  <w:vAlign w:val="center"/>
                </w:tcPr>
                <w:p w14:paraId="24E460A1">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1.63</w:t>
                  </w:r>
                </w:p>
              </w:tc>
              <w:tc>
                <w:tcPr>
                  <w:tcW w:w="774" w:type="pct"/>
                  <w:vAlign w:val="center"/>
                </w:tcPr>
                <w:p w14:paraId="04A07ED0">
                  <w:pPr>
                    <w:autoSpaceDE w:val="0"/>
                    <w:autoSpaceDN w:val="0"/>
                    <w:adjustRightInd w:val="0"/>
                    <w:spacing w:line="30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一般固废暂存处</w:t>
                  </w:r>
                </w:p>
              </w:tc>
              <w:tc>
                <w:tcPr>
                  <w:tcW w:w="859" w:type="pct"/>
                  <w:vAlign w:val="center"/>
                </w:tcPr>
                <w:p w14:paraId="565686B8">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集中收集后外售综合利用</w:t>
                  </w:r>
                </w:p>
              </w:tc>
              <w:tc>
                <w:tcPr>
                  <w:tcW w:w="653" w:type="pct"/>
                  <w:shd w:val="clear" w:color="auto" w:fill="auto"/>
                  <w:vAlign w:val="center"/>
                </w:tcPr>
                <w:p w14:paraId="072ECDBA">
                  <w:pPr>
                    <w:autoSpaceDE w:val="0"/>
                    <w:autoSpaceDN w:val="0"/>
                    <w:adjustRightInd w:val="0"/>
                    <w:spacing w:line="30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1.63</w:t>
                  </w:r>
                </w:p>
              </w:tc>
            </w:tr>
            <w:tr w14:paraId="19E0A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4" w:type="pct"/>
                  <w:vAlign w:val="center"/>
                </w:tcPr>
                <w:p w14:paraId="069B1BF8">
                  <w:pPr>
                    <w:autoSpaceDE w:val="0"/>
                    <w:autoSpaceDN w:val="0"/>
                    <w:adjustRightInd w:val="0"/>
                    <w:spacing w:line="300" w:lineRule="exact"/>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布袋除尘器</w:t>
                  </w:r>
                </w:p>
              </w:tc>
              <w:tc>
                <w:tcPr>
                  <w:tcW w:w="924" w:type="pct"/>
                  <w:vAlign w:val="center"/>
                </w:tcPr>
                <w:p w14:paraId="1B85DA48">
                  <w:pPr>
                    <w:autoSpaceDE w:val="0"/>
                    <w:autoSpaceDN w:val="0"/>
                    <w:adjustRightInd w:val="0"/>
                    <w:spacing w:line="300" w:lineRule="exact"/>
                    <w:jc w:val="center"/>
                    <w:rPr>
                      <w:rFonts w:hint="default" w:ascii="Times New Roman" w:hAnsi="Times New Roman" w:cs="Times New Roman"/>
                      <w:color w:val="auto"/>
                      <w:sz w:val="18"/>
                      <w:szCs w:val="18"/>
                      <w:highlight w:val="none"/>
                      <w:lang w:eastAsia="zh-CN"/>
                    </w:rPr>
                  </w:pPr>
                  <w:r>
                    <w:rPr>
                      <w:rFonts w:hint="eastAsia" w:cs="Times New Roman"/>
                      <w:color w:val="auto"/>
                      <w:sz w:val="18"/>
                      <w:szCs w:val="18"/>
                      <w:highlight w:val="none"/>
                      <w:lang w:val="en-US" w:eastAsia="zh-CN"/>
                    </w:rPr>
                    <w:t>废布袋</w:t>
                  </w:r>
                </w:p>
              </w:tc>
              <w:tc>
                <w:tcPr>
                  <w:tcW w:w="460" w:type="pct"/>
                  <w:vAlign w:val="center"/>
                </w:tcPr>
                <w:p w14:paraId="26E8B1FF">
                  <w:pPr>
                    <w:autoSpaceDE w:val="0"/>
                    <w:autoSpaceDN w:val="0"/>
                    <w:adjustRightInd w:val="0"/>
                    <w:spacing w:line="300" w:lineRule="exact"/>
                    <w:jc w:val="center"/>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固体</w:t>
                  </w:r>
                </w:p>
              </w:tc>
              <w:tc>
                <w:tcPr>
                  <w:tcW w:w="612" w:type="pct"/>
                  <w:vAlign w:val="center"/>
                </w:tcPr>
                <w:p w14:paraId="1081A9FC">
                  <w:pPr>
                    <w:autoSpaceDE w:val="0"/>
                    <w:autoSpaceDN w:val="0"/>
                    <w:adjustRightInd w:val="0"/>
                    <w:spacing w:line="30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774" w:type="pct"/>
                  <w:vAlign w:val="center"/>
                </w:tcPr>
                <w:p w14:paraId="02FB4D46">
                  <w:pPr>
                    <w:autoSpaceDE w:val="0"/>
                    <w:autoSpaceDN w:val="0"/>
                    <w:adjustRightInd w:val="0"/>
                    <w:spacing w:line="300" w:lineRule="exact"/>
                    <w:jc w:val="center"/>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rPr>
                    <w:t>一般固废暂存处</w:t>
                  </w:r>
                </w:p>
              </w:tc>
              <w:tc>
                <w:tcPr>
                  <w:tcW w:w="859" w:type="pct"/>
                  <w:vAlign w:val="center"/>
                </w:tcPr>
                <w:p w14:paraId="43F910CF">
                  <w:pPr>
                    <w:autoSpaceDE w:val="0"/>
                    <w:autoSpaceDN w:val="0"/>
                    <w:adjustRightInd w:val="0"/>
                    <w:spacing w:line="300" w:lineRule="exact"/>
                    <w:jc w:val="center"/>
                    <w:rPr>
                      <w:rFonts w:hint="default" w:ascii="Times New Roman" w:hAnsi="Times New Roman"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集中收集后外售综合利用</w:t>
                  </w:r>
                </w:p>
              </w:tc>
              <w:tc>
                <w:tcPr>
                  <w:tcW w:w="653" w:type="pct"/>
                  <w:shd w:val="clear" w:color="auto" w:fill="auto"/>
                  <w:vAlign w:val="center"/>
                </w:tcPr>
                <w:p w14:paraId="4A5987D8">
                  <w:pPr>
                    <w:autoSpaceDE w:val="0"/>
                    <w:autoSpaceDN w:val="0"/>
                    <w:adjustRightInd w:val="0"/>
                    <w:spacing w:line="30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r>
            <w:tr w14:paraId="5DA63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4" w:type="pct"/>
                  <w:vAlign w:val="center"/>
                </w:tcPr>
                <w:p w14:paraId="2426528A">
                  <w:pPr>
                    <w:autoSpaceDE w:val="0"/>
                    <w:autoSpaceDN w:val="0"/>
                    <w:adjustRightInd w:val="0"/>
                    <w:spacing w:line="300" w:lineRule="exact"/>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车辆运输和生产过程</w:t>
                  </w:r>
                </w:p>
              </w:tc>
              <w:tc>
                <w:tcPr>
                  <w:tcW w:w="924" w:type="pct"/>
                  <w:vAlign w:val="center"/>
                </w:tcPr>
                <w:p w14:paraId="18510503">
                  <w:pPr>
                    <w:autoSpaceDE w:val="0"/>
                    <w:autoSpaceDN w:val="0"/>
                    <w:adjustRightInd w:val="0"/>
                    <w:spacing w:line="300" w:lineRule="exact"/>
                    <w:jc w:val="center"/>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车间沉降颗粒物清扫粉尘</w:t>
                  </w:r>
                </w:p>
              </w:tc>
              <w:tc>
                <w:tcPr>
                  <w:tcW w:w="460" w:type="pct"/>
                  <w:vAlign w:val="center"/>
                </w:tcPr>
                <w:p w14:paraId="400503D9">
                  <w:pPr>
                    <w:autoSpaceDE w:val="0"/>
                    <w:autoSpaceDN w:val="0"/>
                    <w:adjustRightInd w:val="0"/>
                    <w:spacing w:line="300" w:lineRule="exact"/>
                    <w:jc w:val="center"/>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固体</w:t>
                  </w:r>
                </w:p>
              </w:tc>
              <w:tc>
                <w:tcPr>
                  <w:tcW w:w="612" w:type="pct"/>
                  <w:vAlign w:val="center"/>
                </w:tcPr>
                <w:p w14:paraId="597E5211">
                  <w:pPr>
                    <w:autoSpaceDE w:val="0"/>
                    <w:autoSpaceDN w:val="0"/>
                    <w:adjustRightInd w:val="0"/>
                    <w:spacing w:line="300" w:lineRule="exact"/>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1.397</w:t>
                  </w:r>
                </w:p>
              </w:tc>
              <w:tc>
                <w:tcPr>
                  <w:tcW w:w="774" w:type="pct"/>
                  <w:vAlign w:val="center"/>
                </w:tcPr>
                <w:p w14:paraId="350F0F54">
                  <w:pPr>
                    <w:autoSpaceDE w:val="0"/>
                    <w:autoSpaceDN w:val="0"/>
                    <w:adjustRightInd w:val="0"/>
                    <w:spacing w:line="300" w:lineRule="exact"/>
                    <w:jc w:val="center"/>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rPr>
                    <w:t>一般固废暂存处</w:t>
                  </w:r>
                </w:p>
              </w:tc>
              <w:tc>
                <w:tcPr>
                  <w:tcW w:w="859" w:type="pct"/>
                  <w:vAlign w:val="center"/>
                </w:tcPr>
                <w:p w14:paraId="7BE28DB8">
                  <w:pPr>
                    <w:autoSpaceDE w:val="0"/>
                    <w:autoSpaceDN w:val="0"/>
                    <w:adjustRightInd w:val="0"/>
                    <w:spacing w:line="300" w:lineRule="exact"/>
                    <w:jc w:val="center"/>
                    <w:rPr>
                      <w:rFonts w:hint="default" w:ascii="Times New Roman" w:hAnsi="Times New Roman"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集中收集后外售综合利用</w:t>
                  </w:r>
                </w:p>
              </w:tc>
              <w:tc>
                <w:tcPr>
                  <w:tcW w:w="653" w:type="pct"/>
                  <w:shd w:val="clear" w:color="auto" w:fill="auto"/>
                  <w:vAlign w:val="center"/>
                </w:tcPr>
                <w:p w14:paraId="1B0F3267">
                  <w:pPr>
                    <w:autoSpaceDE w:val="0"/>
                    <w:autoSpaceDN w:val="0"/>
                    <w:adjustRightInd w:val="0"/>
                    <w:spacing w:line="30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1.397</w:t>
                  </w:r>
                </w:p>
              </w:tc>
            </w:tr>
            <w:tr w14:paraId="5FA20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4" w:type="pct"/>
                  <w:vAlign w:val="center"/>
                </w:tcPr>
                <w:p w14:paraId="40040E65">
                  <w:pPr>
                    <w:autoSpaceDE w:val="0"/>
                    <w:autoSpaceDN w:val="0"/>
                    <w:adjustRightInd w:val="0"/>
                    <w:spacing w:line="30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eastAsia="zh-CN"/>
                    </w:rPr>
                    <w:t>员工生活</w:t>
                  </w:r>
                </w:p>
              </w:tc>
              <w:tc>
                <w:tcPr>
                  <w:tcW w:w="924" w:type="pct"/>
                  <w:vAlign w:val="center"/>
                </w:tcPr>
                <w:p w14:paraId="55FE4E68">
                  <w:pPr>
                    <w:autoSpaceDE w:val="0"/>
                    <w:autoSpaceDN w:val="0"/>
                    <w:adjustRightInd w:val="0"/>
                    <w:spacing w:line="30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eastAsia="zh-CN"/>
                    </w:rPr>
                    <w:t>生活垃圾</w:t>
                  </w:r>
                </w:p>
              </w:tc>
              <w:tc>
                <w:tcPr>
                  <w:tcW w:w="460" w:type="pct"/>
                  <w:vAlign w:val="center"/>
                </w:tcPr>
                <w:p w14:paraId="259D6208">
                  <w:pPr>
                    <w:autoSpaceDE w:val="0"/>
                    <w:autoSpaceDN w:val="0"/>
                    <w:adjustRightInd w:val="0"/>
                    <w:spacing w:line="30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eastAsia="zh-CN"/>
                    </w:rPr>
                    <w:t>固体</w:t>
                  </w:r>
                </w:p>
              </w:tc>
              <w:tc>
                <w:tcPr>
                  <w:tcW w:w="612" w:type="pct"/>
                  <w:vAlign w:val="center"/>
                </w:tcPr>
                <w:p w14:paraId="51CBE184">
                  <w:pPr>
                    <w:autoSpaceDE w:val="0"/>
                    <w:autoSpaceDN w:val="0"/>
                    <w:adjustRightInd w:val="0"/>
                    <w:spacing w:line="30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7.2</w:t>
                  </w:r>
                </w:p>
              </w:tc>
              <w:tc>
                <w:tcPr>
                  <w:tcW w:w="774" w:type="pct"/>
                  <w:vAlign w:val="center"/>
                </w:tcPr>
                <w:p w14:paraId="3CB47DEC">
                  <w:pPr>
                    <w:autoSpaceDE w:val="0"/>
                    <w:autoSpaceDN w:val="0"/>
                    <w:adjustRightInd w:val="0"/>
                    <w:spacing w:line="30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eastAsia="zh-CN"/>
                    </w:rPr>
                    <w:t>垃圾桶</w:t>
                  </w:r>
                </w:p>
              </w:tc>
              <w:tc>
                <w:tcPr>
                  <w:tcW w:w="859" w:type="pct"/>
                  <w:vAlign w:val="center"/>
                </w:tcPr>
                <w:p w14:paraId="4F05FFA9">
                  <w:pPr>
                    <w:autoSpaceDE w:val="0"/>
                    <w:autoSpaceDN w:val="0"/>
                    <w:adjustRightInd w:val="0"/>
                    <w:spacing w:line="300" w:lineRule="exact"/>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eastAsia="zh-CN"/>
                    </w:rPr>
                    <w:t>环卫清运</w:t>
                  </w:r>
                </w:p>
              </w:tc>
              <w:tc>
                <w:tcPr>
                  <w:tcW w:w="653" w:type="pct"/>
                  <w:vAlign w:val="center"/>
                </w:tcPr>
                <w:p w14:paraId="7DDD4723">
                  <w:pPr>
                    <w:autoSpaceDE w:val="0"/>
                    <w:autoSpaceDN w:val="0"/>
                    <w:adjustRightInd w:val="0"/>
                    <w:spacing w:line="300" w:lineRule="exact"/>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7.2</w:t>
                  </w:r>
                </w:p>
              </w:tc>
            </w:tr>
          </w:tbl>
          <w:p w14:paraId="6A3072AD">
            <w:pPr>
              <w:spacing w:line="360" w:lineRule="auto"/>
              <w:ind w:firstLine="420" w:firstLineChars="200"/>
              <w:rPr>
                <w:rFonts w:hint="default" w:ascii="Times New Roman" w:hAnsi="Times New Roman" w:eastAsia="黑体" w:cs="Times New Roman"/>
                <w:color w:val="auto"/>
                <w:szCs w:val="21"/>
                <w:highlight w:val="none"/>
              </w:rPr>
            </w:pPr>
            <w:r>
              <w:rPr>
                <w:rFonts w:hint="default" w:ascii="Times New Roman" w:hAnsi="Times New Roman" w:eastAsia="黑体" w:cs="Times New Roman"/>
                <w:color w:val="auto"/>
                <w:szCs w:val="21"/>
                <w:highlight w:val="none"/>
              </w:rPr>
              <w:t>2、环境管理要求</w:t>
            </w:r>
          </w:p>
          <w:p w14:paraId="410E3717">
            <w:pPr>
              <w:autoSpaceDE w:val="0"/>
              <w:autoSpaceDN w:val="0"/>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一般工业固废仓库的建设应满足</w:t>
            </w:r>
            <w:r>
              <w:rPr>
                <w:rFonts w:hint="default" w:ascii="Times New Roman" w:hAnsi="Times New Roman" w:cs="Times New Roman"/>
                <w:color w:val="auto"/>
                <w:szCs w:val="21"/>
                <w:highlight w:val="none"/>
              </w:rPr>
              <w:t>《中华人民共和国固体废物污染环境防治法》相关要求，采取防扬散、防流失、防渗漏或者其他防止污染环境的措施</w:t>
            </w:r>
            <w:r>
              <w:rPr>
                <w:rFonts w:hint="default" w:ascii="Times New Roman" w:hAnsi="Times New Roman" w:cs="Times New Roman"/>
                <w:color w:val="auto"/>
                <w:highlight w:val="none"/>
              </w:rPr>
              <w:t>；各类固废应分类收集；贮存区按照《环境保护图形标志——固体废物贮存（处置）场》（GB15562.2）的要求设置环保图形标志；指定专人进行日常管理。</w:t>
            </w:r>
          </w:p>
          <w:p w14:paraId="1D72BA22">
            <w:pPr>
              <w:adjustRightInd w:val="0"/>
              <w:snapToGrid w:val="0"/>
              <w:spacing w:line="360" w:lineRule="auto"/>
              <w:ind w:firstLine="422" w:firstLineChars="200"/>
              <w:rPr>
                <w:rFonts w:hint="default" w:ascii="Times New Roman" w:hAnsi="Times New Roman" w:eastAsia="宋体" w:cs="Times New Roman"/>
                <w:b/>
                <w:color w:val="auto"/>
                <w:lang w:eastAsia="zh-CN"/>
              </w:rPr>
            </w:pPr>
            <w:r>
              <w:rPr>
                <w:rFonts w:hint="default" w:ascii="Times New Roman" w:hAnsi="Times New Roman" w:cs="Times New Roman"/>
                <w:b/>
                <w:color w:val="auto"/>
              </w:rPr>
              <w:t>五、地下水</w:t>
            </w:r>
          </w:p>
          <w:p w14:paraId="7EDD2190">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1、污染途径、类型</w:t>
            </w:r>
          </w:p>
          <w:p w14:paraId="2A6F170D">
            <w:pPr>
              <w:adjustRightInd w:val="0"/>
              <w:snapToGrid w:val="0"/>
              <w:spacing w:line="360" w:lineRule="auto"/>
              <w:ind w:firstLine="420" w:firstLineChars="200"/>
              <w:rPr>
                <w:rFonts w:hint="default" w:ascii="Times New Roman" w:hAnsi="Times New Roman" w:cs="Times New Roman"/>
                <w:color w:val="auto"/>
              </w:rPr>
            </w:pPr>
            <w:r>
              <w:rPr>
                <w:rFonts w:hint="eastAsia" w:cs="Times New Roman"/>
                <w:color w:val="auto"/>
                <w:lang w:eastAsia="zh-CN"/>
              </w:rPr>
              <w:t>一期项目</w:t>
            </w:r>
            <w:r>
              <w:rPr>
                <w:rFonts w:hint="default" w:ascii="Times New Roman" w:hAnsi="Times New Roman" w:cs="Times New Roman"/>
                <w:color w:val="auto"/>
              </w:rPr>
              <w:t>污染源主要为化粪池。主要污染因子为COD、氨氮等。</w:t>
            </w:r>
            <w:r>
              <w:rPr>
                <w:rFonts w:hint="eastAsia" w:cs="Times New Roman"/>
                <w:color w:val="auto"/>
                <w:lang w:val="en-US" w:eastAsia="zh-CN"/>
              </w:rPr>
              <w:t>一期项目拟对</w:t>
            </w:r>
            <w:r>
              <w:rPr>
                <w:rFonts w:hint="default" w:ascii="Times New Roman" w:hAnsi="Times New Roman" w:cs="Times New Roman"/>
                <w:color w:val="auto"/>
              </w:rPr>
              <w:t>化粪池进行相应的防渗和硬化处理，即使上述污染源发生泄漏在防渗层完好的情况下也不会发生垂直入渗现象。故而</w:t>
            </w:r>
            <w:r>
              <w:rPr>
                <w:rFonts w:hint="eastAsia" w:cs="Times New Roman"/>
                <w:color w:val="auto"/>
                <w:lang w:eastAsia="zh-CN"/>
              </w:rPr>
              <w:t>一期项目</w:t>
            </w:r>
            <w:r>
              <w:rPr>
                <w:rFonts w:hint="default" w:ascii="Times New Roman" w:hAnsi="Times New Roman" w:cs="Times New Roman"/>
                <w:color w:val="auto"/>
              </w:rPr>
              <w:t>对地下水几乎无影响途径。</w:t>
            </w:r>
          </w:p>
          <w:p w14:paraId="5BB74FB9">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2、采取保护措施</w:t>
            </w:r>
          </w:p>
          <w:p w14:paraId="1961D329">
            <w:pPr>
              <w:adjustRightInd w:val="0"/>
              <w:snapToGrid w:val="0"/>
              <w:spacing w:line="360" w:lineRule="auto"/>
              <w:ind w:firstLine="420" w:firstLineChars="200"/>
              <w:rPr>
                <w:rFonts w:hint="default" w:ascii="Times New Roman" w:hAnsi="Times New Roman" w:cs="Times New Roman"/>
                <w:bCs/>
                <w:color w:val="auto"/>
              </w:rPr>
            </w:pPr>
            <w:r>
              <w:rPr>
                <w:bCs/>
                <w:color w:val="auto"/>
                <w:szCs w:val="21"/>
              </w:rPr>
              <w:t>化粪池需严格进行防渗硬化，进行重点防渗处理，车间</w:t>
            </w:r>
            <w:r>
              <w:rPr>
                <w:rFonts w:hint="eastAsia"/>
                <w:bCs/>
                <w:color w:val="auto"/>
                <w:szCs w:val="21"/>
                <w:lang w:eastAsia="zh-CN"/>
              </w:rPr>
              <w:t>、</w:t>
            </w:r>
            <w:r>
              <w:rPr>
                <w:rFonts w:hint="eastAsia"/>
                <w:bCs/>
                <w:color w:val="auto"/>
                <w:szCs w:val="21"/>
                <w:lang w:val="en-US" w:eastAsia="zh-CN"/>
              </w:rPr>
              <w:t>仓库、一般固废暂存处</w:t>
            </w:r>
            <w:r>
              <w:rPr>
                <w:bCs/>
                <w:color w:val="auto"/>
                <w:szCs w:val="21"/>
              </w:rPr>
              <w:t>进行一般防渗</w:t>
            </w:r>
            <w:r>
              <w:rPr>
                <w:rFonts w:hint="default" w:ascii="Times New Roman" w:hAnsi="Times New Roman" w:cs="Times New Roman"/>
                <w:bCs/>
                <w:color w:val="auto"/>
              </w:rPr>
              <w:t>。分区防渗措施见表4-</w:t>
            </w:r>
            <w:r>
              <w:rPr>
                <w:rFonts w:hint="eastAsia" w:cs="Times New Roman"/>
                <w:bCs/>
                <w:color w:val="auto"/>
                <w:lang w:val="en-US" w:eastAsia="zh-CN"/>
              </w:rPr>
              <w:t>30</w:t>
            </w:r>
            <w:r>
              <w:rPr>
                <w:rFonts w:hint="default" w:ascii="Times New Roman" w:hAnsi="Times New Roman" w:cs="Times New Roman"/>
                <w:bCs/>
                <w:color w:val="auto"/>
              </w:rPr>
              <w:t>。企业定期对地面进行检查维护，防止防渗层的破坏，在采取相应的措施后，即使发生泄漏，由于进行防渗处理，废液也无法进行下渗，</w:t>
            </w:r>
            <w:r>
              <w:rPr>
                <w:rFonts w:hint="eastAsia" w:cs="Times New Roman"/>
                <w:bCs/>
                <w:color w:val="auto"/>
                <w:lang w:eastAsia="zh-CN"/>
              </w:rPr>
              <w:t>一期项目</w:t>
            </w:r>
            <w:r>
              <w:rPr>
                <w:rFonts w:hint="default" w:ascii="Times New Roman" w:hAnsi="Times New Roman" w:cs="Times New Roman"/>
                <w:bCs/>
                <w:color w:val="auto"/>
              </w:rPr>
              <w:t>的运营几乎没有影响途径，对地下水影响较小。</w:t>
            </w:r>
          </w:p>
          <w:p w14:paraId="25C159C3">
            <w:pPr>
              <w:adjustRightInd w:val="0"/>
              <w:snapToGrid w:val="0"/>
              <w:spacing w:line="360" w:lineRule="auto"/>
              <w:ind w:firstLine="422" w:firstLineChars="200"/>
              <w:jc w:val="center"/>
              <w:rPr>
                <w:rFonts w:hint="default" w:ascii="Times New Roman" w:hAnsi="Times New Roman" w:cs="Times New Roman"/>
                <w:b/>
                <w:color w:val="auto"/>
              </w:rPr>
            </w:pPr>
            <w:r>
              <w:rPr>
                <w:rFonts w:hint="default" w:ascii="Times New Roman" w:hAnsi="Times New Roman" w:cs="Times New Roman"/>
                <w:b/>
                <w:color w:val="auto"/>
              </w:rPr>
              <w:t>表4-</w:t>
            </w:r>
            <w:r>
              <w:rPr>
                <w:rFonts w:hint="eastAsia" w:cs="Times New Roman"/>
                <w:b/>
                <w:color w:val="auto"/>
                <w:lang w:val="en-US" w:eastAsia="zh-CN"/>
              </w:rPr>
              <w:t>30</w:t>
            </w:r>
            <w:r>
              <w:rPr>
                <w:rFonts w:hint="default" w:ascii="Times New Roman" w:hAnsi="Times New Roman" w:cs="Times New Roman"/>
                <w:b/>
                <w:color w:val="auto"/>
              </w:rPr>
              <w:t>项目</w:t>
            </w:r>
            <w:r>
              <w:rPr>
                <w:rFonts w:hint="default" w:ascii="Times New Roman" w:hAnsi="Times New Roman" w:cs="Times New Roman"/>
                <w:b/>
                <w:color w:val="auto"/>
                <w:lang w:eastAsia="zh-CN"/>
              </w:rPr>
              <w:t>已</w:t>
            </w:r>
            <w:r>
              <w:rPr>
                <w:rFonts w:hint="default" w:ascii="Times New Roman" w:hAnsi="Times New Roman" w:cs="Times New Roman"/>
                <w:b/>
                <w:color w:val="auto"/>
              </w:rPr>
              <w:t>采取的防腐、防渗措施</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0"/>
              <w:gridCol w:w="1275"/>
              <w:gridCol w:w="2127"/>
              <w:gridCol w:w="3862"/>
            </w:tblGrid>
            <w:tr w14:paraId="29548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0" w:type="dxa"/>
                  <w:vAlign w:val="center"/>
                </w:tcPr>
                <w:p w14:paraId="7B584352">
                  <w:pPr>
                    <w:adjustRightInd w:val="0"/>
                    <w:snapToGrid w:val="0"/>
                    <w:spacing w:line="300" w:lineRule="exac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序号</w:t>
                  </w:r>
                </w:p>
              </w:tc>
              <w:tc>
                <w:tcPr>
                  <w:tcW w:w="1275" w:type="dxa"/>
                  <w:vAlign w:val="center"/>
                </w:tcPr>
                <w:p w14:paraId="4ED1D756">
                  <w:pPr>
                    <w:adjustRightInd w:val="0"/>
                    <w:snapToGrid w:val="0"/>
                    <w:spacing w:line="300" w:lineRule="exac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分区</w:t>
                  </w:r>
                </w:p>
              </w:tc>
              <w:tc>
                <w:tcPr>
                  <w:tcW w:w="2127" w:type="dxa"/>
                  <w:vAlign w:val="center"/>
                </w:tcPr>
                <w:p w14:paraId="596D09A5">
                  <w:pPr>
                    <w:adjustRightInd w:val="0"/>
                    <w:snapToGrid w:val="0"/>
                    <w:spacing w:line="300" w:lineRule="exac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名称</w:t>
                  </w:r>
                </w:p>
              </w:tc>
              <w:tc>
                <w:tcPr>
                  <w:tcW w:w="3862" w:type="dxa"/>
                  <w:vAlign w:val="center"/>
                </w:tcPr>
                <w:p w14:paraId="3574C0D3">
                  <w:pPr>
                    <w:adjustRightInd w:val="0"/>
                    <w:snapToGrid w:val="0"/>
                    <w:spacing w:line="300" w:lineRule="exac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防渗要求</w:t>
                  </w:r>
                </w:p>
              </w:tc>
            </w:tr>
            <w:tr w14:paraId="2CCE5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0" w:type="dxa"/>
                  <w:vAlign w:val="center"/>
                </w:tcPr>
                <w:p w14:paraId="66FDE9D5">
                  <w:pPr>
                    <w:adjustRightInd w:val="0"/>
                    <w:snapToGrid w:val="0"/>
                    <w:spacing w:line="30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1275" w:type="dxa"/>
                  <w:vAlign w:val="center"/>
                </w:tcPr>
                <w:p w14:paraId="5B7904A5">
                  <w:pPr>
                    <w:adjustRightInd w:val="0"/>
                    <w:snapToGrid w:val="0"/>
                    <w:spacing w:line="30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重点防渗区</w:t>
                  </w:r>
                </w:p>
              </w:tc>
              <w:tc>
                <w:tcPr>
                  <w:tcW w:w="2127" w:type="dxa"/>
                  <w:vAlign w:val="center"/>
                </w:tcPr>
                <w:p w14:paraId="0EB7757A">
                  <w:pPr>
                    <w:adjustRightInd w:val="0"/>
                    <w:snapToGrid w:val="0"/>
                    <w:spacing w:line="300" w:lineRule="exact"/>
                    <w:jc w:val="center"/>
                    <w:rPr>
                      <w:rFonts w:hint="default" w:ascii="Times New Roman" w:hAnsi="Times New Roman" w:cs="Times New Roman"/>
                      <w:color w:val="auto"/>
                      <w:sz w:val="18"/>
                      <w:szCs w:val="18"/>
                    </w:rPr>
                  </w:pPr>
                  <w:r>
                    <w:rPr>
                      <w:color w:val="auto"/>
                      <w:sz w:val="18"/>
                      <w:szCs w:val="18"/>
                    </w:rPr>
                    <w:t>化粪池</w:t>
                  </w:r>
                </w:p>
              </w:tc>
              <w:tc>
                <w:tcPr>
                  <w:tcW w:w="3862" w:type="dxa"/>
                  <w:vAlign w:val="center"/>
                </w:tcPr>
                <w:p w14:paraId="348BA27B">
                  <w:pPr>
                    <w:adjustRightInd w:val="0"/>
                    <w:snapToGrid w:val="0"/>
                    <w:spacing w:line="30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等效黏土防渗层Mb≥6.0m，K≤1×10</w:t>
                  </w:r>
                  <w:r>
                    <w:rPr>
                      <w:rFonts w:hint="default" w:ascii="Times New Roman" w:hAnsi="Times New Roman" w:cs="Times New Roman"/>
                      <w:color w:val="auto"/>
                      <w:sz w:val="18"/>
                      <w:szCs w:val="18"/>
                      <w:vertAlign w:val="superscript"/>
                    </w:rPr>
                    <w:t>-7</w:t>
                  </w:r>
                  <w:r>
                    <w:rPr>
                      <w:rFonts w:hint="default" w:ascii="Times New Roman" w:hAnsi="Times New Roman" w:cs="Times New Roman"/>
                      <w:color w:val="auto"/>
                      <w:sz w:val="18"/>
                      <w:szCs w:val="18"/>
                    </w:rPr>
                    <w:t>cm/s</w:t>
                  </w:r>
                </w:p>
              </w:tc>
            </w:tr>
            <w:tr w14:paraId="1E950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0" w:type="dxa"/>
                  <w:vAlign w:val="center"/>
                </w:tcPr>
                <w:p w14:paraId="3C9FFA02">
                  <w:pPr>
                    <w:adjustRightInd w:val="0"/>
                    <w:snapToGrid w:val="0"/>
                    <w:spacing w:line="30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1275" w:type="dxa"/>
                  <w:vAlign w:val="center"/>
                </w:tcPr>
                <w:p w14:paraId="17A98BB2">
                  <w:pPr>
                    <w:adjustRightInd w:val="0"/>
                    <w:snapToGrid w:val="0"/>
                    <w:spacing w:line="30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一般防渗区</w:t>
                  </w:r>
                </w:p>
              </w:tc>
              <w:tc>
                <w:tcPr>
                  <w:tcW w:w="2127" w:type="dxa"/>
                  <w:vAlign w:val="center"/>
                </w:tcPr>
                <w:p w14:paraId="58BC60BF">
                  <w:pPr>
                    <w:adjustRightInd w:val="0"/>
                    <w:snapToGrid w:val="0"/>
                    <w:spacing w:line="300" w:lineRule="exact"/>
                    <w:jc w:val="center"/>
                    <w:rPr>
                      <w:rFonts w:hint="default" w:ascii="Times New Roman" w:hAnsi="Times New Roman" w:cs="Times New Roman"/>
                      <w:color w:val="auto"/>
                      <w:sz w:val="18"/>
                      <w:szCs w:val="18"/>
                    </w:rPr>
                  </w:pPr>
                  <w:r>
                    <w:rPr>
                      <w:color w:val="auto"/>
                      <w:sz w:val="18"/>
                      <w:szCs w:val="18"/>
                    </w:rPr>
                    <w:t>一般固体暂存处、</w:t>
                  </w:r>
                  <w:r>
                    <w:rPr>
                      <w:rFonts w:hint="eastAsia"/>
                      <w:color w:val="auto"/>
                      <w:sz w:val="18"/>
                      <w:szCs w:val="18"/>
                      <w:lang w:val="en-US" w:eastAsia="zh-CN"/>
                    </w:rPr>
                    <w:t>仓库、</w:t>
                  </w:r>
                  <w:r>
                    <w:rPr>
                      <w:color w:val="auto"/>
                      <w:sz w:val="18"/>
                      <w:szCs w:val="18"/>
                    </w:rPr>
                    <w:t>生产车间、办公室</w:t>
                  </w:r>
                </w:p>
              </w:tc>
              <w:tc>
                <w:tcPr>
                  <w:tcW w:w="3862" w:type="dxa"/>
                  <w:vAlign w:val="center"/>
                </w:tcPr>
                <w:p w14:paraId="285B6912">
                  <w:pPr>
                    <w:adjustRightInd w:val="0"/>
                    <w:snapToGrid w:val="0"/>
                    <w:spacing w:line="30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等效黏土防渗层Mb≥1.5m，K≤1×10</w:t>
                  </w:r>
                  <w:r>
                    <w:rPr>
                      <w:rFonts w:hint="default" w:ascii="Times New Roman" w:hAnsi="Times New Roman" w:cs="Times New Roman"/>
                      <w:color w:val="auto"/>
                      <w:sz w:val="18"/>
                      <w:szCs w:val="18"/>
                      <w:vertAlign w:val="superscript"/>
                    </w:rPr>
                    <w:t>-7</w:t>
                  </w:r>
                  <w:r>
                    <w:rPr>
                      <w:rFonts w:hint="default" w:ascii="Times New Roman" w:hAnsi="Times New Roman" w:cs="Times New Roman"/>
                      <w:color w:val="auto"/>
                      <w:sz w:val="18"/>
                      <w:szCs w:val="18"/>
                    </w:rPr>
                    <w:t>cm/s</w:t>
                  </w:r>
                </w:p>
              </w:tc>
            </w:tr>
            <w:tr w14:paraId="7D264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0" w:type="dxa"/>
                  <w:vAlign w:val="center"/>
                </w:tcPr>
                <w:p w14:paraId="7411823F">
                  <w:pPr>
                    <w:adjustRightInd w:val="0"/>
                    <w:snapToGrid w:val="0"/>
                    <w:spacing w:line="30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w:t>
                  </w:r>
                </w:p>
              </w:tc>
              <w:tc>
                <w:tcPr>
                  <w:tcW w:w="1275" w:type="dxa"/>
                  <w:vAlign w:val="center"/>
                </w:tcPr>
                <w:p w14:paraId="4742CE32">
                  <w:pPr>
                    <w:adjustRightInd w:val="0"/>
                    <w:snapToGrid w:val="0"/>
                    <w:spacing w:line="30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简单防渗区</w:t>
                  </w:r>
                </w:p>
              </w:tc>
              <w:tc>
                <w:tcPr>
                  <w:tcW w:w="2127" w:type="dxa"/>
                  <w:vAlign w:val="center"/>
                </w:tcPr>
                <w:p w14:paraId="0D65CADA">
                  <w:pPr>
                    <w:adjustRightInd w:val="0"/>
                    <w:snapToGrid w:val="0"/>
                    <w:spacing w:line="300" w:lineRule="exact"/>
                    <w:jc w:val="center"/>
                    <w:rPr>
                      <w:rFonts w:hint="default" w:ascii="Times New Roman" w:hAnsi="Times New Roman" w:cs="Times New Roman"/>
                      <w:color w:val="auto"/>
                      <w:sz w:val="18"/>
                      <w:szCs w:val="18"/>
                    </w:rPr>
                  </w:pPr>
                  <w:r>
                    <w:rPr>
                      <w:color w:val="auto"/>
                      <w:sz w:val="18"/>
                      <w:szCs w:val="18"/>
                    </w:rPr>
                    <w:t>其他区域</w:t>
                  </w:r>
                </w:p>
              </w:tc>
              <w:tc>
                <w:tcPr>
                  <w:tcW w:w="3862" w:type="dxa"/>
                  <w:vAlign w:val="center"/>
                </w:tcPr>
                <w:p w14:paraId="7B151117">
                  <w:pPr>
                    <w:adjustRightInd w:val="0"/>
                    <w:snapToGrid w:val="0"/>
                    <w:spacing w:line="30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一般地面硬化措施</w:t>
                  </w:r>
                </w:p>
              </w:tc>
            </w:tr>
          </w:tbl>
          <w:p w14:paraId="4ADE82AC">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在日常运行时应当加强</w:t>
            </w:r>
            <w:r>
              <w:rPr>
                <w:rFonts w:hint="default" w:ascii="Times New Roman" w:hAnsi="Times New Roman" w:cs="Times New Roman"/>
                <w:bCs/>
                <w:color w:val="auto"/>
                <w:lang w:eastAsia="zh-CN"/>
              </w:rPr>
              <w:t>生产</w:t>
            </w:r>
            <w:r>
              <w:rPr>
                <w:rFonts w:hint="default" w:ascii="Times New Roman" w:hAnsi="Times New Roman" w:cs="Times New Roman"/>
                <w:bCs/>
                <w:color w:val="auto"/>
              </w:rPr>
              <w:t>车间、化粪池的防渗的巡检和维护工作，确保防渗层不破损。在污染防治措施到位，严格管理的前提下，</w:t>
            </w:r>
            <w:r>
              <w:rPr>
                <w:rFonts w:hint="eastAsia" w:cs="Times New Roman"/>
                <w:bCs/>
                <w:color w:val="auto"/>
                <w:lang w:eastAsia="zh-CN"/>
              </w:rPr>
              <w:t>一期项目</w:t>
            </w:r>
            <w:r>
              <w:rPr>
                <w:rFonts w:hint="default" w:ascii="Times New Roman" w:hAnsi="Times New Roman" w:cs="Times New Roman"/>
                <w:bCs/>
                <w:color w:val="auto"/>
              </w:rPr>
              <w:t>对地下水影响极小。</w:t>
            </w:r>
          </w:p>
          <w:p w14:paraId="5A39F20E">
            <w:pPr>
              <w:adjustRightInd w:val="0"/>
              <w:snapToGrid w:val="0"/>
              <w:spacing w:line="360" w:lineRule="auto"/>
              <w:ind w:left="420"/>
              <w:rPr>
                <w:rFonts w:hint="default" w:ascii="Times New Roman" w:hAnsi="Times New Roman" w:cs="Times New Roman"/>
                <w:bCs/>
                <w:color w:val="auto"/>
              </w:rPr>
            </w:pPr>
            <w:r>
              <w:rPr>
                <w:rFonts w:hint="default" w:ascii="Times New Roman" w:hAnsi="Times New Roman" w:cs="Times New Roman"/>
                <w:bCs/>
                <w:color w:val="auto"/>
              </w:rPr>
              <w:t>3、跟踪监测要求</w:t>
            </w:r>
          </w:p>
          <w:p w14:paraId="2CF33C74">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lang w:val="zh-CN"/>
              </w:rPr>
              <w:t>根据以上分析，</w:t>
            </w:r>
            <w:r>
              <w:rPr>
                <w:rFonts w:hint="eastAsia" w:cs="Times New Roman"/>
                <w:bCs/>
                <w:color w:val="auto"/>
                <w:lang w:val="zh-CN"/>
              </w:rPr>
              <w:t>一期项目</w:t>
            </w:r>
            <w:r>
              <w:rPr>
                <w:rFonts w:hint="default" w:ascii="Times New Roman" w:hAnsi="Times New Roman" w:cs="Times New Roman"/>
                <w:bCs/>
                <w:color w:val="auto"/>
                <w:lang w:val="zh-CN"/>
              </w:rPr>
              <w:t>正常工况下无污染地下水、土壤环境等重大污染源，且项目500米范围内无地下水集中式饮用水水源和热水、矿泉水、温泉等特殊地下水资源，运营期正常工况下不需要针对地下水环境污染进行跟踪监测</w:t>
            </w:r>
            <w:r>
              <w:rPr>
                <w:rFonts w:hint="default" w:ascii="Times New Roman" w:hAnsi="Times New Roman" w:cs="Times New Roman"/>
                <w:bCs/>
                <w:color w:val="auto"/>
              </w:rPr>
              <w:t>。</w:t>
            </w:r>
          </w:p>
          <w:p w14:paraId="6BEE9A61">
            <w:pPr>
              <w:adjustRightInd w:val="0"/>
              <w:snapToGrid w:val="0"/>
              <w:spacing w:line="360" w:lineRule="auto"/>
              <w:ind w:firstLine="422" w:firstLineChars="200"/>
              <w:rPr>
                <w:rFonts w:hint="default" w:ascii="Times New Roman" w:hAnsi="Times New Roman" w:cs="Times New Roman"/>
                <w:b/>
                <w:color w:val="auto"/>
              </w:rPr>
            </w:pPr>
            <w:r>
              <w:rPr>
                <w:rFonts w:hint="default" w:ascii="Times New Roman" w:hAnsi="Times New Roman" w:cs="Times New Roman"/>
                <w:b/>
                <w:color w:val="auto"/>
              </w:rPr>
              <w:t>六、土壤</w:t>
            </w:r>
          </w:p>
          <w:p w14:paraId="1C89E96A">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1、污染途径、类型</w:t>
            </w:r>
          </w:p>
          <w:p w14:paraId="51A3AED1">
            <w:pPr>
              <w:adjustRightInd w:val="0"/>
              <w:snapToGrid w:val="0"/>
              <w:spacing w:line="360" w:lineRule="auto"/>
              <w:ind w:firstLine="420" w:firstLineChars="200"/>
              <w:rPr>
                <w:rFonts w:hint="default" w:ascii="Times New Roman" w:hAnsi="Times New Roman" w:eastAsia="宋体" w:cs="Times New Roman"/>
                <w:bCs/>
                <w:color w:val="auto"/>
                <w:lang w:eastAsia="zh-CN"/>
              </w:rPr>
            </w:pPr>
            <w:r>
              <w:rPr>
                <w:rFonts w:hint="eastAsia" w:cs="Times New Roman"/>
                <w:bCs/>
                <w:color w:val="auto"/>
                <w:lang w:eastAsia="zh-CN"/>
              </w:rPr>
              <w:t>一期项目</w:t>
            </w:r>
            <w:r>
              <w:rPr>
                <w:rFonts w:hint="default" w:ascii="Times New Roman" w:hAnsi="Times New Roman" w:cs="Times New Roman"/>
                <w:bCs/>
                <w:color w:val="auto"/>
              </w:rPr>
              <w:t>对土壤可能造成的污染途径主要是化粪池等区域的渗漏引起的土壤污染，以及废气有组织、无组织排放源排放的相关污染物的沉降，主要污染因子为COD、氨氮</w:t>
            </w:r>
            <w:r>
              <w:rPr>
                <w:rFonts w:hint="eastAsia" w:cs="Times New Roman"/>
                <w:bCs/>
                <w:color w:val="auto"/>
                <w:lang w:eastAsia="zh-CN"/>
              </w:rPr>
              <w:t>、</w:t>
            </w:r>
            <w:r>
              <w:rPr>
                <w:rFonts w:hint="eastAsia" w:cs="Times New Roman"/>
                <w:bCs/>
                <w:color w:val="auto"/>
                <w:lang w:val="en-US" w:eastAsia="zh-CN"/>
              </w:rPr>
              <w:t>颗粒物、SO</w:t>
            </w:r>
            <w:r>
              <w:rPr>
                <w:rFonts w:hint="eastAsia" w:cs="Times New Roman"/>
                <w:bCs/>
                <w:color w:val="auto"/>
                <w:vertAlign w:val="subscript"/>
                <w:lang w:val="en-US" w:eastAsia="zh-CN"/>
              </w:rPr>
              <w:t>2</w:t>
            </w:r>
            <w:r>
              <w:rPr>
                <w:rFonts w:hint="eastAsia" w:cs="Times New Roman"/>
                <w:bCs/>
                <w:color w:val="auto"/>
                <w:lang w:val="en-US" w:eastAsia="zh-CN"/>
              </w:rPr>
              <w:t>、NOx、氨气</w:t>
            </w:r>
            <w:r>
              <w:rPr>
                <w:rFonts w:hint="default" w:ascii="Times New Roman" w:hAnsi="Times New Roman" w:cs="Times New Roman"/>
                <w:bCs/>
                <w:color w:val="auto"/>
              </w:rPr>
              <w:t>等。</w:t>
            </w:r>
            <w:r>
              <w:rPr>
                <w:rFonts w:hint="eastAsia" w:cs="Times New Roman"/>
                <w:bCs/>
                <w:color w:val="auto"/>
                <w:lang w:val="en-US" w:eastAsia="zh-CN"/>
              </w:rPr>
              <w:t>一期项目拟对</w:t>
            </w:r>
            <w:r>
              <w:rPr>
                <w:rFonts w:hint="default" w:ascii="Times New Roman" w:hAnsi="Times New Roman" w:cs="Times New Roman"/>
                <w:bCs/>
                <w:color w:val="auto"/>
              </w:rPr>
              <w:t>化粪池进行相应的重点防渗和硬化处理，</w:t>
            </w:r>
            <w:r>
              <w:rPr>
                <w:rFonts w:hint="eastAsia" w:cs="Times New Roman"/>
                <w:bCs/>
                <w:color w:val="auto"/>
                <w:lang w:val="en-US" w:eastAsia="zh-CN"/>
              </w:rPr>
              <w:t>对</w:t>
            </w:r>
            <w:r>
              <w:rPr>
                <w:rFonts w:hint="default" w:ascii="Times New Roman" w:hAnsi="Times New Roman" w:cs="Times New Roman"/>
                <w:bCs/>
                <w:color w:val="auto"/>
              </w:rPr>
              <w:t>生产车间内进行一般防渗处理。</w:t>
            </w:r>
            <w:r>
              <w:rPr>
                <w:rFonts w:hint="eastAsia" w:cs="Times New Roman"/>
                <w:bCs/>
                <w:color w:val="auto"/>
                <w:lang w:eastAsia="zh-CN"/>
              </w:rPr>
              <w:t>一期项目</w:t>
            </w:r>
            <w:r>
              <w:rPr>
                <w:rFonts w:hint="default" w:ascii="Times New Roman" w:hAnsi="Times New Roman" w:cs="Times New Roman"/>
                <w:bCs/>
                <w:color w:val="auto"/>
              </w:rPr>
              <w:t>对土</w:t>
            </w:r>
            <w:r>
              <w:rPr>
                <w:rFonts w:hint="default" w:ascii="Times New Roman" w:hAnsi="Times New Roman" w:eastAsia="宋体" w:cs="Times New Roman"/>
                <w:bCs/>
                <w:color w:val="auto"/>
                <w:lang w:eastAsia="zh-CN"/>
              </w:rPr>
              <w:t>壤环境影响不大。</w:t>
            </w:r>
          </w:p>
          <w:p w14:paraId="0191FE42">
            <w:pPr>
              <w:adjustRightInd w:val="0"/>
              <w:snapToGrid w:val="0"/>
              <w:spacing w:line="360" w:lineRule="auto"/>
              <w:ind w:firstLine="420" w:firstLineChars="200"/>
              <w:rPr>
                <w:rFonts w:hint="default" w:ascii="Times New Roman" w:hAnsi="Times New Roman" w:eastAsia="宋体" w:cs="Times New Roman"/>
                <w:bCs/>
                <w:color w:val="auto"/>
                <w:lang w:eastAsia="zh-CN"/>
              </w:rPr>
            </w:pPr>
            <w:r>
              <w:rPr>
                <w:rFonts w:hint="default" w:ascii="Times New Roman" w:hAnsi="Times New Roman" w:eastAsia="宋体" w:cs="Times New Roman"/>
                <w:bCs/>
                <w:color w:val="auto"/>
                <w:lang w:eastAsia="zh-CN"/>
              </w:rPr>
              <w:t>2、采取保护措施</w:t>
            </w:r>
          </w:p>
          <w:p w14:paraId="55696FC2">
            <w:pPr>
              <w:adjustRightInd w:val="0"/>
              <w:snapToGrid w:val="0"/>
              <w:spacing w:line="360" w:lineRule="auto"/>
              <w:ind w:firstLine="420" w:firstLineChars="200"/>
              <w:rPr>
                <w:rFonts w:hint="default" w:ascii="Times New Roman" w:hAnsi="Times New Roman" w:eastAsia="宋体" w:cs="Times New Roman"/>
                <w:bCs/>
                <w:color w:val="auto"/>
                <w:lang w:eastAsia="zh-CN"/>
              </w:rPr>
            </w:pPr>
            <w:r>
              <w:rPr>
                <w:rFonts w:hint="default" w:ascii="Times New Roman" w:hAnsi="Times New Roman" w:eastAsia="宋体" w:cs="Times New Roman"/>
                <w:bCs/>
                <w:color w:val="auto"/>
                <w:lang w:eastAsia="zh-CN"/>
              </w:rPr>
              <w:t>同地下水防护措施。</w:t>
            </w:r>
          </w:p>
          <w:p w14:paraId="48462908">
            <w:pPr>
              <w:adjustRightInd w:val="0"/>
              <w:snapToGrid w:val="0"/>
              <w:spacing w:line="360" w:lineRule="auto"/>
              <w:ind w:firstLine="420" w:firstLineChars="200"/>
              <w:rPr>
                <w:rFonts w:hint="default" w:ascii="Times New Roman" w:hAnsi="Times New Roman" w:eastAsia="宋体" w:cs="Times New Roman"/>
                <w:bCs/>
                <w:color w:val="auto"/>
                <w:lang w:eastAsia="zh-CN"/>
              </w:rPr>
            </w:pPr>
            <w:r>
              <w:rPr>
                <w:rFonts w:hint="default" w:ascii="Times New Roman" w:hAnsi="Times New Roman" w:eastAsia="宋体" w:cs="Times New Roman"/>
                <w:bCs/>
                <w:color w:val="auto"/>
                <w:lang w:eastAsia="zh-CN"/>
              </w:rPr>
              <w:t>3、跟踪监测</w:t>
            </w:r>
          </w:p>
          <w:p w14:paraId="5108AE0E">
            <w:pPr>
              <w:adjustRightInd w:val="0"/>
              <w:snapToGrid w:val="0"/>
              <w:spacing w:line="360" w:lineRule="auto"/>
              <w:ind w:firstLine="420" w:firstLineChars="200"/>
              <w:rPr>
                <w:rFonts w:hint="default" w:ascii="Times New Roman" w:hAnsi="Times New Roman" w:eastAsia="宋体" w:cs="Times New Roman"/>
                <w:bCs/>
                <w:color w:val="auto"/>
                <w:lang w:eastAsia="zh-CN"/>
              </w:rPr>
            </w:pPr>
            <w:r>
              <w:rPr>
                <w:rFonts w:hint="default" w:ascii="Times New Roman" w:hAnsi="Times New Roman" w:eastAsia="宋体" w:cs="Times New Roman"/>
                <w:bCs/>
                <w:color w:val="auto"/>
                <w:lang w:val="zh-CN" w:eastAsia="zh-CN"/>
              </w:rPr>
              <w:t>根据以上分析，</w:t>
            </w:r>
            <w:r>
              <w:rPr>
                <w:rFonts w:hint="eastAsia" w:cs="Times New Roman"/>
                <w:bCs/>
                <w:color w:val="auto"/>
                <w:lang w:val="zh-CN" w:eastAsia="zh-CN"/>
              </w:rPr>
              <w:t>一期项目</w:t>
            </w:r>
            <w:r>
              <w:rPr>
                <w:rFonts w:hint="default" w:ascii="Times New Roman" w:hAnsi="Times New Roman" w:eastAsia="宋体" w:cs="Times New Roman"/>
                <w:bCs/>
                <w:color w:val="auto"/>
                <w:lang w:val="zh-CN" w:eastAsia="zh-CN"/>
              </w:rPr>
              <w:t>正常工况下无污染土壤环境等重大污染源，运营期正常工况下不需要针对土壤环境污染进行跟踪监测</w:t>
            </w:r>
            <w:r>
              <w:rPr>
                <w:rFonts w:hint="default" w:ascii="Times New Roman" w:hAnsi="Times New Roman" w:eastAsia="宋体" w:cs="Times New Roman"/>
                <w:bCs/>
                <w:color w:val="auto"/>
                <w:lang w:eastAsia="zh-CN"/>
              </w:rPr>
              <w:t>。</w:t>
            </w:r>
          </w:p>
          <w:p w14:paraId="2738F2B7">
            <w:pPr>
              <w:adjustRightInd w:val="0"/>
              <w:snapToGrid w:val="0"/>
              <w:spacing w:line="360" w:lineRule="auto"/>
              <w:ind w:firstLine="422" w:firstLineChars="200"/>
              <w:rPr>
                <w:rFonts w:hint="default" w:ascii="Times New Roman" w:hAnsi="Times New Roman" w:cs="Times New Roman"/>
                <w:b/>
                <w:color w:val="auto"/>
              </w:rPr>
            </w:pPr>
            <w:r>
              <w:rPr>
                <w:rFonts w:hint="default" w:ascii="Times New Roman" w:hAnsi="Times New Roman" w:cs="Times New Roman"/>
                <w:b/>
                <w:color w:val="auto"/>
              </w:rPr>
              <w:t>七、生态</w:t>
            </w:r>
          </w:p>
          <w:p w14:paraId="2FD69A5C">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项目占地内没有珍稀动植物物种，生态环境质量一般。项目占地内原有生物物种在项目周围地域广泛存在，基本不影响评价区域的生物多样性，项目运营对周围生态环境基本上没有产生明显的影响。</w:t>
            </w:r>
          </w:p>
          <w:p w14:paraId="69FF215F">
            <w:pPr>
              <w:adjustRightInd w:val="0"/>
              <w:snapToGrid w:val="0"/>
              <w:spacing w:line="360" w:lineRule="auto"/>
              <w:ind w:firstLine="422" w:firstLineChars="200"/>
              <w:rPr>
                <w:rFonts w:hint="default" w:ascii="Times New Roman" w:hAnsi="Times New Roman" w:cs="Times New Roman"/>
                <w:b/>
                <w:color w:val="auto"/>
                <w:highlight w:val="none"/>
              </w:rPr>
            </w:pPr>
            <w:r>
              <w:rPr>
                <w:rFonts w:hint="default" w:ascii="Times New Roman" w:hAnsi="Times New Roman" w:cs="Times New Roman"/>
                <w:b/>
                <w:color w:val="auto"/>
              </w:rPr>
              <w:t>八、环境</w:t>
            </w:r>
            <w:r>
              <w:rPr>
                <w:rFonts w:hint="default" w:ascii="Times New Roman" w:hAnsi="Times New Roman" w:cs="Times New Roman"/>
                <w:b/>
                <w:color w:val="auto"/>
                <w:highlight w:val="none"/>
              </w:rPr>
              <w:t>风险分析</w:t>
            </w:r>
          </w:p>
          <w:p w14:paraId="24486B0F">
            <w:pPr>
              <w:adjustRightInd w:val="0"/>
              <w:snapToGrid w:val="0"/>
              <w:spacing w:line="360" w:lineRule="auto"/>
              <w:ind w:firstLine="42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项目风险评价内容详见环境风险专项评价。</w:t>
            </w:r>
          </w:p>
          <w:p w14:paraId="142D5B00">
            <w:pPr>
              <w:adjustRightInd w:val="0"/>
              <w:snapToGrid w:val="0"/>
              <w:spacing w:line="360" w:lineRule="auto"/>
              <w:ind w:firstLine="420" w:firstLineChars="200"/>
              <w:rPr>
                <w:rFonts w:hint="default" w:ascii="Times New Roman" w:hAnsi="Times New Roman" w:cs="Times New Roman"/>
                <w:bCs/>
                <w:color w:val="auto"/>
                <w:highlight w:val="none"/>
              </w:rPr>
            </w:pPr>
            <w:r>
              <w:rPr>
                <w:rFonts w:hint="eastAsia" w:cs="Times New Roman"/>
                <w:bCs/>
                <w:color w:val="auto"/>
                <w:highlight w:val="none"/>
                <w:lang w:eastAsia="zh-CN"/>
              </w:rPr>
              <w:t>一期项目</w:t>
            </w:r>
            <w:r>
              <w:rPr>
                <w:rFonts w:hint="default" w:ascii="Times New Roman" w:hAnsi="Times New Roman" w:cs="Times New Roman"/>
                <w:bCs/>
                <w:color w:val="auto"/>
                <w:highlight w:val="none"/>
              </w:rPr>
              <w:t>使用的</w:t>
            </w:r>
            <w:r>
              <w:rPr>
                <w:rFonts w:hint="eastAsia" w:cs="Times New Roman"/>
                <w:bCs/>
                <w:color w:val="auto"/>
                <w:highlight w:val="none"/>
                <w:lang w:val="en-US" w:eastAsia="zh-CN"/>
              </w:rPr>
              <w:t>天然气、硫酸铵、液压油、水喷淋废水</w:t>
            </w:r>
            <w:r>
              <w:rPr>
                <w:rFonts w:hint="default" w:ascii="Times New Roman" w:hAnsi="Times New Roman" w:cs="Times New Roman"/>
                <w:bCs/>
                <w:color w:val="auto"/>
                <w:highlight w:val="none"/>
              </w:rPr>
              <w:t>属于风险物质。事故发生后要积极开展灾后危险物质及消防废水的处理，认真落实事故风险水池的建设，强化事故水导排系统，防止二次污染发生以及事故废水、废液进入地表水、地下水环境。采取报告中相关防范措施后，项目环境风险可控。</w:t>
            </w:r>
          </w:p>
          <w:p w14:paraId="1C5A8087">
            <w:pPr>
              <w:adjustRightInd w:val="0"/>
              <w:snapToGrid w:val="0"/>
              <w:spacing w:line="360" w:lineRule="auto"/>
              <w:ind w:firstLine="422" w:firstLineChars="200"/>
              <w:rPr>
                <w:rFonts w:hint="default" w:ascii="Times New Roman" w:hAnsi="Times New Roman" w:cs="Times New Roman"/>
                <w:b/>
                <w:color w:val="auto"/>
              </w:rPr>
            </w:pPr>
            <w:r>
              <w:rPr>
                <w:rFonts w:hint="default" w:ascii="Times New Roman" w:hAnsi="Times New Roman" w:cs="Times New Roman"/>
                <w:b/>
                <w:color w:val="auto"/>
              </w:rPr>
              <w:t>九、环保投资及三同时分析</w:t>
            </w:r>
          </w:p>
          <w:p w14:paraId="26CC2906">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color w:val="auto"/>
              </w:rPr>
              <w:t>工程总投资</w:t>
            </w:r>
            <w:r>
              <w:rPr>
                <w:rFonts w:hint="eastAsia" w:cs="Times New Roman"/>
                <w:color w:val="auto"/>
                <w:lang w:val="en-US" w:eastAsia="zh-CN"/>
              </w:rPr>
              <w:t>25</w:t>
            </w:r>
            <w:r>
              <w:rPr>
                <w:rFonts w:hint="default" w:ascii="Times New Roman" w:hAnsi="Times New Roman" w:cs="Times New Roman"/>
                <w:color w:val="auto"/>
                <w:lang w:val="en-US" w:eastAsia="zh-CN"/>
              </w:rPr>
              <w:t>0</w:t>
            </w:r>
            <w:r>
              <w:rPr>
                <w:rFonts w:hint="default" w:ascii="Times New Roman" w:hAnsi="Times New Roman" w:cs="Times New Roman"/>
                <w:color w:val="auto"/>
              </w:rPr>
              <w:t>00万元，环保投资</w:t>
            </w:r>
            <w:r>
              <w:rPr>
                <w:rFonts w:hint="eastAsia" w:cs="Times New Roman"/>
                <w:color w:val="auto"/>
                <w:lang w:val="en-US" w:eastAsia="zh-CN"/>
              </w:rPr>
              <w:t>20</w:t>
            </w:r>
            <w:r>
              <w:rPr>
                <w:rFonts w:hint="default" w:ascii="Times New Roman" w:hAnsi="Times New Roman" w:cs="Times New Roman"/>
                <w:color w:val="auto"/>
              </w:rPr>
              <w:t>0万元，占投资的</w:t>
            </w:r>
            <w:r>
              <w:rPr>
                <w:rFonts w:hint="eastAsia" w:cs="Times New Roman"/>
                <w:color w:val="auto"/>
                <w:lang w:val="en-US" w:eastAsia="zh-CN"/>
              </w:rPr>
              <w:t>0.8</w:t>
            </w:r>
            <w:r>
              <w:rPr>
                <w:rFonts w:hint="default" w:ascii="Times New Roman" w:hAnsi="Times New Roman" w:cs="Times New Roman"/>
                <w:color w:val="auto"/>
              </w:rPr>
              <w:t>%，</w:t>
            </w:r>
            <w:r>
              <w:rPr>
                <w:rFonts w:hint="default" w:ascii="Times New Roman" w:hAnsi="Times New Roman" w:cs="Times New Roman"/>
                <w:bCs/>
                <w:color w:val="auto"/>
              </w:rPr>
              <w:t>根据项目的工程分析，污染因素分析及治理对策分析和调查，项目环保投资及三同时一览表如下：</w:t>
            </w:r>
          </w:p>
          <w:p w14:paraId="0BF659D7">
            <w:pPr>
              <w:adjustRightInd w:val="0"/>
              <w:snapToGrid w:val="0"/>
              <w:spacing w:line="360" w:lineRule="auto"/>
              <w:jc w:val="center"/>
              <w:rPr>
                <w:rFonts w:hint="default" w:ascii="Times New Roman" w:hAnsi="Times New Roman" w:cs="Times New Roman"/>
                <w:b/>
                <w:color w:val="auto"/>
              </w:rPr>
            </w:pPr>
            <w:r>
              <w:rPr>
                <w:rFonts w:hint="default" w:ascii="Times New Roman" w:hAnsi="Times New Roman" w:cs="Times New Roman"/>
                <w:b/>
                <w:color w:val="auto"/>
              </w:rPr>
              <w:t>表4-</w:t>
            </w:r>
            <w:r>
              <w:rPr>
                <w:rFonts w:hint="eastAsia" w:cs="Times New Roman"/>
                <w:b/>
                <w:color w:val="auto"/>
                <w:lang w:val="en-US" w:eastAsia="zh-CN"/>
              </w:rPr>
              <w:t>31</w:t>
            </w:r>
            <w:r>
              <w:rPr>
                <w:rFonts w:hint="default" w:ascii="Times New Roman" w:hAnsi="Times New Roman" w:cs="Times New Roman"/>
                <w:b/>
                <w:color w:val="auto"/>
              </w:rPr>
              <w:t>项目环保投资及“三同时”一览表     单位：万元</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3"/>
              <w:gridCol w:w="1296"/>
              <w:gridCol w:w="3579"/>
              <w:gridCol w:w="1254"/>
              <w:gridCol w:w="1195"/>
            </w:tblGrid>
            <w:tr w14:paraId="1A512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753" w:type="dxa"/>
                  <w:vAlign w:val="center"/>
                </w:tcPr>
                <w:p w14:paraId="7FFCF21A">
                  <w:pPr>
                    <w:spacing w:line="240" w:lineRule="atLeas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序号</w:t>
                  </w:r>
                </w:p>
              </w:tc>
              <w:tc>
                <w:tcPr>
                  <w:tcW w:w="1296" w:type="dxa"/>
                  <w:vAlign w:val="center"/>
                </w:tcPr>
                <w:p w14:paraId="1373FFCF">
                  <w:pPr>
                    <w:spacing w:line="240" w:lineRule="atLeas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项目</w:t>
                  </w:r>
                </w:p>
              </w:tc>
              <w:tc>
                <w:tcPr>
                  <w:tcW w:w="3579" w:type="dxa"/>
                  <w:vAlign w:val="center"/>
                </w:tcPr>
                <w:p w14:paraId="17D12379">
                  <w:pPr>
                    <w:spacing w:line="240" w:lineRule="atLeas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环保措施及验收内容</w:t>
                  </w:r>
                </w:p>
              </w:tc>
              <w:tc>
                <w:tcPr>
                  <w:tcW w:w="1254" w:type="dxa"/>
                  <w:vAlign w:val="center"/>
                </w:tcPr>
                <w:p w14:paraId="2ED0044D">
                  <w:pPr>
                    <w:spacing w:line="240" w:lineRule="atLeas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投资估算</w:t>
                  </w:r>
                </w:p>
              </w:tc>
              <w:tc>
                <w:tcPr>
                  <w:tcW w:w="1195" w:type="dxa"/>
                  <w:vAlign w:val="center"/>
                </w:tcPr>
                <w:p w14:paraId="3AF496BD">
                  <w:pPr>
                    <w:spacing w:line="240" w:lineRule="atLeas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备注</w:t>
                  </w:r>
                </w:p>
              </w:tc>
            </w:tr>
            <w:tr w14:paraId="54198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753" w:type="dxa"/>
                  <w:vAlign w:val="center"/>
                </w:tcPr>
                <w:p w14:paraId="668B0770">
                  <w:pPr>
                    <w:spacing w:line="240" w:lineRule="atLeas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w:t>
                  </w:r>
                </w:p>
              </w:tc>
              <w:tc>
                <w:tcPr>
                  <w:tcW w:w="1296" w:type="dxa"/>
                  <w:vAlign w:val="center"/>
                </w:tcPr>
                <w:p w14:paraId="14955948">
                  <w:pPr>
                    <w:widowControl/>
                    <w:spacing w:line="30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大气污染防治措施</w:t>
                  </w:r>
                </w:p>
              </w:tc>
              <w:tc>
                <w:tcPr>
                  <w:tcW w:w="3579" w:type="dxa"/>
                  <w:vAlign w:val="center"/>
                </w:tcPr>
                <w:p w14:paraId="276644A0">
                  <w:pPr>
                    <w:pStyle w:val="80"/>
                    <w:widowControl/>
                    <w:spacing w:line="300" w:lineRule="exact"/>
                    <w:ind w:firstLine="0" w:firstLineChars="0"/>
                    <w:jc w:val="center"/>
                    <w:rPr>
                      <w:rFonts w:hint="default" w:ascii="Times New Roman" w:hAnsi="Times New Roman" w:cs="Times New Roman"/>
                      <w:bCs/>
                      <w:color w:val="auto"/>
                      <w:sz w:val="18"/>
                      <w:szCs w:val="18"/>
                      <w:lang w:val="en-US"/>
                    </w:rPr>
                  </w:pPr>
                  <w:r>
                    <w:rPr>
                      <w:rFonts w:hint="eastAsia" w:cs="Times New Roman"/>
                      <w:color w:val="auto"/>
                      <w:sz w:val="18"/>
                      <w:szCs w:val="18"/>
                      <w:highlight w:val="none"/>
                      <w:lang w:val="en-US" w:eastAsia="zh-CN"/>
                    </w:rPr>
                    <w:t>低氮燃烧机、布袋除尘器</w:t>
                  </w:r>
                  <w:r>
                    <w:rPr>
                      <w:rFonts w:hint="default" w:ascii="Times New Roman" w:hAnsi="Times New Roman" w:cs="Times New Roman"/>
                      <w:color w:val="auto"/>
                      <w:sz w:val="18"/>
                      <w:szCs w:val="18"/>
                      <w:highlight w:val="none"/>
                      <w:lang w:val="en-US" w:eastAsia="zh-CN"/>
                    </w:rPr>
                    <w:t>、水喷淋塔</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集气罩+DA001、DA002</w:t>
                  </w:r>
                  <w:r>
                    <w:rPr>
                      <w:rFonts w:hint="eastAsia" w:cs="Times New Roman"/>
                      <w:color w:val="auto"/>
                      <w:sz w:val="18"/>
                      <w:szCs w:val="18"/>
                      <w:highlight w:val="none"/>
                      <w:lang w:val="en-US" w:eastAsia="zh-CN"/>
                    </w:rPr>
                    <w:t>、DA003</w:t>
                  </w:r>
                  <w:r>
                    <w:rPr>
                      <w:rFonts w:hint="default" w:ascii="Times New Roman" w:hAnsi="Times New Roman" w:cs="Times New Roman"/>
                      <w:color w:val="auto"/>
                      <w:sz w:val="18"/>
                      <w:szCs w:val="18"/>
                      <w:highlight w:val="none"/>
                      <w:lang w:val="en-US" w:eastAsia="zh-CN"/>
                    </w:rPr>
                    <w:t>排气筒</w:t>
                  </w:r>
                  <w:r>
                    <w:rPr>
                      <w:rFonts w:hint="eastAsia" w:cs="Times New Roman"/>
                      <w:color w:val="auto"/>
                      <w:sz w:val="18"/>
                      <w:szCs w:val="18"/>
                      <w:highlight w:val="none"/>
                      <w:lang w:val="en-US" w:eastAsia="zh-CN"/>
                    </w:rPr>
                    <w:t>、油烟净化器</w:t>
                  </w:r>
                </w:p>
              </w:tc>
              <w:tc>
                <w:tcPr>
                  <w:tcW w:w="1254" w:type="dxa"/>
                  <w:vAlign w:val="center"/>
                </w:tcPr>
                <w:p w14:paraId="171EB138">
                  <w:pPr>
                    <w:spacing w:line="240" w:lineRule="atLeast"/>
                    <w:jc w:val="center"/>
                    <w:rPr>
                      <w:rFonts w:hint="default" w:ascii="Times New Roman" w:hAnsi="Times New Roman" w:cs="Times New Roman"/>
                      <w:bCs/>
                      <w:color w:val="auto"/>
                      <w:sz w:val="18"/>
                      <w:szCs w:val="18"/>
                      <w:lang w:val="en-US"/>
                    </w:rPr>
                  </w:pPr>
                  <w:r>
                    <w:rPr>
                      <w:rFonts w:hint="eastAsia" w:cs="Times New Roman"/>
                      <w:bCs/>
                      <w:color w:val="auto"/>
                      <w:sz w:val="18"/>
                      <w:szCs w:val="18"/>
                      <w:lang w:val="en-US" w:eastAsia="zh-CN"/>
                    </w:rPr>
                    <w:t>150</w:t>
                  </w:r>
                </w:p>
              </w:tc>
              <w:tc>
                <w:tcPr>
                  <w:tcW w:w="1195" w:type="dxa"/>
                  <w:vMerge w:val="restart"/>
                  <w:vAlign w:val="center"/>
                </w:tcPr>
                <w:p w14:paraId="5CA60429">
                  <w:pPr>
                    <w:widowControl/>
                    <w:spacing w:line="30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项目的污染治理设施与主体工程同时设计、同时施工、同时投入使用</w:t>
                  </w:r>
                </w:p>
              </w:tc>
            </w:tr>
            <w:tr w14:paraId="2E7A3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5" w:hRule="atLeast"/>
                <w:jc w:val="center"/>
              </w:trPr>
              <w:tc>
                <w:tcPr>
                  <w:tcW w:w="753" w:type="dxa"/>
                  <w:vAlign w:val="center"/>
                </w:tcPr>
                <w:p w14:paraId="13C286CC">
                  <w:pPr>
                    <w:spacing w:line="240" w:lineRule="atLeas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2</w:t>
                  </w:r>
                </w:p>
              </w:tc>
              <w:tc>
                <w:tcPr>
                  <w:tcW w:w="1296" w:type="dxa"/>
                  <w:vAlign w:val="center"/>
                </w:tcPr>
                <w:p w14:paraId="2321E362">
                  <w:pPr>
                    <w:widowControl/>
                    <w:spacing w:line="30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水污染物防治措施</w:t>
                  </w:r>
                </w:p>
              </w:tc>
              <w:tc>
                <w:tcPr>
                  <w:tcW w:w="3579" w:type="dxa"/>
                  <w:vAlign w:val="center"/>
                </w:tcPr>
                <w:p w14:paraId="49F3B5C5">
                  <w:pPr>
                    <w:adjustRightInd w:val="0"/>
                    <w:snapToGrid w:val="0"/>
                    <w:spacing w:line="240" w:lineRule="atLeast"/>
                    <w:jc w:val="center"/>
                    <w:rPr>
                      <w:rFonts w:hint="default" w:ascii="Times New Roman" w:hAnsi="Times New Roman" w:eastAsia="宋体" w:cs="Times New Roman"/>
                      <w:color w:val="auto"/>
                      <w:lang w:eastAsia="zh-CN"/>
                    </w:rPr>
                  </w:pPr>
                  <w:r>
                    <w:rPr>
                      <w:rFonts w:hint="default" w:ascii="Times New Roman" w:hAnsi="Times New Roman" w:cs="Times New Roman"/>
                      <w:color w:val="auto"/>
                      <w:sz w:val="18"/>
                      <w:szCs w:val="18"/>
                    </w:rPr>
                    <w:t>化粪池</w:t>
                  </w:r>
                </w:p>
              </w:tc>
              <w:tc>
                <w:tcPr>
                  <w:tcW w:w="1254" w:type="dxa"/>
                  <w:vAlign w:val="center"/>
                </w:tcPr>
                <w:p w14:paraId="76B9CC14">
                  <w:pPr>
                    <w:spacing w:line="240" w:lineRule="atLeast"/>
                    <w:jc w:val="center"/>
                    <w:rPr>
                      <w:rFonts w:hint="default" w:ascii="Times New Roman" w:hAnsi="Times New Roman" w:eastAsia="宋体" w:cs="Times New Roman"/>
                      <w:bCs/>
                      <w:color w:val="auto"/>
                      <w:sz w:val="18"/>
                      <w:szCs w:val="18"/>
                      <w:lang w:val="en-US" w:eastAsia="zh-CN"/>
                    </w:rPr>
                  </w:pPr>
                  <w:r>
                    <w:rPr>
                      <w:rFonts w:hint="eastAsia" w:cs="Times New Roman"/>
                      <w:bCs/>
                      <w:color w:val="auto"/>
                      <w:sz w:val="18"/>
                      <w:szCs w:val="18"/>
                      <w:lang w:val="en-US" w:eastAsia="zh-CN"/>
                    </w:rPr>
                    <w:t>2</w:t>
                  </w:r>
                </w:p>
              </w:tc>
              <w:tc>
                <w:tcPr>
                  <w:tcW w:w="1195" w:type="dxa"/>
                  <w:vMerge w:val="continue"/>
                  <w:vAlign w:val="center"/>
                </w:tcPr>
                <w:p w14:paraId="522F7EA3">
                  <w:pPr>
                    <w:widowControl/>
                    <w:spacing w:line="300" w:lineRule="exact"/>
                    <w:jc w:val="center"/>
                    <w:rPr>
                      <w:rFonts w:hint="default" w:ascii="Times New Roman" w:hAnsi="Times New Roman" w:cs="Times New Roman"/>
                      <w:bCs/>
                      <w:color w:val="auto"/>
                      <w:sz w:val="18"/>
                      <w:szCs w:val="18"/>
                    </w:rPr>
                  </w:pPr>
                </w:p>
              </w:tc>
            </w:tr>
            <w:tr w14:paraId="0D454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753" w:type="dxa"/>
                  <w:vAlign w:val="center"/>
                </w:tcPr>
                <w:p w14:paraId="4C6D276C">
                  <w:pPr>
                    <w:spacing w:line="240" w:lineRule="atLeas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3</w:t>
                  </w:r>
                </w:p>
              </w:tc>
              <w:tc>
                <w:tcPr>
                  <w:tcW w:w="1296" w:type="dxa"/>
                  <w:vAlign w:val="center"/>
                </w:tcPr>
                <w:p w14:paraId="6B59C60C">
                  <w:pPr>
                    <w:widowControl/>
                    <w:spacing w:line="30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噪声污染防治措施</w:t>
                  </w:r>
                </w:p>
              </w:tc>
              <w:tc>
                <w:tcPr>
                  <w:tcW w:w="3579" w:type="dxa"/>
                  <w:vAlign w:val="center"/>
                </w:tcPr>
                <w:p w14:paraId="18DA80D9">
                  <w:pPr>
                    <w:widowControl/>
                    <w:spacing w:line="30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合理布置，高噪声设备采用减震、消声、隔声等降噪措施。</w:t>
                  </w:r>
                </w:p>
              </w:tc>
              <w:tc>
                <w:tcPr>
                  <w:tcW w:w="1254" w:type="dxa"/>
                  <w:vAlign w:val="center"/>
                </w:tcPr>
                <w:p w14:paraId="41FD9F7F">
                  <w:pPr>
                    <w:spacing w:line="240" w:lineRule="atLeast"/>
                    <w:jc w:val="center"/>
                    <w:rPr>
                      <w:rFonts w:hint="default" w:ascii="Times New Roman" w:hAnsi="Times New Roman" w:eastAsia="宋体" w:cs="Times New Roman"/>
                      <w:bCs/>
                      <w:color w:val="auto"/>
                      <w:sz w:val="18"/>
                      <w:szCs w:val="18"/>
                      <w:lang w:val="en-US" w:eastAsia="zh-CN"/>
                    </w:rPr>
                  </w:pPr>
                  <w:r>
                    <w:rPr>
                      <w:rFonts w:hint="eastAsia" w:cs="Times New Roman"/>
                      <w:bCs/>
                      <w:color w:val="auto"/>
                      <w:sz w:val="18"/>
                      <w:szCs w:val="18"/>
                      <w:lang w:val="en-US" w:eastAsia="zh-CN"/>
                    </w:rPr>
                    <w:t>15</w:t>
                  </w:r>
                </w:p>
              </w:tc>
              <w:tc>
                <w:tcPr>
                  <w:tcW w:w="1195" w:type="dxa"/>
                  <w:vMerge w:val="continue"/>
                  <w:vAlign w:val="center"/>
                </w:tcPr>
                <w:p w14:paraId="391B685E">
                  <w:pPr>
                    <w:widowControl/>
                    <w:spacing w:line="300" w:lineRule="exact"/>
                    <w:jc w:val="center"/>
                    <w:rPr>
                      <w:rFonts w:hint="default" w:ascii="Times New Roman" w:hAnsi="Times New Roman" w:cs="Times New Roman"/>
                      <w:bCs/>
                      <w:color w:val="auto"/>
                      <w:sz w:val="18"/>
                      <w:szCs w:val="18"/>
                    </w:rPr>
                  </w:pPr>
                </w:p>
              </w:tc>
            </w:tr>
            <w:tr w14:paraId="652D5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753" w:type="dxa"/>
                  <w:vAlign w:val="center"/>
                </w:tcPr>
                <w:p w14:paraId="7B773C61">
                  <w:pPr>
                    <w:spacing w:line="240" w:lineRule="atLeas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4</w:t>
                  </w:r>
                </w:p>
              </w:tc>
              <w:tc>
                <w:tcPr>
                  <w:tcW w:w="1296" w:type="dxa"/>
                  <w:vAlign w:val="center"/>
                </w:tcPr>
                <w:p w14:paraId="6318F71E">
                  <w:pPr>
                    <w:widowControl/>
                    <w:spacing w:line="30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固体废物处理处置措施</w:t>
                  </w:r>
                </w:p>
              </w:tc>
              <w:tc>
                <w:tcPr>
                  <w:tcW w:w="3579" w:type="dxa"/>
                  <w:vAlign w:val="center"/>
                </w:tcPr>
                <w:p w14:paraId="04B0E587">
                  <w:pPr>
                    <w:widowControl/>
                    <w:spacing w:line="30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一般固废暂存处</w:t>
                  </w:r>
                </w:p>
              </w:tc>
              <w:tc>
                <w:tcPr>
                  <w:tcW w:w="1254" w:type="dxa"/>
                  <w:vAlign w:val="center"/>
                </w:tcPr>
                <w:p w14:paraId="560E858D">
                  <w:pPr>
                    <w:spacing w:line="240" w:lineRule="atLeast"/>
                    <w:jc w:val="center"/>
                    <w:rPr>
                      <w:rFonts w:hint="default" w:ascii="Times New Roman" w:hAnsi="Times New Roman" w:eastAsia="宋体" w:cs="Times New Roman"/>
                      <w:bCs/>
                      <w:color w:val="auto"/>
                      <w:sz w:val="18"/>
                      <w:szCs w:val="18"/>
                      <w:lang w:val="en-US" w:eastAsia="zh-CN"/>
                    </w:rPr>
                  </w:pPr>
                  <w:r>
                    <w:rPr>
                      <w:rFonts w:hint="eastAsia" w:cs="Times New Roman"/>
                      <w:bCs/>
                      <w:color w:val="auto"/>
                      <w:sz w:val="18"/>
                      <w:szCs w:val="18"/>
                      <w:lang w:val="en-US" w:eastAsia="zh-CN"/>
                    </w:rPr>
                    <w:t>3</w:t>
                  </w:r>
                </w:p>
              </w:tc>
              <w:tc>
                <w:tcPr>
                  <w:tcW w:w="1195" w:type="dxa"/>
                  <w:vMerge w:val="continue"/>
                  <w:vAlign w:val="center"/>
                </w:tcPr>
                <w:p w14:paraId="14C4FAF3">
                  <w:pPr>
                    <w:widowControl/>
                    <w:spacing w:line="300" w:lineRule="exact"/>
                    <w:jc w:val="center"/>
                    <w:rPr>
                      <w:rFonts w:hint="default" w:ascii="Times New Roman" w:hAnsi="Times New Roman" w:cs="Times New Roman"/>
                      <w:bCs/>
                      <w:color w:val="auto"/>
                      <w:sz w:val="18"/>
                      <w:szCs w:val="18"/>
                    </w:rPr>
                  </w:pPr>
                </w:p>
              </w:tc>
            </w:tr>
            <w:tr w14:paraId="69BFF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753" w:type="dxa"/>
                  <w:vAlign w:val="center"/>
                </w:tcPr>
                <w:p w14:paraId="77D053D2">
                  <w:pPr>
                    <w:spacing w:line="240" w:lineRule="atLeas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5</w:t>
                  </w:r>
                </w:p>
              </w:tc>
              <w:tc>
                <w:tcPr>
                  <w:tcW w:w="1296" w:type="dxa"/>
                  <w:vAlign w:val="center"/>
                </w:tcPr>
                <w:p w14:paraId="52396011">
                  <w:pPr>
                    <w:widowControl/>
                    <w:spacing w:line="30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地下水、土壤防治措施</w:t>
                  </w:r>
                </w:p>
              </w:tc>
              <w:tc>
                <w:tcPr>
                  <w:tcW w:w="3579" w:type="dxa"/>
                  <w:vAlign w:val="center"/>
                </w:tcPr>
                <w:p w14:paraId="76524156">
                  <w:pPr>
                    <w:widowControl/>
                    <w:spacing w:line="300" w:lineRule="exact"/>
                    <w:jc w:val="center"/>
                    <w:rPr>
                      <w:rFonts w:hint="default" w:ascii="Times New Roman" w:hAnsi="Times New Roman" w:eastAsia="宋体" w:cs="Times New Roman"/>
                      <w:bCs/>
                      <w:color w:val="auto"/>
                      <w:sz w:val="18"/>
                      <w:szCs w:val="18"/>
                      <w:lang w:eastAsia="zh-CN"/>
                    </w:rPr>
                  </w:pPr>
                  <w:r>
                    <w:rPr>
                      <w:rFonts w:hint="default" w:ascii="Times New Roman" w:hAnsi="Times New Roman" w:cs="Times New Roman"/>
                      <w:bCs/>
                      <w:color w:val="auto"/>
                      <w:sz w:val="18"/>
                      <w:szCs w:val="18"/>
                    </w:rPr>
                    <w:t>地面硬化+防渗处理</w:t>
                  </w:r>
                </w:p>
              </w:tc>
              <w:tc>
                <w:tcPr>
                  <w:tcW w:w="1254" w:type="dxa"/>
                  <w:vAlign w:val="center"/>
                </w:tcPr>
                <w:p w14:paraId="707C34F1">
                  <w:pPr>
                    <w:spacing w:line="240" w:lineRule="atLeast"/>
                    <w:jc w:val="center"/>
                    <w:rPr>
                      <w:rFonts w:hint="default" w:ascii="Times New Roman" w:hAnsi="Times New Roman" w:eastAsia="宋体" w:cs="Times New Roman"/>
                      <w:bCs/>
                      <w:color w:val="auto"/>
                      <w:sz w:val="18"/>
                      <w:szCs w:val="18"/>
                      <w:lang w:val="en-US" w:eastAsia="zh-CN"/>
                    </w:rPr>
                  </w:pPr>
                  <w:r>
                    <w:rPr>
                      <w:rFonts w:hint="eastAsia" w:cs="Times New Roman"/>
                      <w:bCs/>
                      <w:color w:val="auto"/>
                      <w:sz w:val="18"/>
                      <w:szCs w:val="18"/>
                      <w:lang w:val="en-US" w:eastAsia="zh-CN"/>
                    </w:rPr>
                    <w:t>20</w:t>
                  </w:r>
                </w:p>
              </w:tc>
              <w:tc>
                <w:tcPr>
                  <w:tcW w:w="1195" w:type="dxa"/>
                  <w:vMerge w:val="continue"/>
                  <w:vAlign w:val="center"/>
                </w:tcPr>
                <w:p w14:paraId="706ACC78">
                  <w:pPr>
                    <w:widowControl/>
                    <w:spacing w:line="300" w:lineRule="exact"/>
                    <w:jc w:val="center"/>
                    <w:rPr>
                      <w:rFonts w:hint="default" w:ascii="Times New Roman" w:hAnsi="Times New Roman" w:cs="Times New Roman"/>
                      <w:bCs/>
                      <w:color w:val="auto"/>
                      <w:sz w:val="18"/>
                      <w:szCs w:val="18"/>
                    </w:rPr>
                  </w:pPr>
                </w:p>
              </w:tc>
            </w:tr>
            <w:tr w14:paraId="1CE5B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628" w:type="dxa"/>
                  <w:gridSpan w:val="3"/>
                  <w:vAlign w:val="center"/>
                </w:tcPr>
                <w:p w14:paraId="0239EE97">
                  <w:pPr>
                    <w:pStyle w:val="894"/>
                    <w:tabs>
                      <w:tab w:val="clear" w:pos="400"/>
                    </w:tabs>
                    <w:spacing w:line="300" w:lineRule="exact"/>
                    <w:ind w:firstLine="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合计</w:t>
                  </w:r>
                </w:p>
              </w:tc>
              <w:tc>
                <w:tcPr>
                  <w:tcW w:w="1254" w:type="dxa"/>
                  <w:vAlign w:val="center"/>
                </w:tcPr>
                <w:p w14:paraId="78009673">
                  <w:pPr>
                    <w:pStyle w:val="894"/>
                    <w:tabs>
                      <w:tab w:val="clear" w:pos="400"/>
                    </w:tabs>
                    <w:spacing w:line="300" w:lineRule="exact"/>
                    <w:ind w:firstLine="0"/>
                    <w:jc w:val="center"/>
                    <w:rPr>
                      <w:rFonts w:hint="default" w:ascii="Times New Roman" w:hAnsi="Times New Roman" w:cs="Times New Roman"/>
                      <w:bCs/>
                      <w:color w:val="auto"/>
                      <w:sz w:val="18"/>
                      <w:szCs w:val="18"/>
                      <w:lang w:val="en-US"/>
                    </w:rPr>
                  </w:pPr>
                  <w:r>
                    <w:rPr>
                      <w:rFonts w:hint="eastAsia" w:cs="Times New Roman"/>
                      <w:bCs/>
                      <w:color w:val="auto"/>
                      <w:sz w:val="18"/>
                      <w:szCs w:val="18"/>
                      <w:lang w:val="en-US" w:eastAsia="zh-CN"/>
                    </w:rPr>
                    <w:t>200</w:t>
                  </w:r>
                </w:p>
              </w:tc>
              <w:tc>
                <w:tcPr>
                  <w:tcW w:w="1195" w:type="dxa"/>
                  <w:vMerge w:val="continue"/>
                  <w:vAlign w:val="center"/>
                </w:tcPr>
                <w:p w14:paraId="73CD3303">
                  <w:pPr>
                    <w:spacing w:line="240" w:lineRule="atLeast"/>
                    <w:jc w:val="center"/>
                    <w:rPr>
                      <w:rFonts w:hint="default" w:ascii="Times New Roman" w:hAnsi="Times New Roman" w:cs="Times New Roman"/>
                      <w:bCs/>
                      <w:color w:val="auto"/>
                      <w:sz w:val="18"/>
                      <w:szCs w:val="18"/>
                    </w:rPr>
                  </w:pPr>
                </w:p>
              </w:tc>
            </w:tr>
          </w:tbl>
          <w:p w14:paraId="6ECE71EF">
            <w:pPr>
              <w:pStyle w:val="80"/>
              <w:rPr>
                <w:rFonts w:hint="default" w:ascii="Times New Roman" w:hAnsi="Times New Roman" w:cs="Times New Roman"/>
                <w:color w:val="FF0000"/>
              </w:rPr>
            </w:pPr>
          </w:p>
          <w:p w14:paraId="39AA5E04">
            <w:pPr>
              <w:pStyle w:val="80"/>
              <w:ind w:firstLine="0" w:firstLineChars="0"/>
              <w:rPr>
                <w:rFonts w:hint="default" w:ascii="Times New Roman" w:hAnsi="Times New Roman" w:cs="Times New Roman"/>
                <w:color w:val="FF0000"/>
              </w:rPr>
            </w:pPr>
          </w:p>
        </w:tc>
      </w:tr>
    </w:tbl>
    <w:p w14:paraId="45EE2801">
      <w:pPr>
        <w:pStyle w:val="75"/>
        <w:spacing w:line="420" w:lineRule="exact"/>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FF0000"/>
          <w:sz w:val="30"/>
          <w:szCs w:val="30"/>
        </w:rPr>
        <w:br w:type="page"/>
      </w:r>
      <w:r>
        <w:rPr>
          <w:rFonts w:hint="default" w:ascii="Times New Roman" w:hAnsi="Times New Roman" w:eastAsia="黑体" w:cs="Times New Roman"/>
          <w:snapToGrid w:val="0"/>
          <w:color w:val="auto"/>
          <w:sz w:val="30"/>
          <w:szCs w:val="30"/>
        </w:rPr>
        <w:t>五、</w:t>
      </w:r>
      <w:bookmarkStart w:id="20" w:name="_Hlk54167917"/>
      <w:r>
        <w:rPr>
          <w:rFonts w:hint="default" w:ascii="Times New Roman" w:hAnsi="Times New Roman" w:eastAsia="黑体" w:cs="Times New Roman"/>
          <w:snapToGrid w:val="0"/>
          <w:color w:val="auto"/>
          <w:sz w:val="30"/>
          <w:szCs w:val="30"/>
        </w:rPr>
        <w:t>环境保护措施监督检查清单</w:t>
      </w:r>
      <w:bookmarkEnd w:id="20"/>
    </w:p>
    <w:tbl>
      <w:tblPr>
        <w:tblStyle w:val="8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55"/>
        <w:gridCol w:w="1700"/>
        <w:gridCol w:w="1419"/>
        <w:gridCol w:w="1559"/>
        <w:gridCol w:w="2869"/>
      </w:tblGrid>
      <w:tr w14:paraId="4408D7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5" w:type="dxa"/>
            <w:tcBorders>
              <w:tl2br w:val="single" w:color="auto" w:sz="4" w:space="0"/>
            </w:tcBorders>
          </w:tcPr>
          <w:p w14:paraId="34B3540F">
            <w:pPr>
              <w:adjustRightInd w:val="0"/>
              <w:snapToGrid w:val="0"/>
              <w:spacing w:line="300" w:lineRule="exact"/>
              <w:jc w:val="right"/>
              <w:rPr>
                <w:rFonts w:hint="default" w:ascii="Times New Roman" w:hAnsi="Times New Roman" w:cs="Times New Roman"/>
                <w:b/>
                <w:bCs/>
                <w:color w:val="auto"/>
              </w:rPr>
            </w:pPr>
            <w:r>
              <w:rPr>
                <w:rFonts w:hint="default" w:ascii="Times New Roman" w:hAnsi="Times New Roman" w:cs="Times New Roman"/>
                <w:b/>
                <w:bCs/>
                <w:color w:val="auto"/>
              </w:rPr>
              <w:t>内容</w:t>
            </w:r>
          </w:p>
          <w:p w14:paraId="563EF2A6">
            <w:pPr>
              <w:adjustRightInd w:val="0"/>
              <w:snapToGrid w:val="0"/>
              <w:spacing w:line="300" w:lineRule="exact"/>
              <w:rPr>
                <w:rFonts w:hint="default" w:ascii="Times New Roman" w:hAnsi="Times New Roman" w:cs="Times New Roman"/>
                <w:b/>
                <w:bCs/>
                <w:color w:val="auto"/>
              </w:rPr>
            </w:pPr>
            <w:r>
              <w:rPr>
                <w:rFonts w:hint="default" w:ascii="Times New Roman" w:hAnsi="Times New Roman" w:cs="Times New Roman"/>
                <w:b/>
                <w:bCs/>
                <w:color w:val="auto"/>
              </w:rPr>
              <w:t>要素</w:t>
            </w:r>
          </w:p>
        </w:tc>
        <w:tc>
          <w:tcPr>
            <w:tcW w:w="1700" w:type="dxa"/>
            <w:vAlign w:val="center"/>
          </w:tcPr>
          <w:p w14:paraId="5C18AF10">
            <w:pPr>
              <w:adjustRightInd w:val="0"/>
              <w:snapToGrid w:val="0"/>
              <w:spacing w:line="300" w:lineRule="exact"/>
              <w:jc w:val="center"/>
              <w:rPr>
                <w:rFonts w:hint="default" w:ascii="Times New Roman" w:hAnsi="Times New Roman" w:cs="Times New Roman"/>
                <w:b/>
                <w:bCs/>
                <w:color w:val="auto"/>
              </w:rPr>
            </w:pPr>
            <w:r>
              <w:rPr>
                <w:rFonts w:hint="default" w:ascii="Times New Roman" w:hAnsi="Times New Roman" w:cs="Times New Roman"/>
                <w:b/>
                <w:bCs/>
                <w:color w:val="auto"/>
              </w:rPr>
              <w:t>排放口（编号、</w:t>
            </w:r>
          </w:p>
          <w:p w14:paraId="27EBD5EB">
            <w:pPr>
              <w:adjustRightInd w:val="0"/>
              <w:snapToGrid w:val="0"/>
              <w:spacing w:line="300" w:lineRule="exact"/>
              <w:jc w:val="center"/>
              <w:rPr>
                <w:rFonts w:hint="default" w:ascii="Times New Roman" w:hAnsi="Times New Roman" w:cs="Times New Roman"/>
                <w:b/>
                <w:bCs/>
                <w:color w:val="auto"/>
              </w:rPr>
            </w:pPr>
            <w:r>
              <w:rPr>
                <w:rFonts w:hint="default" w:ascii="Times New Roman" w:hAnsi="Times New Roman" w:cs="Times New Roman"/>
                <w:b/>
                <w:bCs/>
                <w:color w:val="auto"/>
              </w:rPr>
              <w:t>名称）/污染源</w:t>
            </w:r>
          </w:p>
        </w:tc>
        <w:tc>
          <w:tcPr>
            <w:tcW w:w="1419" w:type="dxa"/>
            <w:vAlign w:val="center"/>
          </w:tcPr>
          <w:p w14:paraId="35BA00CA">
            <w:pPr>
              <w:adjustRightInd w:val="0"/>
              <w:snapToGrid w:val="0"/>
              <w:spacing w:line="300" w:lineRule="exact"/>
              <w:jc w:val="center"/>
              <w:rPr>
                <w:rFonts w:hint="default" w:ascii="Times New Roman" w:hAnsi="Times New Roman" w:cs="Times New Roman"/>
                <w:b/>
                <w:bCs/>
                <w:color w:val="auto"/>
              </w:rPr>
            </w:pPr>
            <w:r>
              <w:rPr>
                <w:rFonts w:hint="default" w:ascii="Times New Roman" w:hAnsi="Times New Roman" w:cs="Times New Roman"/>
                <w:b/>
                <w:bCs/>
                <w:color w:val="auto"/>
              </w:rPr>
              <w:t>污染物项目</w:t>
            </w:r>
          </w:p>
        </w:tc>
        <w:tc>
          <w:tcPr>
            <w:tcW w:w="1559" w:type="dxa"/>
            <w:vAlign w:val="center"/>
          </w:tcPr>
          <w:p w14:paraId="7B91B22F">
            <w:pPr>
              <w:adjustRightInd w:val="0"/>
              <w:snapToGrid w:val="0"/>
              <w:spacing w:line="300" w:lineRule="exact"/>
              <w:jc w:val="center"/>
              <w:rPr>
                <w:rFonts w:hint="default" w:ascii="Times New Roman" w:hAnsi="Times New Roman" w:cs="Times New Roman"/>
                <w:b/>
                <w:bCs/>
                <w:color w:val="auto"/>
              </w:rPr>
            </w:pPr>
            <w:r>
              <w:rPr>
                <w:rFonts w:hint="default" w:ascii="Times New Roman" w:hAnsi="Times New Roman" w:cs="Times New Roman"/>
                <w:b/>
                <w:bCs/>
                <w:color w:val="auto"/>
              </w:rPr>
              <w:t>环境保护措施</w:t>
            </w:r>
          </w:p>
        </w:tc>
        <w:tc>
          <w:tcPr>
            <w:tcW w:w="2869" w:type="dxa"/>
            <w:vAlign w:val="center"/>
          </w:tcPr>
          <w:p w14:paraId="238312F4">
            <w:pPr>
              <w:adjustRightInd w:val="0"/>
              <w:snapToGrid w:val="0"/>
              <w:spacing w:line="300" w:lineRule="exact"/>
              <w:jc w:val="center"/>
              <w:rPr>
                <w:rFonts w:hint="default" w:ascii="Times New Roman" w:hAnsi="Times New Roman" w:cs="Times New Roman"/>
                <w:b/>
                <w:bCs/>
                <w:color w:val="auto"/>
              </w:rPr>
            </w:pPr>
            <w:r>
              <w:rPr>
                <w:rFonts w:hint="default" w:ascii="Times New Roman" w:hAnsi="Times New Roman" w:cs="Times New Roman"/>
                <w:b/>
                <w:bCs/>
                <w:color w:val="auto"/>
              </w:rPr>
              <w:t>执行标准</w:t>
            </w:r>
          </w:p>
        </w:tc>
      </w:tr>
      <w:tr w14:paraId="78BB12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255" w:type="dxa"/>
            <w:vMerge w:val="restart"/>
            <w:vAlign w:val="center"/>
          </w:tcPr>
          <w:p w14:paraId="553AB95A">
            <w:pPr>
              <w:adjustRightInd w:val="0"/>
              <w:snapToGrid w:val="0"/>
              <w:spacing w:line="300" w:lineRule="exact"/>
              <w:jc w:val="center"/>
              <w:rPr>
                <w:rFonts w:hint="default" w:ascii="Times New Roman" w:hAnsi="Times New Roman" w:cs="Times New Roman"/>
                <w:color w:val="auto"/>
              </w:rPr>
            </w:pPr>
            <w:r>
              <w:rPr>
                <w:rFonts w:hint="default" w:ascii="Times New Roman" w:hAnsi="Times New Roman" w:cs="Times New Roman"/>
                <w:color w:val="auto"/>
              </w:rPr>
              <w:t>大气环境</w:t>
            </w:r>
          </w:p>
        </w:tc>
        <w:tc>
          <w:tcPr>
            <w:tcW w:w="1700" w:type="dxa"/>
            <w:vMerge w:val="restart"/>
            <w:vAlign w:val="center"/>
          </w:tcPr>
          <w:p w14:paraId="33A5921B">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DA001</w:t>
            </w:r>
          </w:p>
        </w:tc>
        <w:tc>
          <w:tcPr>
            <w:tcW w:w="1419" w:type="dxa"/>
            <w:vAlign w:val="center"/>
          </w:tcPr>
          <w:p w14:paraId="0466A5ED">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eastAsia="zh-CN"/>
              </w:rPr>
              <w:t>颗粒物</w:t>
            </w:r>
            <w:r>
              <w:rPr>
                <w:rFonts w:hint="eastAsia" w:cs="Times New Roman"/>
                <w:color w:val="auto"/>
                <w:highlight w:val="none"/>
                <w:lang w:eastAsia="zh-CN"/>
              </w:rPr>
              <w:t>、</w:t>
            </w:r>
            <w:r>
              <w:rPr>
                <w:rFonts w:hint="eastAsia" w:cs="Times New Roman"/>
                <w:color w:val="auto"/>
                <w:highlight w:val="none"/>
                <w:lang w:val="en-US" w:eastAsia="zh-CN"/>
              </w:rPr>
              <w:t>SO</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、NOx</w:t>
            </w:r>
          </w:p>
        </w:tc>
        <w:tc>
          <w:tcPr>
            <w:tcW w:w="1559" w:type="dxa"/>
            <w:vMerge w:val="restart"/>
            <w:vAlign w:val="center"/>
          </w:tcPr>
          <w:p w14:paraId="44B51FDE">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布袋除尘器+水喷淋</w:t>
            </w:r>
          </w:p>
        </w:tc>
        <w:tc>
          <w:tcPr>
            <w:tcW w:w="2869" w:type="dxa"/>
            <w:vAlign w:val="center"/>
          </w:tcPr>
          <w:p w14:paraId="558691D0">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aps w:val="0"/>
                <w:color w:val="auto"/>
                <w:spacing w:val="0"/>
                <w:sz w:val="21"/>
                <w:szCs w:val="21"/>
                <w:highlight w:val="none"/>
                <w:lang w:val="en-US" w:eastAsia="zh-CN"/>
              </w:rPr>
              <w:t>《区域性大气污染物综合排放标准》（DB37/2376-2019）表1大气污染物排放浓度限值中重点控制区限值要求</w:t>
            </w:r>
          </w:p>
        </w:tc>
      </w:tr>
      <w:tr w14:paraId="77DDC6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77" w:hRule="atLeast"/>
          <w:jc w:val="center"/>
        </w:trPr>
        <w:tc>
          <w:tcPr>
            <w:tcW w:w="1255" w:type="dxa"/>
            <w:vMerge w:val="continue"/>
            <w:vAlign w:val="center"/>
          </w:tcPr>
          <w:p w14:paraId="530EF4FF">
            <w:pPr>
              <w:adjustRightInd w:val="0"/>
              <w:snapToGrid w:val="0"/>
              <w:spacing w:line="300" w:lineRule="exact"/>
              <w:jc w:val="center"/>
              <w:rPr>
                <w:rFonts w:hint="default" w:ascii="Times New Roman" w:hAnsi="Times New Roman" w:cs="Times New Roman"/>
                <w:color w:val="auto"/>
              </w:rPr>
            </w:pPr>
          </w:p>
        </w:tc>
        <w:tc>
          <w:tcPr>
            <w:tcW w:w="1700" w:type="dxa"/>
            <w:vMerge w:val="continue"/>
            <w:vAlign w:val="center"/>
          </w:tcPr>
          <w:p w14:paraId="6DF9494F">
            <w:pPr>
              <w:adjustRightInd w:val="0"/>
              <w:snapToGrid w:val="0"/>
              <w:spacing w:line="300" w:lineRule="exact"/>
              <w:jc w:val="center"/>
              <w:rPr>
                <w:rFonts w:hint="default" w:ascii="Times New Roman" w:hAnsi="Times New Roman" w:cs="Times New Roman"/>
                <w:color w:val="auto"/>
                <w:highlight w:val="none"/>
                <w:lang w:val="en-US" w:eastAsia="zh-CN"/>
              </w:rPr>
            </w:pPr>
          </w:p>
        </w:tc>
        <w:tc>
          <w:tcPr>
            <w:tcW w:w="1419" w:type="dxa"/>
            <w:vAlign w:val="center"/>
          </w:tcPr>
          <w:p w14:paraId="33A2A6F8">
            <w:pPr>
              <w:adjustRightInd w:val="0"/>
              <w:snapToGrid w:val="0"/>
              <w:spacing w:line="300" w:lineRule="exact"/>
              <w:jc w:val="center"/>
              <w:rPr>
                <w:rFonts w:hint="default" w:ascii="Times New Roman" w:hAnsi="Times New Roman" w:cs="Times New Roman"/>
                <w:color w:val="auto"/>
                <w:highlight w:val="none"/>
                <w:lang w:eastAsia="zh-CN"/>
              </w:rPr>
            </w:pPr>
            <w:r>
              <w:rPr>
                <w:rFonts w:hint="eastAsia" w:cs="Times New Roman"/>
                <w:color w:val="auto"/>
                <w:highlight w:val="none"/>
                <w:lang w:val="en-US" w:eastAsia="zh-CN"/>
              </w:rPr>
              <w:t>氨气、臭气浓度</w:t>
            </w:r>
          </w:p>
        </w:tc>
        <w:tc>
          <w:tcPr>
            <w:tcW w:w="1559" w:type="dxa"/>
            <w:vMerge w:val="continue"/>
            <w:vAlign w:val="center"/>
          </w:tcPr>
          <w:p w14:paraId="469932CB">
            <w:pPr>
              <w:adjustRightInd w:val="0"/>
              <w:snapToGrid w:val="0"/>
              <w:spacing w:line="300" w:lineRule="exact"/>
              <w:jc w:val="center"/>
              <w:rPr>
                <w:rFonts w:hint="eastAsia" w:cs="Times New Roman"/>
                <w:color w:val="auto"/>
                <w:highlight w:val="none"/>
                <w:lang w:val="en-US" w:eastAsia="zh-CN"/>
              </w:rPr>
            </w:pPr>
          </w:p>
        </w:tc>
        <w:tc>
          <w:tcPr>
            <w:tcW w:w="2869" w:type="dxa"/>
            <w:vAlign w:val="center"/>
          </w:tcPr>
          <w:p w14:paraId="0501D25E">
            <w:pPr>
              <w:adjustRightInd w:val="0"/>
              <w:snapToGrid w:val="0"/>
              <w:spacing w:line="30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《恶臭污染物排放标准》（GB14554-93）</w:t>
            </w:r>
            <w:r>
              <w:rPr>
                <w:rFonts w:hint="default" w:ascii="Times New Roman" w:hAnsi="Times New Roman" w:cs="Times New Roman"/>
                <w:color w:val="auto"/>
                <w:highlight w:val="none"/>
                <w:lang w:val="en-US" w:eastAsia="zh-CN"/>
              </w:rPr>
              <w:t>表2</w:t>
            </w:r>
            <w:r>
              <w:rPr>
                <w:rFonts w:hint="default" w:ascii="Times New Roman" w:hAnsi="Times New Roman" w:cs="Times New Roman"/>
                <w:color w:val="auto"/>
                <w:highlight w:val="none"/>
              </w:rPr>
              <w:t>中标准</w:t>
            </w:r>
          </w:p>
        </w:tc>
      </w:tr>
      <w:tr w14:paraId="7822D8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77" w:hRule="atLeast"/>
          <w:jc w:val="center"/>
        </w:trPr>
        <w:tc>
          <w:tcPr>
            <w:tcW w:w="1255" w:type="dxa"/>
            <w:vMerge w:val="continue"/>
            <w:vAlign w:val="center"/>
          </w:tcPr>
          <w:p w14:paraId="0D84D559">
            <w:pPr>
              <w:adjustRightInd w:val="0"/>
              <w:snapToGrid w:val="0"/>
              <w:spacing w:line="300" w:lineRule="exact"/>
              <w:jc w:val="center"/>
              <w:rPr>
                <w:rFonts w:hint="default" w:ascii="Times New Roman" w:hAnsi="Times New Roman" w:cs="Times New Roman"/>
                <w:color w:val="auto"/>
              </w:rPr>
            </w:pPr>
          </w:p>
        </w:tc>
        <w:tc>
          <w:tcPr>
            <w:tcW w:w="1700" w:type="dxa"/>
            <w:vAlign w:val="center"/>
          </w:tcPr>
          <w:p w14:paraId="0440C040">
            <w:pPr>
              <w:adjustRightInd w:val="0"/>
              <w:snapToGrid w:val="0"/>
              <w:spacing w:line="300" w:lineRule="exact"/>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DA002</w:t>
            </w:r>
            <w:r>
              <w:rPr>
                <w:rFonts w:hint="eastAsia" w:cs="Times New Roman"/>
                <w:color w:val="auto"/>
                <w:highlight w:val="none"/>
                <w:lang w:val="en-US" w:eastAsia="zh-CN"/>
              </w:rPr>
              <w:t>、DA003</w:t>
            </w:r>
          </w:p>
        </w:tc>
        <w:tc>
          <w:tcPr>
            <w:tcW w:w="1419" w:type="dxa"/>
            <w:vAlign w:val="center"/>
          </w:tcPr>
          <w:p w14:paraId="2CB02B3F">
            <w:pPr>
              <w:adjustRightInd w:val="0"/>
              <w:snapToGrid w:val="0"/>
              <w:spacing w:line="300" w:lineRule="exact"/>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eastAsia="zh-CN"/>
              </w:rPr>
              <w:t>颗粒物</w:t>
            </w:r>
          </w:p>
        </w:tc>
        <w:tc>
          <w:tcPr>
            <w:tcW w:w="1559" w:type="dxa"/>
            <w:vAlign w:val="center"/>
          </w:tcPr>
          <w:p w14:paraId="78B2E354">
            <w:pPr>
              <w:adjustRightInd w:val="0"/>
              <w:snapToGrid w:val="0"/>
              <w:spacing w:line="300" w:lineRule="exact"/>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布袋除尘器</w:t>
            </w:r>
          </w:p>
        </w:tc>
        <w:tc>
          <w:tcPr>
            <w:tcW w:w="2869" w:type="dxa"/>
            <w:vAlign w:val="center"/>
          </w:tcPr>
          <w:p w14:paraId="25BFC695">
            <w:pPr>
              <w:adjustRightInd w:val="0"/>
              <w:snapToGrid w:val="0"/>
              <w:spacing w:line="300" w:lineRule="exact"/>
              <w:jc w:val="center"/>
              <w:rPr>
                <w:rFonts w:hint="default" w:ascii="Times New Roman" w:hAnsi="Times New Roman" w:cs="Times New Roman"/>
                <w:color w:val="auto"/>
                <w:highlight w:val="none"/>
              </w:rPr>
            </w:pPr>
            <w:r>
              <w:rPr>
                <w:rFonts w:hint="default" w:ascii="Times New Roman" w:hAnsi="Times New Roman" w:eastAsia="宋体" w:cs="Times New Roman"/>
                <w:caps w:val="0"/>
                <w:color w:val="auto"/>
                <w:spacing w:val="0"/>
                <w:sz w:val="21"/>
                <w:szCs w:val="21"/>
                <w:highlight w:val="none"/>
                <w:lang w:val="en-US" w:eastAsia="zh-CN"/>
              </w:rPr>
              <w:t>《区域性大气污染物综合排放标准》（DB37/2376-2019）表1大气污染物排放浓度限值中重点控制区限值要求</w:t>
            </w:r>
          </w:p>
        </w:tc>
      </w:tr>
      <w:tr w14:paraId="7E3F8E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255" w:type="dxa"/>
            <w:vMerge w:val="continue"/>
            <w:vAlign w:val="center"/>
          </w:tcPr>
          <w:p w14:paraId="6498A48C">
            <w:pPr>
              <w:adjustRightInd w:val="0"/>
              <w:snapToGrid w:val="0"/>
              <w:spacing w:line="300" w:lineRule="exact"/>
              <w:jc w:val="center"/>
              <w:rPr>
                <w:rFonts w:hint="default" w:ascii="Times New Roman" w:hAnsi="Times New Roman" w:cs="Times New Roman"/>
                <w:color w:val="auto"/>
              </w:rPr>
            </w:pPr>
          </w:p>
        </w:tc>
        <w:tc>
          <w:tcPr>
            <w:tcW w:w="1700" w:type="dxa"/>
            <w:vAlign w:val="center"/>
          </w:tcPr>
          <w:p w14:paraId="61725916">
            <w:pPr>
              <w:adjustRightInd w:val="0"/>
              <w:snapToGrid w:val="0"/>
              <w:spacing w:line="300" w:lineRule="exact"/>
              <w:jc w:val="center"/>
              <w:rPr>
                <w:rFonts w:hint="default" w:ascii="Times New Roman" w:hAnsi="Times New Roman" w:eastAsia="宋体" w:cs="Times New Roman"/>
                <w:color w:val="auto"/>
                <w:lang w:val="en-US" w:eastAsia="zh-CN"/>
              </w:rPr>
            </w:pPr>
            <w:r>
              <w:rPr>
                <w:rFonts w:hint="eastAsia" w:cs="Times New Roman"/>
                <w:color w:val="auto"/>
                <w:lang w:val="en-US" w:eastAsia="zh-CN"/>
              </w:rPr>
              <w:t>食堂油烟排气筒</w:t>
            </w:r>
          </w:p>
        </w:tc>
        <w:tc>
          <w:tcPr>
            <w:tcW w:w="1419" w:type="dxa"/>
            <w:vAlign w:val="center"/>
          </w:tcPr>
          <w:p w14:paraId="133DF49B">
            <w:pPr>
              <w:adjustRightInd w:val="0"/>
              <w:snapToGrid w:val="0"/>
              <w:spacing w:line="300" w:lineRule="exact"/>
              <w:jc w:val="center"/>
              <w:rPr>
                <w:rFonts w:hint="default" w:ascii="Times New Roman" w:hAnsi="Times New Roman" w:cs="Times New Roman"/>
                <w:color w:val="auto"/>
                <w:lang w:eastAsia="zh-CN"/>
              </w:rPr>
            </w:pPr>
            <w:r>
              <w:rPr>
                <w:rFonts w:hint="eastAsia" w:cs="Times New Roman"/>
                <w:color w:val="auto"/>
                <w:lang w:val="en-US" w:eastAsia="zh-CN"/>
              </w:rPr>
              <w:t>油烟</w:t>
            </w:r>
          </w:p>
        </w:tc>
        <w:tc>
          <w:tcPr>
            <w:tcW w:w="1559" w:type="dxa"/>
            <w:vAlign w:val="center"/>
          </w:tcPr>
          <w:p w14:paraId="2A2D8447">
            <w:pPr>
              <w:adjustRightInd w:val="0"/>
              <w:snapToGrid w:val="0"/>
              <w:spacing w:line="300" w:lineRule="exact"/>
              <w:jc w:val="center"/>
              <w:rPr>
                <w:rFonts w:hint="eastAsia" w:ascii="Times New Roman" w:hAnsi="Times New Roman" w:eastAsia="宋体" w:cs="Times New Roman"/>
                <w:color w:val="auto"/>
                <w:lang w:val="en-US" w:eastAsia="zh-CN"/>
              </w:rPr>
            </w:pPr>
            <w:r>
              <w:rPr>
                <w:rFonts w:hint="eastAsia" w:cs="Times New Roman"/>
                <w:color w:val="auto"/>
                <w:lang w:val="en-US" w:eastAsia="zh-CN"/>
              </w:rPr>
              <w:t>油烟净化器</w:t>
            </w:r>
          </w:p>
        </w:tc>
        <w:tc>
          <w:tcPr>
            <w:tcW w:w="2869" w:type="dxa"/>
            <w:vAlign w:val="center"/>
          </w:tcPr>
          <w:p w14:paraId="58841CE8">
            <w:pPr>
              <w:adjustRightInd w:val="0"/>
              <w:snapToGrid w:val="0"/>
              <w:spacing w:line="300" w:lineRule="exact"/>
              <w:jc w:val="center"/>
              <w:rPr>
                <w:rFonts w:hint="default" w:ascii="Times New Roman" w:hAnsi="Times New Roman" w:cs="Times New Roman"/>
                <w:color w:val="auto"/>
              </w:rPr>
            </w:pPr>
            <w:r>
              <w:rPr>
                <w:rFonts w:hint="default" w:ascii="Times New Roman" w:hAnsi="Times New Roman" w:cs="Times New Roman"/>
                <w:color w:val="auto"/>
              </w:rPr>
              <w:t>《山东省饮食油烟排放标准》（DB37/597-2006）小型饮食业单位标准</w:t>
            </w:r>
          </w:p>
        </w:tc>
      </w:tr>
      <w:tr w14:paraId="561B3C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255" w:type="dxa"/>
            <w:vMerge w:val="continue"/>
            <w:vAlign w:val="center"/>
          </w:tcPr>
          <w:p w14:paraId="50FCFBAB">
            <w:pPr>
              <w:adjustRightInd w:val="0"/>
              <w:snapToGrid w:val="0"/>
              <w:spacing w:line="300" w:lineRule="exact"/>
              <w:jc w:val="center"/>
              <w:rPr>
                <w:rFonts w:hint="default" w:ascii="Times New Roman" w:hAnsi="Times New Roman" w:cs="Times New Roman"/>
                <w:color w:val="auto"/>
              </w:rPr>
            </w:pPr>
          </w:p>
        </w:tc>
        <w:tc>
          <w:tcPr>
            <w:tcW w:w="1700" w:type="dxa"/>
            <w:vMerge w:val="restart"/>
            <w:vAlign w:val="center"/>
          </w:tcPr>
          <w:p w14:paraId="0A37B6A4">
            <w:pPr>
              <w:adjustRightInd w:val="0"/>
              <w:snapToGrid w:val="0"/>
              <w:spacing w:line="300" w:lineRule="exact"/>
              <w:jc w:val="center"/>
              <w:rPr>
                <w:rFonts w:hint="default" w:ascii="Times New Roman" w:hAnsi="Times New Roman" w:cs="Times New Roman"/>
                <w:color w:val="auto"/>
              </w:rPr>
            </w:pPr>
            <w:r>
              <w:rPr>
                <w:rFonts w:hint="default" w:ascii="Times New Roman" w:hAnsi="Times New Roman" w:cs="Times New Roman"/>
                <w:color w:val="auto"/>
              </w:rPr>
              <w:t>厂界无组织</w:t>
            </w:r>
          </w:p>
        </w:tc>
        <w:tc>
          <w:tcPr>
            <w:tcW w:w="1419" w:type="dxa"/>
            <w:vAlign w:val="center"/>
          </w:tcPr>
          <w:p w14:paraId="1179F3B0">
            <w:pPr>
              <w:adjustRightInd w:val="0"/>
              <w:snapToGrid w:val="0"/>
              <w:spacing w:line="300" w:lineRule="exact"/>
              <w:jc w:val="center"/>
              <w:rPr>
                <w:rFonts w:hint="default" w:ascii="Times New Roman" w:hAnsi="Times New Roman" w:cs="Times New Roman"/>
                <w:color w:val="auto"/>
              </w:rPr>
            </w:pPr>
            <w:r>
              <w:rPr>
                <w:rFonts w:hint="default" w:ascii="Times New Roman" w:hAnsi="Times New Roman" w:cs="Times New Roman"/>
                <w:color w:val="auto"/>
                <w:lang w:eastAsia="zh-CN"/>
              </w:rPr>
              <w:t>颗粒物</w:t>
            </w:r>
          </w:p>
        </w:tc>
        <w:tc>
          <w:tcPr>
            <w:tcW w:w="1559" w:type="dxa"/>
            <w:vMerge w:val="restart"/>
            <w:vAlign w:val="center"/>
          </w:tcPr>
          <w:p w14:paraId="448D7376">
            <w:pPr>
              <w:adjustRightInd w:val="0"/>
              <w:snapToGrid w:val="0"/>
              <w:spacing w:line="300" w:lineRule="exact"/>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加强管理</w:t>
            </w:r>
            <w:r>
              <w:rPr>
                <w:rFonts w:hint="eastAsia" w:cs="Times New Roman"/>
                <w:color w:val="auto"/>
                <w:lang w:eastAsia="zh-CN"/>
              </w:rPr>
              <w:t>、</w:t>
            </w:r>
            <w:r>
              <w:rPr>
                <w:rFonts w:hint="eastAsia" w:cs="Times New Roman"/>
                <w:color w:val="auto"/>
                <w:lang w:val="en-US" w:eastAsia="zh-CN"/>
              </w:rPr>
              <w:t>洒水降尘</w:t>
            </w:r>
          </w:p>
        </w:tc>
        <w:tc>
          <w:tcPr>
            <w:tcW w:w="2869" w:type="dxa"/>
            <w:vAlign w:val="center"/>
          </w:tcPr>
          <w:p w14:paraId="5C71619C">
            <w:pPr>
              <w:adjustRightInd w:val="0"/>
              <w:snapToGrid w:val="0"/>
              <w:spacing w:line="300" w:lineRule="exact"/>
              <w:jc w:val="center"/>
              <w:rPr>
                <w:rFonts w:hint="default" w:ascii="Times New Roman" w:hAnsi="Times New Roman" w:cs="Times New Roman"/>
                <w:color w:val="auto"/>
              </w:rPr>
            </w:pPr>
            <w:r>
              <w:rPr>
                <w:rFonts w:hint="default" w:ascii="Times New Roman" w:hAnsi="Times New Roman" w:cs="Times New Roman"/>
                <w:color w:val="auto"/>
              </w:rPr>
              <w:t>《大气污染物</w:t>
            </w:r>
            <w:r>
              <w:rPr>
                <w:rFonts w:hint="default" w:ascii="Times New Roman" w:hAnsi="Times New Roman" w:cs="Times New Roman"/>
                <w:color w:val="auto"/>
                <w:lang w:eastAsia="zh-CN"/>
              </w:rPr>
              <w:t>综合</w:t>
            </w:r>
            <w:r>
              <w:rPr>
                <w:rFonts w:hint="default" w:ascii="Times New Roman" w:hAnsi="Times New Roman" w:cs="Times New Roman"/>
                <w:color w:val="auto"/>
              </w:rPr>
              <w:t>排放标准》（</w:t>
            </w:r>
            <w:r>
              <w:rPr>
                <w:rFonts w:hint="default" w:ascii="Times New Roman" w:hAnsi="Times New Roman" w:cs="Times New Roman"/>
                <w:color w:val="auto"/>
                <w:lang w:val="en-US" w:eastAsia="zh-CN"/>
              </w:rPr>
              <w:t>GB16297-1996</w:t>
            </w:r>
            <w:r>
              <w:rPr>
                <w:rFonts w:hint="default" w:ascii="Times New Roman" w:hAnsi="Times New Roman" w:cs="Times New Roman"/>
                <w:color w:val="auto"/>
              </w:rPr>
              <w:t>）表</w:t>
            </w:r>
            <w:r>
              <w:rPr>
                <w:rFonts w:hint="default" w:ascii="Times New Roman" w:hAnsi="Times New Roman" w:cs="Times New Roman"/>
                <w:color w:val="auto"/>
                <w:lang w:val="en-US" w:eastAsia="zh-CN"/>
              </w:rPr>
              <w:t>2</w:t>
            </w:r>
            <w:r>
              <w:rPr>
                <w:rFonts w:hint="default" w:ascii="Times New Roman" w:hAnsi="Times New Roman" w:cs="Times New Roman"/>
                <w:color w:val="auto"/>
              </w:rPr>
              <w:t>排放监控浓度限值</w:t>
            </w:r>
          </w:p>
        </w:tc>
      </w:tr>
      <w:tr w14:paraId="5C2CDE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255" w:type="dxa"/>
            <w:vMerge w:val="continue"/>
            <w:vAlign w:val="center"/>
          </w:tcPr>
          <w:p w14:paraId="3B01D50B">
            <w:pPr>
              <w:adjustRightInd w:val="0"/>
              <w:snapToGrid w:val="0"/>
              <w:spacing w:line="300" w:lineRule="exact"/>
              <w:jc w:val="center"/>
            </w:pPr>
          </w:p>
        </w:tc>
        <w:tc>
          <w:tcPr>
            <w:tcW w:w="1700" w:type="dxa"/>
            <w:vMerge w:val="continue"/>
            <w:vAlign w:val="center"/>
          </w:tcPr>
          <w:p w14:paraId="03D4165D">
            <w:pPr>
              <w:adjustRightInd w:val="0"/>
              <w:snapToGrid w:val="0"/>
              <w:spacing w:line="300" w:lineRule="exact"/>
              <w:jc w:val="center"/>
            </w:pPr>
          </w:p>
        </w:tc>
        <w:tc>
          <w:tcPr>
            <w:tcW w:w="1419" w:type="dxa"/>
            <w:vAlign w:val="center"/>
          </w:tcPr>
          <w:p w14:paraId="5EEECB76">
            <w:pPr>
              <w:adjustRightInd w:val="0"/>
              <w:snapToGrid w:val="0"/>
              <w:spacing w:line="300" w:lineRule="exact"/>
              <w:jc w:val="center"/>
              <w:rPr>
                <w:rFonts w:hint="eastAsia" w:cs="Times New Roman"/>
                <w:color w:val="auto"/>
                <w:lang w:val="en-US" w:eastAsia="zh-CN"/>
              </w:rPr>
            </w:pPr>
            <w:r>
              <w:rPr>
                <w:rFonts w:hint="eastAsia" w:cs="Times New Roman"/>
                <w:color w:val="auto"/>
                <w:lang w:val="en-US" w:eastAsia="zh-CN"/>
              </w:rPr>
              <w:t>氨</w:t>
            </w:r>
          </w:p>
        </w:tc>
        <w:tc>
          <w:tcPr>
            <w:tcW w:w="1559" w:type="dxa"/>
            <w:vMerge w:val="continue"/>
            <w:vAlign w:val="center"/>
          </w:tcPr>
          <w:p w14:paraId="24EDD147">
            <w:pPr>
              <w:adjustRightInd w:val="0"/>
              <w:snapToGrid w:val="0"/>
              <w:spacing w:line="300" w:lineRule="exact"/>
              <w:jc w:val="center"/>
              <w:rPr>
                <w:rFonts w:hint="default" w:ascii="Times New Roman" w:hAnsi="Times New Roman" w:cs="Times New Roman"/>
                <w:color w:val="auto"/>
                <w:lang w:eastAsia="zh-CN"/>
              </w:rPr>
            </w:pPr>
          </w:p>
        </w:tc>
        <w:tc>
          <w:tcPr>
            <w:tcW w:w="2869" w:type="dxa"/>
            <w:vAlign w:val="center"/>
          </w:tcPr>
          <w:p w14:paraId="08781432">
            <w:pPr>
              <w:adjustRightInd w:val="0"/>
              <w:snapToGrid w:val="0"/>
              <w:spacing w:line="300" w:lineRule="exact"/>
              <w:jc w:val="center"/>
              <w:rPr>
                <w:rFonts w:hint="default" w:ascii="Times New Roman" w:hAnsi="Times New Roman" w:cs="Times New Roman"/>
                <w:color w:val="auto"/>
                <w:lang w:eastAsia="zh-CN"/>
              </w:rPr>
            </w:pPr>
            <w:r>
              <w:rPr>
                <w:rFonts w:hint="default" w:ascii="Times New Roman" w:hAnsi="Times New Roman" w:cs="Times New Roman"/>
                <w:color w:val="auto"/>
                <w:lang w:eastAsia="zh-CN"/>
              </w:rPr>
              <w:t>《恶臭污染物排放标准》（GB14554-93）表1中二级</w:t>
            </w:r>
            <w:r>
              <w:rPr>
                <w:rFonts w:hint="eastAsia" w:cs="Times New Roman"/>
                <w:color w:val="auto"/>
                <w:lang w:eastAsia="zh-CN"/>
              </w:rPr>
              <w:t>标准</w:t>
            </w:r>
          </w:p>
        </w:tc>
      </w:tr>
      <w:tr w14:paraId="5786E0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255" w:type="dxa"/>
            <w:vMerge w:val="continue"/>
            <w:vAlign w:val="center"/>
          </w:tcPr>
          <w:p w14:paraId="6CAFA475">
            <w:pPr>
              <w:adjustRightInd w:val="0"/>
              <w:snapToGrid w:val="0"/>
              <w:spacing w:line="300" w:lineRule="exact"/>
              <w:jc w:val="center"/>
            </w:pPr>
          </w:p>
        </w:tc>
        <w:tc>
          <w:tcPr>
            <w:tcW w:w="1700" w:type="dxa"/>
            <w:vMerge w:val="continue"/>
            <w:vAlign w:val="center"/>
          </w:tcPr>
          <w:p w14:paraId="3E39FF2E">
            <w:pPr>
              <w:adjustRightInd w:val="0"/>
              <w:snapToGrid w:val="0"/>
              <w:spacing w:line="300" w:lineRule="exact"/>
              <w:jc w:val="center"/>
            </w:pPr>
          </w:p>
        </w:tc>
        <w:tc>
          <w:tcPr>
            <w:tcW w:w="1419" w:type="dxa"/>
            <w:vAlign w:val="center"/>
          </w:tcPr>
          <w:p w14:paraId="5D852C5E">
            <w:pPr>
              <w:adjustRightInd w:val="0"/>
              <w:snapToGrid w:val="0"/>
              <w:spacing w:line="300" w:lineRule="exact"/>
              <w:jc w:val="center"/>
              <w:rPr>
                <w:rFonts w:hint="default" w:ascii="Times New Roman" w:hAnsi="Times New Roman" w:cs="Times New Roman"/>
                <w:color w:val="auto"/>
                <w:lang w:val="en-US" w:eastAsia="zh-CN"/>
              </w:rPr>
            </w:pPr>
            <w:r>
              <w:rPr>
                <w:rFonts w:hint="eastAsia" w:cs="Times New Roman"/>
                <w:color w:val="auto"/>
                <w:lang w:val="en-US" w:eastAsia="zh-CN"/>
              </w:rPr>
              <w:t>臭气浓度</w:t>
            </w:r>
          </w:p>
        </w:tc>
        <w:tc>
          <w:tcPr>
            <w:tcW w:w="1559" w:type="dxa"/>
            <w:vMerge w:val="continue"/>
            <w:vAlign w:val="center"/>
          </w:tcPr>
          <w:p w14:paraId="56306DD5">
            <w:pPr>
              <w:adjustRightInd w:val="0"/>
              <w:snapToGrid w:val="0"/>
              <w:spacing w:line="300" w:lineRule="exact"/>
              <w:jc w:val="center"/>
              <w:rPr>
                <w:rFonts w:hint="default" w:ascii="Times New Roman" w:hAnsi="Times New Roman" w:cs="Times New Roman"/>
                <w:color w:val="auto"/>
                <w:lang w:eastAsia="zh-CN"/>
              </w:rPr>
            </w:pPr>
          </w:p>
        </w:tc>
        <w:tc>
          <w:tcPr>
            <w:tcW w:w="2869" w:type="dxa"/>
            <w:vAlign w:val="center"/>
          </w:tcPr>
          <w:p w14:paraId="1DC726EA">
            <w:pPr>
              <w:adjustRightInd w:val="0"/>
              <w:snapToGrid w:val="0"/>
              <w:spacing w:line="300" w:lineRule="exact"/>
              <w:jc w:val="center"/>
              <w:rPr>
                <w:rFonts w:hint="default" w:ascii="Times New Roman" w:hAnsi="Times New Roman" w:cs="Times New Roman"/>
                <w:color w:val="auto"/>
                <w:lang w:eastAsia="zh-CN"/>
              </w:rPr>
            </w:pPr>
            <w:r>
              <w:rPr>
                <w:rFonts w:hint="eastAsia" w:cs="Times New Roman" w:eastAsiaTheme="minorEastAsia"/>
                <w:color w:val="auto"/>
                <w:lang w:val="en-US" w:eastAsia="zh-CN"/>
              </w:rPr>
              <w:t>《挥发性有机物排放标准 第 7 部分：其他行业》（DB37/ 2801.7—2019）表2厂界监控点浓度限值</w:t>
            </w:r>
          </w:p>
        </w:tc>
      </w:tr>
      <w:tr w14:paraId="120117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55" w:type="dxa"/>
            <w:vMerge w:val="restart"/>
            <w:vAlign w:val="center"/>
          </w:tcPr>
          <w:p w14:paraId="04F325EB">
            <w:pPr>
              <w:adjustRightInd w:val="0"/>
              <w:snapToGrid w:val="0"/>
              <w:spacing w:line="300" w:lineRule="exact"/>
              <w:jc w:val="center"/>
              <w:rPr>
                <w:rFonts w:hint="default" w:ascii="Times New Roman" w:hAnsi="Times New Roman" w:cs="Times New Roman"/>
                <w:color w:val="auto"/>
              </w:rPr>
            </w:pPr>
            <w:r>
              <w:rPr>
                <w:rFonts w:hint="default" w:ascii="Times New Roman" w:hAnsi="Times New Roman" w:cs="Times New Roman"/>
                <w:color w:val="auto"/>
              </w:rPr>
              <w:t>地表水环境</w:t>
            </w:r>
          </w:p>
        </w:tc>
        <w:tc>
          <w:tcPr>
            <w:tcW w:w="1700" w:type="dxa"/>
            <w:vMerge w:val="restart"/>
            <w:vAlign w:val="center"/>
          </w:tcPr>
          <w:p w14:paraId="50D64A53">
            <w:pPr>
              <w:adjustRightInd w:val="0"/>
              <w:snapToGrid w:val="0"/>
              <w:jc w:val="center"/>
              <w:rPr>
                <w:rFonts w:hint="default" w:ascii="Times New Roman" w:hAnsi="Times New Roman" w:cs="Times New Roman"/>
                <w:color w:val="auto"/>
              </w:rPr>
            </w:pPr>
            <w:r>
              <w:rPr>
                <w:rFonts w:hint="default" w:ascii="Times New Roman" w:hAnsi="Times New Roman" w:cs="Times New Roman"/>
                <w:bCs/>
                <w:color w:val="auto"/>
              </w:rPr>
              <w:t>生活污水</w:t>
            </w:r>
          </w:p>
        </w:tc>
        <w:tc>
          <w:tcPr>
            <w:tcW w:w="1419" w:type="dxa"/>
            <w:vAlign w:val="center"/>
          </w:tcPr>
          <w:p w14:paraId="4B5F93D6">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COD</w:t>
            </w:r>
          </w:p>
        </w:tc>
        <w:tc>
          <w:tcPr>
            <w:tcW w:w="1559" w:type="dxa"/>
            <w:vMerge w:val="restart"/>
            <w:vAlign w:val="center"/>
          </w:tcPr>
          <w:p w14:paraId="2F07D828">
            <w:pPr>
              <w:adjustRightInd w:val="0"/>
              <w:snapToGrid w:val="0"/>
              <w:spacing w:line="300" w:lineRule="exact"/>
              <w:jc w:val="center"/>
              <w:rPr>
                <w:rFonts w:hint="default" w:ascii="Times New Roman" w:hAnsi="Times New Roman" w:cs="Times New Roman"/>
                <w:color w:val="auto"/>
              </w:rPr>
            </w:pPr>
            <w:r>
              <w:rPr>
                <w:rFonts w:hint="default" w:ascii="Times New Roman" w:hAnsi="Times New Roman" w:cs="Times New Roman"/>
                <w:bCs/>
                <w:color w:val="auto"/>
              </w:rPr>
              <w:t>生活污水经化粪池预处理后由环卫部门定期清运</w:t>
            </w:r>
          </w:p>
        </w:tc>
        <w:tc>
          <w:tcPr>
            <w:tcW w:w="2869" w:type="dxa"/>
            <w:vMerge w:val="restart"/>
            <w:vAlign w:val="center"/>
          </w:tcPr>
          <w:p w14:paraId="25314DED">
            <w:pPr>
              <w:adjustRightInd w:val="0"/>
              <w:snapToGrid w:val="0"/>
              <w:spacing w:line="300" w:lineRule="exact"/>
              <w:jc w:val="center"/>
              <w:rPr>
                <w:rFonts w:hint="default" w:ascii="Times New Roman" w:hAnsi="Times New Roman" w:cs="Times New Roman"/>
                <w:color w:val="auto"/>
              </w:rPr>
            </w:pPr>
            <w:r>
              <w:rPr>
                <w:rFonts w:hint="default" w:ascii="Times New Roman" w:hAnsi="Times New Roman" w:cs="Times New Roman"/>
                <w:color w:val="auto"/>
              </w:rPr>
              <w:t>—</w:t>
            </w:r>
          </w:p>
        </w:tc>
      </w:tr>
      <w:tr w14:paraId="370F57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55" w:type="dxa"/>
            <w:vMerge w:val="continue"/>
            <w:vAlign w:val="center"/>
          </w:tcPr>
          <w:p w14:paraId="3C142D65">
            <w:pPr>
              <w:adjustRightInd w:val="0"/>
              <w:snapToGrid w:val="0"/>
              <w:spacing w:line="300" w:lineRule="exact"/>
              <w:ind w:left="-103" w:leftChars="-49" w:right="-107" w:rightChars="-51"/>
              <w:jc w:val="center"/>
              <w:rPr>
                <w:rFonts w:hint="default" w:ascii="Times New Roman" w:hAnsi="Times New Roman" w:cs="Times New Roman"/>
                <w:color w:val="auto"/>
              </w:rPr>
            </w:pPr>
          </w:p>
        </w:tc>
        <w:tc>
          <w:tcPr>
            <w:tcW w:w="1700" w:type="dxa"/>
            <w:vMerge w:val="continue"/>
            <w:vAlign w:val="center"/>
          </w:tcPr>
          <w:p w14:paraId="51454711">
            <w:pPr>
              <w:adjustRightInd w:val="0"/>
              <w:snapToGrid w:val="0"/>
              <w:jc w:val="center"/>
              <w:rPr>
                <w:rFonts w:hint="default" w:ascii="Times New Roman" w:hAnsi="Times New Roman" w:cs="Times New Roman"/>
                <w:color w:val="auto"/>
              </w:rPr>
            </w:pPr>
          </w:p>
        </w:tc>
        <w:tc>
          <w:tcPr>
            <w:tcW w:w="1419" w:type="dxa"/>
            <w:vAlign w:val="center"/>
          </w:tcPr>
          <w:p w14:paraId="7116FFE1">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pH</w:t>
            </w:r>
          </w:p>
        </w:tc>
        <w:tc>
          <w:tcPr>
            <w:tcW w:w="1559" w:type="dxa"/>
            <w:vMerge w:val="continue"/>
            <w:vAlign w:val="center"/>
          </w:tcPr>
          <w:p w14:paraId="65C47191">
            <w:pPr>
              <w:adjustRightInd w:val="0"/>
              <w:snapToGrid w:val="0"/>
              <w:spacing w:line="300" w:lineRule="exact"/>
              <w:ind w:left="-103" w:leftChars="-49" w:right="-107" w:rightChars="-51"/>
              <w:jc w:val="center"/>
              <w:rPr>
                <w:rFonts w:hint="default" w:ascii="Times New Roman" w:hAnsi="Times New Roman" w:cs="Times New Roman"/>
                <w:color w:val="auto"/>
              </w:rPr>
            </w:pPr>
          </w:p>
        </w:tc>
        <w:tc>
          <w:tcPr>
            <w:tcW w:w="2869" w:type="dxa"/>
            <w:vMerge w:val="continue"/>
            <w:vAlign w:val="center"/>
          </w:tcPr>
          <w:p w14:paraId="6A81CE2B">
            <w:pPr>
              <w:adjustRightInd w:val="0"/>
              <w:snapToGrid w:val="0"/>
              <w:spacing w:line="300" w:lineRule="exact"/>
              <w:ind w:left="-103" w:leftChars="-49" w:right="-107" w:rightChars="-51"/>
              <w:jc w:val="center"/>
              <w:rPr>
                <w:rFonts w:hint="default" w:ascii="Times New Roman" w:hAnsi="Times New Roman" w:cs="Times New Roman"/>
                <w:color w:val="auto"/>
              </w:rPr>
            </w:pPr>
          </w:p>
        </w:tc>
      </w:tr>
      <w:tr w14:paraId="684DCA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55" w:type="dxa"/>
            <w:vMerge w:val="continue"/>
            <w:vAlign w:val="center"/>
          </w:tcPr>
          <w:p w14:paraId="7D0BEC89">
            <w:pPr>
              <w:adjustRightInd w:val="0"/>
              <w:snapToGrid w:val="0"/>
              <w:spacing w:line="300" w:lineRule="exact"/>
              <w:ind w:left="-103" w:leftChars="-49" w:right="-107" w:rightChars="-51"/>
              <w:jc w:val="center"/>
              <w:rPr>
                <w:rFonts w:hint="default" w:ascii="Times New Roman" w:hAnsi="Times New Roman" w:cs="Times New Roman"/>
                <w:color w:val="auto"/>
              </w:rPr>
            </w:pPr>
          </w:p>
        </w:tc>
        <w:tc>
          <w:tcPr>
            <w:tcW w:w="1700" w:type="dxa"/>
            <w:vMerge w:val="continue"/>
            <w:vAlign w:val="center"/>
          </w:tcPr>
          <w:p w14:paraId="7B4053AB">
            <w:pPr>
              <w:adjustRightInd w:val="0"/>
              <w:snapToGrid w:val="0"/>
              <w:jc w:val="center"/>
              <w:rPr>
                <w:rFonts w:hint="default" w:ascii="Times New Roman" w:hAnsi="Times New Roman" w:cs="Times New Roman"/>
                <w:color w:val="auto"/>
              </w:rPr>
            </w:pPr>
          </w:p>
        </w:tc>
        <w:tc>
          <w:tcPr>
            <w:tcW w:w="1419" w:type="dxa"/>
            <w:vAlign w:val="center"/>
          </w:tcPr>
          <w:p w14:paraId="365526D6">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BOD</w:t>
            </w:r>
            <w:r>
              <w:rPr>
                <w:rFonts w:hint="default" w:ascii="Times New Roman" w:hAnsi="Times New Roman" w:cs="Times New Roman"/>
                <w:color w:val="auto"/>
                <w:vertAlign w:val="subscript"/>
              </w:rPr>
              <w:t>5</w:t>
            </w:r>
          </w:p>
        </w:tc>
        <w:tc>
          <w:tcPr>
            <w:tcW w:w="1559" w:type="dxa"/>
            <w:vMerge w:val="continue"/>
            <w:vAlign w:val="center"/>
          </w:tcPr>
          <w:p w14:paraId="691915EB">
            <w:pPr>
              <w:adjustRightInd w:val="0"/>
              <w:snapToGrid w:val="0"/>
              <w:spacing w:line="300" w:lineRule="exact"/>
              <w:ind w:left="-103" w:leftChars="-49" w:right="-107" w:rightChars="-51"/>
              <w:jc w:val="center"/>
              <w:rPr>
                <w:rFonts w:hint="default" w:ascii="Times New Roman" w:hAnsi="Times New Roman" w:cs="Times New Roman"/>
                <w:color w:val="auto"/>
              </w:rPr>
            </w:pPr>
          </w:p>
        </w:tc>
        <w:tc>
          <w:tcPr>
            <w:tcW w:w="2869" w:type="dxa"/>
            <w:vMerge w:val="continue"/>
            <w:vAlign w:val="center"/>
          </w:tcPr>
          <w:p w14:paraId="53A52708">
            <w:pPr>
              <w:adjustRightInd w:val="0"/>
              <w:snapToGrid w:val="0"/>
              <w:spacing w:line="300" w:lineRule="exact"/>
              <w:ind w:left="-103" w:leftChars="-49" w:right="-107" w:rightChars="-51"/>
              <w:jc w:val="center"/>
              <w:rPr>
                <w:rFonts w:hint="default" w:ascii="Times New Roman" w:hAnsi="Times New Roman" w:cs="Times New Roman"/>
                <w:color w:val="auto"/>
              </w:rPr>
            </w:pPr>
          </w:p>
        </w:tc>
      </w:tr>
      <w:tr w14:paraId="64DC4F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55" w:type="dxa"/>
            <w:vMerge w:val="continue"/>
            <w:vAlign w:val="center"/>
          </w:tcPr>
          <w:p w14:paraId="27B58F2C">
            <w:pPr>
              <w:adjustRightInd w:val="0"/>
              <w:snapToGrid w:val="0"/>
              <w:spacing w:line="300" w:lineRule="exact"/>
              <w:ind w:left="-103" w:leftChars="-49" w:right="-107" w:rightChars="-51"/>
              <w:jc w:val="center"/>
              <w:rPr>
                <w:rFonts w:hint="default" w:ascii="Times New Roman" w:hAnsi="Times New Roman" w:cs="Times New Roman"/>
                <w:color w:val="auto"/>
              </w:rPr>
            </w:pPr>
          </w:p>
        </w:tc>
        <w:tc>
          <w:tcPr>
            <w:tcW w:w="1700" w:type="dxa"/>
            <w:vMerge w:val="continue"/>
            <w:vAlign w:val="center"/>
          </w:tcPr>
          <w:p w14:paraId="59234958">
            <w:pPr>
              <w:adjustRightInd w:val="0"/>
              <w:snapToGrid w:val="0"/>
              <w:jc w:val="center"/>
              <w:rPr>
                <w:rFonts w:hint="default" w:ascii="Times New Roman" w:hAnsi="Times New Roman" w:cs="Times New Roman"/>
                <w:color w:val="auto"/>
              </w:rPr>
            </w:pPr>
          </w:p>
        </w:tc>
        <w:tc>
          <w:tcPr>
            <w:tcW w:w="1419" w:type="dxa"/>
            <w:vAlign w:val="center"/>
          </w:tcPr>
          <w:p w14:paraId="476A4DB9">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SS</w:t>
            </w:r>
          </w:p>
        </w:tc>
        <w:tc>
          <w:tcPr>
            <w:tcW w:w="1559" w:type="dxa"/>
            <w:vMerge w:val="continue"/>
            <w:vAlign w:val="center"/>
          </w:tcPr>
          <w:p w14:paraId="1D069622">
            <w:pPr>
              <w:adjustRightInd w:val="0"/>
              <w:snapToGrid w:val="0"/>
              <w:spacing w:line="300" w:lineRule="exact"/>
              <w:ind w:left="-103" w:leftChars="-49" w:right="-107" w:rightChars="-51"/>
              <w:jc w:val="center"/>
              <w:rPr>
                <w:rFonts w:hint="default" w:ascii="Times New Roman" w:hAnsi="Times New Roman" w:cs="Times New Roman"/>
                <w:color w:val="auto"/>
              </w:rPr>
            </w:pPr>
          </w:p>
        </w:tc>
        <w:tc>
          <w:tcPr>
            <w:tcW w:w="2869" w:type="dxa"/>
            <w:vMerge w:val="continue"/>
            <w:vAlign w:val="center"/>
          </w:tcPr>
          <w:p w14:paraId="5F54251E">
            <w:pPr>
              <w:adjustRightInd w:val="0"/>
              <w:snapToGrid w:val="0"/>
              <w:spacing w:line="300" w:lineRule="exact"/>
              <w:ind w:left="-103" w:leftChars="-49" w:right="-107" w:rightChars="-51"/>
              <w:jc w:val="center"/>
              <w:rPr>
                <w:rFonts w:hint="default" w:ascii="Times New Roman" w:hAnsi="Times New Roman" w:cs="Times New Roman"/>
                <w:color w:val="auto"/>
              </w:rPr>
            </w:pPr>
          </w:p>
        </w:tc>
      </w:tr>
      <w:tr w14:paraId="756438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55" w:type="dxa"/>
            <w:vMerge w:val="continue"/>
            <w:vAlign w:val="center"/>
          </w:tcPr>
          <w:p w14:paraId="040A1FD6">
            <w:pPr>
              <w:adjustRightInd w:val="0"/>
              <w:snapToGrid w:val="0"/>
              <w:spacing w:line="300" w:lineRule="exact"/>
              <w:ind w:left="-103" w:leftChars="-49" w:right="-107" w:rightChars="-51"/>
              <w:jc w:val="center"/>
              <w:rPr>
                <w:rFonts w:hint="default" w:ascii="Times New Roman" w:hAnsi="Times New Roman" w:cs="Times New Roman"/>
                <w:color w:val="auto"/>
              </w:rPr>
            </w:pPr>
          </w:p>
        </w:tc>
        <w:tc>
          <w:tcPr>
            <w:tcW w:w="1700" w:type="dxa"/>
            <w:vMerge w:val="continue"/>
            <w:vAlign w:val="center"/>
          </w:tcPr>
          <w:p w14:paraId="6B6F487C">
            <w:pPr>
              <w:adjustRightInd w:val="0"/>
              <w:snapToGrid w:val="0"/>
              <w:jc w:val="center"/>
              <w:rPr>
                <w:rFonts w:hint="default" w:ascii="Times New Roman" w:hAnsi="Times New Roman" w:cs="Times New Roman"/>
                <w:color w:val="auto"/>
              </w:rPr>
            </w:pPr>
          </w:p>
        </w:tc>
        <w:tc>
          <w:tcPr>
            <w:tcW w:w="1419" w:type="dxa"/>
            <w:vAlign w:val="center"/>
          </w:tcPr>
          <w:p w14:paraId="5E999CCF">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氨氮</w:t>
            </w:r>
          </w:p>
        </w:tc>
        <w:tc>
          <w:tcPr>
            <w:tcW w:w="1559" w:type="dxa"/>
            <w:vMerge w:val="continue"/>
            <w:vAlign w:val="center"/>
          </w:tcPr>
          <w:p w14:paraId="3F766BE6">
            <w:pPr>
              <w:adjustRightInd w:val="0"/>
              <w:snapToGrid w:val="0"/>
              <w:spacing w:line="300" w:lineRule="exact"/>
              <w:ind w:left="-103" w:leftChars="-49" w:right="-107" w:rightChars="-51"/>
              <w:jc w:val="center"/>
              <w:rPr>
                <w:rFonts w:hint="default" w:ascii="Times New Roman" w:hAnsi="Times New Roman" w:cs="Times New Roman"/>
                <w:color w:val="auto"/>
              </w:rPr>
            </w:pPr>
          </w:p>
        </w:tc>
        <w:tc>
          <w:tcPr>
            <w:tcW w:w="2869" w:type="dxa"/>
            <w:vMerge w:val="continue"/>
            <w:vAlign w:val="center"/>
          </w:tcPr>
          <w:p w14:paraId="3B2E347F">
            <w:pPr>
              <w:adjustRightInd w:val="0"/>
              <w:snapToGrid w:val="0"/>
              <w:spacing w:line="300" w:lineRule="exact"/>
              <w:ind w:left="-103" w:leftChars="-49" w:right="-107" w:rightChars="-51"/>
              <w:jc w:val="center"/>
              <w:rPr>
                <w:rFonts w:hint="default" w:ascii="Times New Roman" w:hAnsi="Times New Roman" w:cs="Times New Roman"/>
                <w:color w:val="auto"/>
              </w:rPr>
            </w:pPr>
          </w:p>
        </w:tc>
      </w:tr>
      <w:tr w14:paraId="0444E8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5" w:type="dxa"/>
            <w:vAlign w:val="center"/>
          </w:tcPr>
          <w:p w14:paraId="7E5B5ABC">
            <w:pPr>
              <w:adjustRightInd w:val="0"/>
              <w:snapToGrid w:val="0"/>
              <w:spacing w:line="300" w:lineRule="exact"/>
              <w:jc w:val="center"/>
              <w:rPr>
                <w:rFonts w:hint="default" w:ascii="Times New Roman" w:hAnsi="Times New Roman" w:cs="Times New Roman"/>
                <w:color w:val="auto"/>
              </w:rPr>
            </w:pPr>
            <w:r>
              <w:rPr>
                <w:rFonts w:hint="default" w:ascii="Times New Roman" w:hAnsi="Times New Roman" w:cs="Times New Roman"/>
                <w:color w:val="auto"/>
              </w:rPr>
              <w:t>声环境</w:t>
            </w:r>
          </w:p>
        </w:tc>
        <w:tc>
          <w:tcPr>
            <w:tcW w:w="1700" w:type="dxa"/>
            <w:vAlign w:val="center"/>
          </w:tcPr>
          <w:p w14:paraId="23957858">
            <w:pPr>
              <w:adjustRightInd w:val="0"/>
              <w:snapToGrid w:val="0"/>
              <w:spacing w:line="300" w:lineRule="exact"/>
              <w:jc w:val="center"/>
              <w:rPr>
                <w:rFonts w:hint="default" w:ascii="Times New Roman" w:hAnsi="Times New Roman" w:cs="Times New Roman"/>
                <w:color w:val="auto"/>
              </w:rPr>
            </w:pPr>
            <w:r>
              <w:rPr>
                <w:rFonts w:hint="default" w:ascii="Times New Roman" w:hAnsi="Times New Roman" w:cs="Times New Roman"/>
                <w:color w:val="auto"/>
              </w:rPr>
              <w:t>产噪设备及车间</w:t>
            </w:r>
          </w:p>
        </w:tc>
        <w:tc>
          <w:tcPr>
            <w:tcW w:w="1419" w:type="dxa"/>
            <w:vAlign w:val="center"/>
          </w:tcPr>
          <w:p w14:paraId="049371B0">
            <w:pPr>
              <w:adjustRightInd w:val="0"/>
              <w:snapToGrid w:val="0"/>
              <w:spacing w:line="300" w:lineRule="exact"/>
              <w:jc w:val="center"/>
              <w:rPr>
                <w:rFonts w:hint="default" w:ascii="Times New Roman" w:hAnsi="Times New Roman" w:cs="Times New Roman"/>
                <w:color w:val="auto"/>
              </w:rPr>
            </w:pPr>
            <w:r>
              <w:rPr>
                <w:rFonts w:hint="default" w:ascii="Times New Roman" w:hAnsi="Times New Roman" w:cs="Times New Roman"/>
                <w:color w:val="auto"/>
              </w:rPr>
              <w:t>dB（A）</w:t>
            </w:r>
          </w:p>
        </w:tc>
        <w:tc>
          <w:tcPr>
            <w:tcW w:w="1559" w:type="dxa"/>
            <w:vAlign w:val="center"/>
          </w:tcPr>
          <w:p w14:paraId="4767D473">
            <w:pPr>
              <w:adjustRightInd w:val="0"/>
              <w:snapToGrid w:val="0"/>
              <w:spacing w:line="300" w:lineRule="exact"/>
              <w:jc w:val="center"/>
              <w:rPr>
                <w:rFonts w:hint="default" w:ascii="Times New Roman" w:hAnsi="Times New Roman" w:cs="Times New Roman"/>
                <w:color w:val="auto"/>
              </w:rPr>
            </w:pPr>
            <w:r>
              <w:rPr>
                <w:rFonts w:hint="default" w:ascii="Times New Roman" w:hAnsi="Times New Roman" w:cs="Times New Roman"/>
                <w:color w:val="auto"/>
              </w:rPr>
              <w:t>减震、隔声、室内布置</w:t>
            </w:r>
          </w:p>
        </w:tc>
        <w:tc>
          <w:tcPr>
            <w:tcW w:w="2869" w:type="dxa"/>
            <w:vAlign w:val="center"/>
          </w:tcPr>
          <w:p w14:paraId="3A5FC68E">
            <w:pPr>
              <w:adjustRightInd w:val="0"/>
              <w:snapToGrid w:val="0"/>
              <w:spacing w:line="300" w:lineRule="exact"/>
              <w:jc w:val="center"/>
              <w:rPr>
                <w:rFonts w:hint="default" w:ascii="Times New Roman" w:hAnsi="Times New Roman" w:cs="Times New Roman"/>
                <w:color w:val="auto"/>
              </w:rPr>
            </w:pPr>
            <w:r>
              <w:rPr>
                <w:rFonts w:hint="default" w:ascii="Times New Roman" w:hAnsi="Times New Roman" w:cs="Times New Roman"/>
                <w:color w:val="auto"/>
              </w:rPr>
              <w:t>符合《工业企业厂界环境噪声排放标准》（GB12348-2008）2类标准</w:t>
            </w:r>
          </w:p>
        </w:tc>
      </w:tr>
      <w:tr w14:paraId="242B11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5" w:type="dxa"/>
            <w:vAlign w:val="center"/>
          </w:tcPr>
          <w:p w14:paraId="4DC0B997">
            <w:pPr>
              <w:adjustRightInd w:val="0"/>
              <w:snapToGrid w:val="0"/>
              <w:spacing w:line="300" w:lineRule="exact"/>
              <w:jc w:val="center"/>
              <w:rPr>
                <w:rFonts w:hint="default" w:ascii="Times New Roman" w:hAnsi="Times New Roman" w:cs="Times New Roman"/>
                <w:color w:val="auto"/>
              </w:rPr>
            </w:pPr>
            <w:r>
              <w:rPr>
                <w:rFonts w:hint="default" w:ascii="Times New Roman" w:hAnsi="Times New Roman" w:cs="Times New Roman"/>
                <w:color w:val="auto"/>
              </w:rPr>
              <w:t>电磁辐射</w:t>
            </w:r>
          </w:p>
        </w:tc>
        <w:tc>
          <w:tcPr>
            <w:tcW w:w="1700" w:type="dxa"/>
            <w:vAlign w:val="center"/>
          </w:tcPr>
          <w:p w14:paraId="38794DF6">
            <w:pPr>
              <w:adjustRightInd w:val="0"/>
              <w:snapToGrid w:val="0"/>
              <w:spacing w:line="300" w:lineRule="exact"/>
              <w:jc w:val="center"/>
              <w:rPr>
                <w:rFonts w:hint="default" w:ascii="Times New Roman" w:hAnsi="Times New Roman" w:cs="Times New Roman"/>
                <w:color w:val="auto"/>
              </w:rPr>
            </w:pPr>
            <w:r>
              <w:rPr>
                <w:rFonts w:hint="default" w:ascii="Times New Roman" w:hAnsi="Times New Roman" w:cs="Times New Roman"/>
                <w:color w:val="auto"/>
              </w:rPr>
              <w:t>—</w:t>
            </w:r>
          </w:p>
        </w:tc>
        <w:tc>
          <w:tcPr>
            <w:tcW w:w="1419" w:type="dxa"/>
          </w:tcPr>
          <w:p w14:paraId="63C353BC">
            <w:pPr>
              <w:adjustRightInd w:val="0"/>
              <w:snapToGrid w:val="0"/>
              <w:spacing w:line="300" w:lineRule="exact"/>
              <w:jc w:val="center"/>
              <w:rPr>
                <w:rFonts w:hint="default" w:ascii="Times New Roman" w:hAnsi="Times New Roman" w:cs="Times New Roman"/>
                <w:color w:val="auto"/>
              </w:rPr>
            </w:pPr>
            <w:r>
              <w:rPr>
                <w:rFonts w:hint="default" w:ascii="Times New Roman" w:hAnsi="Times New Roman" w:cs="Times New Roman"/>
                <w:color w:val="auto"/>
              </w:rPr>
              <w:t>—</w:t>
            </w:r>
          </w:p>
        </w:tc>
        <w:tc>
          <w:tcPr>
            <w:tcW w:w="1559" w:type="dxa"/>
          </w:tcPr>
          <w:p w14:paraId="6E92114A">
            <w:pPr>
              <w:adjustRightInd w:val="0"/>
              <w:snapToGrid w:val="0"/>
              <w:spacing w:line="300" w:lineRule="exact"/>
              <w:jc w:val="center"/>
              <w:rPr>
                <w:rFonts w:hint="default" w:ascii="Times New Roman" w:hAnsi="Times New Roman" w:cs="Times New Roman"/>
                <w:color w:val="auto"/>
              </w:rPr>
            </w:pPr>
            <w:r>
              <w:rPr>
                <w:rFonts w:hint="default" w:ascii="Times New Roman" w:hAnsi="Times New Roman" w:cs="Times New Roman"/>
                <w:color w:val="auto"/>
              </w:rPr>
              <w:t>—</w:t>
            </w:r>
          </w:p>
        </w:tc>
        <w:tc>
          <w:tcPr>
            <w:tcW w:w="2869" w:type="dxa"/>
          </w:tcPr>
          <w:p w14:paraId="3B3E8799">
            <w:pPr>
              <w:adjustRightInd w:val="0"/>
              <w:snapToGrid w:val="0"/>
              <w:spacing w:line="300" w:lineRule="exact"/>
              <w:jc w:val="center"/>
              <w:rPr>
                <w:rFonts w:hint="default" w:ascii="Times New Roman" w:hAnsi="Times New Roman" w:cs="Times New Roman"/>
                <w:color w:val="auto"/>
              </w:rPr>
            </w:pPr>
            <w:r>
              <w:rPr>
                <w:rFonts w:hint="default" w:ascii="Times New Roman" w:hAnsi="Times New Roman" w:cs="Times New Roman"/>
                <w:color w:val="auto"/>
              </w:rPr>
              <w:t>—</w:t>
            </w:r>
          </w:p>
        </w:tc>
      </w:tr>
      <w:tr w14:paraId="632038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2" w:hRule="atLeast"/>
          <w:jc w:val="center"/>
        </w:trPr>
        <w:tc>
          <w:tcPr>
            <w:tcW w:w="1255" w:type="dxa"/>
            <w:vAlign w:val="center"/>
          </w:tcPr>
          <w:p w14:paraId="40819E1C">
            <w:pPr>
              <w:adjustRightInd w:val="0"/>
              <w:snapToGrid w:val="0"/>
              <w:spacing w:line="300" w:lineRule="exact"/>
              <w:jc w:val="center"/>
              <w:rPr>
                <w:rFonts w:hint="default" w:ascii="Times New Roman" w:hAnsi="Times New Roman" w:cs="Times New Roman"/>
                <w:color w:val="auto"/>
              </w:rPr>
            </w:pPr>
            <w:r>
              <w:rPr>
                <w:rFonts w:hint="default" w:ascii="Times New Roman" w:hAnsi="Times New Roman" w:cs="Times New Roman"/>
                <w:color w:val="auto"/>
              </w:rPr>
              <w:t>固体废物</w:t>
            </w:r>
          </w:p>
        </w:tc>
        <w:tc>
          <w:tcPr>
            <w:tcW w:w="7547" w:type="dxa"/>
            <w:gridSpan w:val="4"/>
            <w:vAlign w:val="center"/>
          </w:tcPr>
          <w:p w14:paraId="2B808EFF">
            <w:pPr>
              <w:autoSpaceDE w:val="0"/>
              <w:autoSpaceDN w:val="0"/>
              <w:adjustRightInd w:val="0"/>
              <w:spacing w:line="300" w:lineRule="exact"/>
              <w:ind w:firstLine="420" w:firstLineChars="200"/>
              <w:rPr>
                <w:rFonts w:hint="default" w:ascii="Times New Roman" w:hAnsi="Times New Roman" w:eastAsia="宋体" w:cs="Times New Roman"/>
                <w:color w:val="auto"/>
                <w:lang w:val="zh-CN" w:eastAsia="zh-CN"/>
              </w:rPr>
            </w:pPr>
            <w:r>
              <w:rPr>
                <w:color w:val="auto"/>
              </w:rPr>
              <w:t>固体废物管理台账，废弃物的运输登记</w:t>
            </w:r>
          </w:p>
        </w:tc>
      </w:tr>
      <w:tr w14:paraId="4E6D4B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6" w:hRule="atLeast"/>
          <w:jc w:val="center"/>
        </w:trPr>
        <w:tc>
          <w:tcPr>
            <w:tcW w:w="1255" w:type="dxa"/>
            <w:vAlign w:val="center"/>
          </w:tcPr>
          <w:p w14:paraId="5FF1EB08">
            <w:pPr>
              <w:adjustRightInd w:val="0"/>
              <w:snapToGrid w:val="0"/>
              <w:spacing w:line="300" w:lineRule="exact"/>
              <w:ind w:left="-128" w:leftChars="-61" w:right="-107" w:rightChars="-51" w:firstLine="128" w:firstLineChars="61"/>
              <w:jc w:val="center"/>
              <w:rPr>
                <w:rFonts w:hint="default" w:ascii="Times New Roman" w:hAnsi="Times New Roman" w:cs="Times New Roman"/>
                <w:color w:val="auto"/>
              </w:rPr>
            </w:pPr>
            <w:r>
              <w:rPr>
                <w:rFonts w:hint="default" w:ascii="Times New Roman" w:hAnsi="Times New Roman" w:cs="Times New Roman"/>
                <w:color w:val="auto"/>
              </w:rPr>
              <w:t>土壤及地下水污染防治措施</w:t>
            </w:r>
          </w:p>
        </w:tc>
        <w:tc>
          <w:tcPr>
            <w:tcW w:w="7547" w:type="dxa"/>
            <w:gridSpan w:val="4"/>
            <w:vAlign w:val="center"/>
          </w:tcPr>
          <w:p w14:paraId="71F8D10C">
            <w:pPr>
              <w:autoSpaceDE w:val="0"/>
              <w:autoSpaceDN w:val="0"/>
              <w:adjustRightInd w:val="0"/>
              <w:spacing w:line="300" w:lineRule="exact"/>
              <w:ind w:firstLine="420" w:firstLineChars="200"/>
              <w:jc w:val="center"/>
              <w:rPr>
                <w:rFonts w:hint="default" w:ascii="Times New Roman" w:hAnsi="Times New Roman" w:cs="Times New Roman"/>
                <w:color w:val="auto"/>
              </w:rPr>
            </w:pPr>
            <w:r>
              <w:rPr>
                <w:color w:val="auto"/>
              </w:rPr>
              <w:t>采取分区防渗措施，其中重点防渗区，设置不低于6.0m厚渗透系数为1.0</w:t>
            </w:r>
            <w:r>
              <w:rPr>
                <w:color w:val="auto"/>
                <w:sz w:val="18"/>
                <w:szCs w:val="18"/>
              </w:rPr>
              <w:t>×</w:t>
            </w:r>
            <w:r>
              <w:rPr>
                <w:color w:val="auto"/>
              </w:rPr>
              <w:t>10</w:t>
            </w:r>
            <w:r>
              <w:rPr>
                <w:color w:val="auto"/>
                <w:vertAlign w:val="superscript"/>
              </w:rPr>
              <w:t>-7</w:t>
            </w:r>
            <w:r>
              <w:rPr>
                <w:color w:val="auto"/>
              </w:rPr>
              <w:t>cm/s的黏土层的防渗性能；一般防渗区，设置不低于1.5m厚渗透系数为1.0</w:t>
            </w:r>
            <w:r>
              <w:rPr>
                <w:color w:val="auto"/>
                <w:sz w:val="18"/>
                <w:szCs w:val="18"/>
              </w:rPr>
              <w:t>×</w:t>
            </w:r>
            <w:r>
              <w:rPr>
                <w:color w:val="auto"/>
              </w:rPr>
              <w:t>10</w:t>
            </w:r>
            <w:r>
              <w:rPr>
                <w:color w:val="auto"/>
                <w:vertAlign w:val="superscript"/>
              </w:rPr>
              <w:t>-7</w:t>
            </w:r>
            <w:r>
              <w:rPr>
                <w:color w:val="auto"/>
              </w:rPr>
              <w:t>cm/s的黏土层的防渗性能；办公室等其他区域采取硬化等简单防渗。</w:t>
            </w:r>
          </w:p>
        </w:tc>
      </w:tr>
      <w:tr w14:paraId="0633BC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0" w:hRule="atLeast"/>
          <w:jc w:val="center"/>
        </w:trPr>
        <w:tc>
          <w:tcPr>
            <w:tcW w:w="1255" w:type="dxa"/>
            <w:vAlign w:val="center"/>
          </w:tcPr>
          <w:p w14:paraId="0A7B0FDD">
            <w:pPr>
              <w:adjustRightInd w:val="0"/>
              <w:snapToGrid w:val="0"/>
              <w:spacing w:line="300" w:lineRule="exact"/>
              <w:ind w:left="-128" w:leftChars="-61" w:right="-107" w:rightChars="-51" w:firstLine="128" w:firstLineChars="61"/>
              <w:jc w:val="center"/>
              <w:rPr>
                <w:rFonts w:hint="default" w:ascii="Times New Roman" w:hAnsi="Times New Roman" w:cs="Times New Roman"/>
                <w:color w:val="auto"/>
              </w:rPr>
            </w:pPr>
            <w:r>
              <w:rPr>
                <w:rFonts w:hint="default" w:ascii="Times New Roman" w:hAnsi="Times New Roman" w:cs="Times New Roman"/>
                <w:color w:val="auto"/>
              </w:rPr>
              <w:t>生态保护措施</w:t>
            </w:r>
          </w:p>
        </w:tc>
        <w:tc>
          <w:tcPr>
            <w:tcW w:w="7547" w:type="dxa"/>
            <w:gridSpan w:val="4"/>
            <w:vAlign w:val="center"/>
          </w:tcPr>
          <w:p w14:paraId="295F7F6A">
            <w:pPr>
              <w:adjustRightInd w:val="0"/>
              <w:snapToGrid w:val="0"/>
              <w:spacing w:line="300" w:lineRule="exact"/>
              <w:jc w:val="center"/>
              <w:rPr>
                <w:rFonts w:hint="default" w:ascii="Times New Roman" w:hAnsi="Times New Roman" w:cs="Times New Roman"/>
                <w:color w:val="auto"/>
              </w:rPr>
            </w:pPr>
            <w:r>
              <w:rPr>
                <w:rFonts w:hint="default" w:ascii="Times New Roman" w:hAnsi="Times New Roman" w:cs="Times New Roman"/>
                <w:color w:val="auto"/>
              </w:rPr>
              <w:t>加强绿化</w:t>
            </w:r>
          </w:p>
        </w:tc>
      </w:tr>
      <w:tr w14:paraId="47D0C8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60" w:hRule="atLeast"/>
          <w:jc w:val="center"/>
        </w:trPr>
        <w:tc>
          <w:tcPr>
            <w:tcW w:w="1255" w:type="dxa"/>
            <w:vAlign w:val="center"/>
          </w:tcPr>
          <w:p w14:paraId="003169AA">
            <w:pPr>
              <w:adjustRightInd w:val="0"/>
              <w:snapToGrid w:val="0"/>
              <w:spacing w:line="300" w:lineRule="exact"/>
              <w:jc w:val="center"/>
              <w:rPr>
                <w:rFonts w:hint="default" w:ascii="Times New Roman" w:hAnsi="Times New Roman" w:cs="Times New Roman"/>
                <w:color w:val="auto"/>
                <w:spacing w:val="-8"/>
              </w:rPr>
            </w:pPr>
            <w:r>
              <w:rPr>
                <w:rFonts w:hint="default" w:ascii="Times New Roman" w:hAnsi="Times New Roman" w:cs="Times New Roman"/>
                <w:color w:val="auto"/>
                <w:spacing w:val="-8"/>
              </w:rPr>
              <w:t>环境风险</w:t>
            </w:r>
          </w:p>
          <w:p w14:paraId="115AC6C7">
            <w:pPr>
              <w:adjustRightInd w:val="0"/>
              <w:snapToGrid w:val="0"/>
              <w:spacing w:line="300" w:lineRule="exact"/>
              <w:jc w:val="center"/>
              <w:rPr>
                <w:rFonts w:hint="default" w:ascii="Times New Roman" w:hAnsi="Times New Roman" w:cs="Times New Roman"/>
                <w:color w:val="auto"/>
                <w:spacing w:val="-8"/>
              </w:rPr>
            </w:pPr>
            <w:r>
              <w:rPr>
                <w:rFonts w:hint="default" w:ascii="Times New Roman" w:hAnsi="Times New Roman" w:cs="Times New Roman"/>
                <w:color w:val="auto"/>
                <w:spacing w:val="-8"/>
              </w:rPr>
              <w:t>防范措施</w:t>
            </w:r>
          </w:p>
        </w:tc>
        <w:tc>
          <w:tcPr>
            <w:tcW w:w="7547" w:type="dxa"/>
            <w:gridSpan w:val="4"/>
            <w:vAlign w:val="center"/>
          </w:tcPr>
          <w:p w14:paraId="2E0888D0">
            <w:pPr>
              <w:spacing w:line="240" w:lineRule="exact"/>
              <w:ind w:firstLine="420" w:firstLineChars="200"/>
              <w:rPr>
                <w:rFonts w:hint="eastAsia"/>
                <w:bCs/>
                <w:color w:val="auto"/>
              </w:rPr>
            </w:pPr>
            <w:r>
              <w:rPr>
                <w:rFonts w:hint="eastAsia"/>
                <w:bCs/>
                <w:color w:val="auto"/>
              </w:rPr>
              <w:t>①在总图布置中，考虑各建筑物的防火间距，安全疏散以及自然条件等方面的问题，确保其符合国家的有关规定。完善相关消防设施，严格划分生产区和储存区。企业按照《建筑设计防火规范》（GB50016-2014）和《工业企业总平面布置设计规范》（GB51087-2012）等规范要求进行设计。</w:t>
            </w:r>
          </w:p>
          <w:p w14:paraId="74BAEC49">
            <w:pPr>
              <w:spacing w:line="240" w:lineRule="exact"/>
              <w:ind w:firstLine="420" w:firstLineChars="200"/>
              <w:rPr>
                <w:rFonts w:hint="eastAsia"/>
                <w:bCs/>
                <w:color w:val="auto"/>
              </w:rPr>
            </w:pPr>
            <w:r>
              <w:rPr>
                <w:rFonts w:hint="eastAsia"/>
                <w:bCs/>
                <w:color w:val="auto"/>
              </w:rPr>
              <w:t>②配电室的结构、基础应根据水文地理状况进行建设，符合安全规定，预防遭大水淹没，引起电器短路事故。各车间、仓库设立消防水收集管道收集消防废水。</w:t>
            </w:r>
          </w:p>
          <w:p w14:paraId="5D102E11">
            <w:pPr>
              <w:spacing w:line="240" w:lineRule="exact"/>
              <w:ind w:firstLine="420" w:firstLineChars="200"/>
              <w:rPr>
                <w:rFonts w:hint="eastAsia"/>
                <w:bCs/>
                <w:color w:val="auto"/>
              </w:rPr>
            </w:pPr>
            <w:r>
              <w:rPr>
                <w:rFonts w:hint="eastAsia"/>
                <w:bCs/>
                <w:color w:val="auto"/>
              </w:rPr>
              <w:t>③生产装置的供电、供水等公用设施必须加强日常管理，确保满足正常生产和事故状态下的要求。</w:t>
            </w:r>
          </w:p>
          <w:p w14:paraId="6D2DB657">
            <w:pPr>
              <w:spacing w:line="240" w:lineRule="exact"/>
              <w:ind w:firstLine="420" w:firstLineChars="200"/>
              <w:rPr>
                <w:rFonts w:hint="eastAsia"/>
                <w:bCs/>
                <w:color w:val="auto"/>
              </w:rPr>
            </w:pPr>
            <w:r>
              <w:rPr>
                <w:rFonts w:hint="eastAsia"/>
                <w:bCs/>
                <w:color w:val="auto"/>
              </w:rPr>
              <w:t>④企业要加强消防安全管理，开展好消防安全检查和消防安全宣传教育，加强消防安全培训，建立健全各项消防安全制度，落实消防安全责任，提高职工的消防素质，按规范配置灭火器材和消防装备。</w:t>
            </w:r>
          </w:p>
          <w:p w14:paraId="433650F1">
            <w:pPr>
              <w:spacing w:line="240" w:lineRule="exact"/>
              <w:ind w:firstLine="420" w:firstLineChars="200"/>
              <w:rPr>
                <w:rFonts w:hint="eastAsia"/>
                <w:bCs/>
                <w:color w:val="auto"/>
              </w:rPr>
            </w:pPr>
            <w:r>
              <w:rPr>
                <w:rFonts w:hint="eastAsia"/>
                <w:bCs/>
                <w:color w:val="auto"/>
              </w:rPr>
              <w:t>⑤规范上述风险物质的使用及储存，严格按照安全规范要求组织生产，定期</w:t>
            </w:r>
            <w:r>
              <w:rPr>
                <w:rFonts w:hint="eastAsia"/>
                <w:bCs/>
                <w:color w:val="auto"/>
                <w:lang w:val="en-US" w:eastAsia="zh-CN"/>
              </w:rPr>
              <w:t>设备</w:t>
            </w:r>
            <w:r>
              <w:rPr>
                <w:rFonts w:hint="eastAsia"/>
                <w:bCs/>
                <w:color w:val="auto"/>
              </w:rPr>
              <w:t>进行巡检，风险物质所在区域进行围堰的设置和重点防渗硬化。</w:t>
            </w:r>
          </w:p>
          <w:p w14:paraId="583157F6">
            <w:pPr>
              <w:spacing w:line="240" w:lineRule="exact"/>
              <w:ind w:firstLine="420" w:firstLineChars="200"/>
              <w:rPr>
                <w:rFonts w:hint="eastAsia"/>
                <w:bCs/>
                <w:color w:val="auto"/>
              </w:rPr>
            </w:pPr>
            <w:r>
              <w:rPr>
                <w:rFonts w:hint="eastAsia"/>
                <w:bCs/>
                <w:color w:val="auto"/>
              </w:rPr>
              <w:t>⑥为预防事故的发生，应成立应急事故领导小组。</w:t>
            </w:r>
          </w:p>
          <w:p w14:paraId="0FD53537">
            <w:pPr>
              <w:spacing w:line="300" w:lineRule="exact"/>
              <w:rPr>
                <w:rFonts w:hint="default" w:ascii="Times New Roman" w:hAnsi="Times New Roman" w:cs="Times New Roman"/>
                <w:bCs/>
                <w:color w:val="auto"/>
              </w:rPr>
            </w:pPr>
            <w:r>
              <w:rPr>
                <w:rFonts w:hint="eastAsia"/>
                <w:bCs/>
                <w:color w:val="auto"/>
              </w:rPr>
              <w:t>⑦编制突发环境事件应急预案，包括预案适用范围、环境事件分类与分级、组织机构与职责、监控和预警、应急响应、应急保障、善后处置、预案管理与演练等内容。应急预案应体现分级响应、区域联动的原则，与地方政府突发环境事件应急预案相衔接，明确分级响应程序</w:t>
            </w:r>
          </w:p>
        </w:tc>
      </w:tr>
      <w:tr w14:paraId="4BA719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99" w:hRule="atLeast"/>
          <w:jc w:val="center"/>
        </w:trPr>
        <w:tc>
          <w:tcPr>
            <w:tcW w:w="1255" w:type="dxa"/>
            <w:vAlign w:val="center"/>
          </w:tcPr>
          <w:p w14:paraId="5A1959BF">
            <w:pPr>
              <w:adjustRightInd w:val="0"/>
              <w:snapToGrid w:val="0"/>
              <w:spacing w:line="300" w:lineRule="exact"/>
              <w:jc w:val="center"/>
              <w:rPr>
                <w:rFonts w:hint="default" w:ascii="Times New Roman" w:hAnsi="Times New Roman" w:cs="Times New Roman"/>
                <w:color w:val="auto"/>
                <w:spacing w:val="-8"/>
              </w:rPr>
            </w:pPr>
            <w:r>
              <w:rPr>
                <w:rFonts w:hint="default" w:ascii="Times New Roman" w:hAnsi="Times New Roman" w:cs="Times New Roman"/>
                <w:color w:val="auto"/>
                <w:spacing w:val="-8"/>
              </w:rPr>
              <w:t>其他环境</w:t>
            </w:r>
          </w:p>
          <w:p w14:paraId="50B41D33">
            <w:pPr>
              <w:adjustRightInd w:val="0"/>
              <w:snapToGrid w:val="0"/>
              <w:spacing w:line="300" w:lineRule="exact"/>
              <w:jc w:val="center"/>
              <w:rPr>
                <w:rFonts w:hint="default" w:ascii="Times New Roman" w:hAnsi="Times New Roman" w:cs="Times New Roman"/>
                <w:color w:val="FF0000"/>
                <w:spacing w:val="-8"/>
              </w:rPr>
            </w:pPr>
            <w:r>
              <w:rPr>
                <w:rFonts w:hint="default" w:ascii="Times New Roman" w:hAnsi="Times New Roman" w:cs="Times New Roman"/>
                <w:color w:val="auto"/>
                <w:spacing w:val="-8"/>
              </w:rPr>
              <w:t>管理要求</w:t>
            </w:r>
          </w:p>
        </w:tc>
        <w:tc>
          <w:tcPr>
            <w:tcW w:w="7547" w:type="dxa"/>
            <w:gridSpan w:val="4"/>
            <w:vAlign w:val="center"/>
          </w:tcPr>
          <w:p w14:paraId="63A6E49F">
            <w:pPr>
              <w:adjustRightInd w:val="0"/>
              <w:snapToGrid w:val="0"/>
              <w:spacing w:line="30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t>①严格按照国家有关建设项目环保管理规定，各类污染物的排放应执行本次环评规定的标准。</w:t>
            </w:r>
          </w:p>
          <w:p w14:paraId="490967FA">
            <w:pPr>
              <w:adjustRightInd w:val="0"/>
              <w:snapToGrid w:val="0"/>
              <w:spacing w:line="30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t>②确保所用原辅材料为符合环保要求的产品。</w:t>
            </w:r>
          </w:p>
          <w:p w14:paraId="71244519">
            <w:pPr>
              <w:adjustRightInd w:val="0"/>
              <w:snapToGrid w:val="0"/>
              <w:spacing w:line="30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t>③对涉及风险物质设施定期检查，确定其可以长期稳定运行。</w:t>
            </w:r>
          </w:p>
          <w:p w14:paraId="3FEBD584">
            <w:pPr>
              <w:adjustRightInd w:val="0"/>
              <w:snapToGrid w:val="0"/>
              <w:spacing w:line="300" w:lineRule="exact"/>
              <w:ind w:firstLine="420" w:firstLineChars="200"/>
              <w:rPr>
                <w:rFonts w:hint="default" w:ascii="Times New Roman" w:hAnsi="Times New Roman" w:cs="Times New Roman"/>
                <w:color w:val="auto"/>
              </w:rPr>
            </w:pPr>
            <w:r>
              <w:rPr>
                <w:rFonts w:hint="default" w:ascii="Times New Roman" w:hAnsi="Times New Roman" w:cs="Times New Roman"/>
                <w:color w:val="auto"/>
              </w:rPr>
              <w:t>④加强职工宣传教育，制定环保管理制度并严格执行。</w:t>
            </w:r>
          </w:p>
          <w:p w14:paraId="2CF2C258">
            <w:pPr>
              <w:adjustRightInd w:val="0"/>
              <w:snapToGrid w:val="0"/>
              <w:spacing w:line="300" w:lineRule="exact"/>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rPr>
              <w:t>⑤严格按照环</w:t>
            </w:r>
            <w:r>
              <w:rPr>
                <w:rFonts w:hint="default" w:ascii="Times New Roman" w:hAnsi="Times New Roman" w:cs="Times New Roman"/>
                <w:color w:val="auto"/>
                <w:highlight w:val="none"/>
              </w:rPr>
              <w:t>评要求进行例行监测。</w:t>
            </w:r>
          </w:p>
          <w:p w14:paraId="3F1A44D9">
            <w:pPr>
              <w:adjustRightInd w:val="0"/>
              <w:snapToGrid w:val="0"/>
              <w:spacing w:line="240" w:lineRule="exact"/>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⑥</w:t>
            </w:r>
            <w:r>
              <w:rPr>
                <w:rFonts w:hint="default" w:ascii="Times New Roman" w:hAnsi="Times New Roman" w:cs="Times New Roman"/>
                <w:color w:val="auto"/>
                <w:highlight w:val="none"/>
                <w:lang w:val="en-US" w:eastAsia="zh-CN"/>
              </w:rPr>
              <w:t>根据《固定污染源排污许可分类管理名录》（2019年版），</w:t>
            </w:r>
            <w:r>
              <w:rPr>
                <w:rFonts w:hint="eastAsia" w:cs="Times New Roman"/>
                <w:color w:val="auto"/>
                <w:highlight w:val="none"/>
                <w:lang w:eastAsia="zh-CN"/>
              </w:rPr>
              <w:t>项目</w:t>
            </w:r>
            <w:r>
              <w:rPr>
                <w:rFonts w:hint="default" w:ascii="Times New Roman" w:hAnsi="Times New Roman" w:cs="Times New Roman"/>
                <w:color w:val="auto"/>
                <w:highlight w:val="none"/>
                <w:lang w:val="en-US" w:eastAsia="zh-CN"/>
              </w:rPr>
              <w:t>属于</w:t>
            </w:r>
            <w:r>
              <w:rPr>
                <w:rFonts w:hint="eastAsia" w:cs="Times New Roman"/>
                <w:color w:val="auto"/>
                <w:highlight w:val="none"/>
                <w:lang w:val="en-US" w:eastAsia="zh-CN"/>
              </w:rPr>
              <w:t>肥料制造262</w:t>
            </w:r>
            <w:r>
              <w:rPr>
                <w:rFonts w:hint="default" w:ascii="Times New Roman" w:hAnsi="Times New Roman" w:cs="Times New Roman"/>
                <w:color w:val="auto"/>
                <w:highlight w:val="none"/>
                <w:lang w:val="en-US" w:eastAsia="zh-CN"/>
              </w:rPr>
              <w:t>中的“复混肥料制造 2624”，为</w:t>
            </w:r>
            <w:r>
              <w:rPr>
                <w:rFonts w:hint="eastAsia" w:cs="Times New Roman"/>
                <w:color w:val="auto"/>
                <w:highlight w:val="none"/>
                <w:lang w:val="en-US" w:eastAsia="zh-CN"/>
              </w:rPr>
              <w:t>重点</w:t>
            </w:r>
            <w:r>
              <w:rPr>
                <w:rFonts w:hint="default" w:ascii="Times New Roman" w:hAnsi="Times New Roman" w:cs="Times New Roman"/>
                <w:color w:val="auto"/>
                <w:highlight w:val="none"/>
                <w:lang w:val="en-US" w:eastAsia="zh-CN"/>
              </w:rPr>
              <w:t>管理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因此</w:t>
            </w:r>
            <w:r>
              <w:rPr>
                <w:rFonts w:hint="eastAsia" w:cs="Times New Roman"/>
                <w:color w:val="auto"/>
                <w:highlight w:val="none"/>
                <w:lang w:val="en-US" w:eastAsia="zh-CN"/>
              </w:rPr>
              <w:t>项目</w:t>
            </w:r>
            <w:r>
              <w:rPr>
                <w:rFonts w:hint="default" w:ascii="Times New Roman" w:hAnsi="Times New Roman" w:cs="Times New Roman"/>
                <w:color w:val="auto"/>
                <w:highlight w:val="none"/>
              </w:rPr>
              <w:t>完成后投入运行前需</w:t>
            </w:r>
            <w:r>
              <w:rPr>
                <w:rFonts w:hint="eastAsia" w:cs="Times New Roman"/>
                <w:color w:val="auto"/>
                <w:highlight w:val="none"/>
                <w:lang w:val="en-US" w:eastAsia="zh-CN"/>
              </w:rPr>
              <w:t>申请排污许可证</w:t>
            </w:r>
            <w:r>
              <w:rPr>
                <w:rFonts w:hint="default" w:ascii="Times New Roman" w:hAnsi="Times New Roman" w:cs="Times New Roman"/>
                <w:color w:val="auto"/>
                <w:highlight w:val="none"/>
              </w:rPr>
              <w:t>。</w:t>
            </w:r>
          </w:p>
          <w:p w14:paraId="6921F7EF">
            <w:pPr>
              <w:adjustRightInd w:val="0"/>
              <w:snapToGrid w:val="0"/>
              <w:spacing w:line="300" w:lineRule="exact"/>
              <w:ind w:firstLine="420" w:firstLineChars="200"/>
              <w:rPr>
                <w:rFonts w:hint="default" w:ascii="Times New Roman" w:hAnsi="Times New Roman" w:cs="Times New Roman"/>
                <w:color w:val="auto"/>
              </w:rPr>
            </w:pPr>
            <w:r>
              <w:rPr>
                <w:rFonts w:hint="default" w:ascii="Times New Roman" w:hAnsi="Times New Roman" w:cs="Times New Roman"/>
                <w:color w:val="auto"/>
                <w:highlight w:val="none"/>
              </w:rPr>
              <w:t>⑦严格执行环保“三同时”制</w:t>
            </w:r>
            <w:r>
              <w:rPr>
                <w:rFonts w:hint="default" w:ascii="Times New Roman" w:hAnsi="Times New Roman" w:cs="Times New Roman"/>
                <w:color w:val="auto"/>
              </w:rPr>
              <w:t>度，确保各项环保措施落实到位，企业运用后需自行开展环境保护竣工验收，验收时环保设施处理效果及相关管理参数不得低于环评中相关参数要求。</w:t>
            </w:r>
          </w:p>
          <w:p w14:paraId="3C5AD7D3">
            <w:pPr>
              <w:adjustRightInd w:val="0"/>
              <w:snapToGrid w:val="0"/>
              <w:spacing w:line="300" w:lineRule="exact"/>
              <w:ind w:firstLine="420" w:firstLineChars="200"/>
              <w:rPr>
                <w:rFonts w:hint="default" w:ascii="Times New Roman" w:hAnsi="Times New Roman" w:cs="Times New Roman"/>
                <w:color w:val="FF0000"/>
              </w:rPr>
            </w:pPr>
            <w:r>
              <w:rPr>
                <w:rFonts w:hint="default" w:ascii="Times New Roman" w:hAnsi="Times New Roman" w:cs="Times New Roman"/>
                <w:color w:val="auto"/>
              </w:rPr>
              <w:t>⑧根据《排污单位自行监测技术指南 总则》（HJ819-2017）</w:t>
            </w:r>
            <w:r>
              <w:rPr>
                <w:rFonts w:hint="eastAsia" w:cs="Times New Roman"/>
                <w:color w:val="auto"/>
                <w:lang w:eastAsia="zh-CN"/>
              </w:rPr>
              <w:t>、《排污单位自行监测技术指南 磷肥、钾肥、复混肥料、有机肥料和微生物肥料》（HJ 1088—2020）</w:t>
            </w:r>
            <w:r>
              <w:rPr>
                <w:rFonts w:hint="eastAsia" w:cs="Times New Roman"/>
                <w:color w:val="auto"/>
                <w:lang w:val="en-US" w:eastAsia="zh-CN"/>
              </w:rPr>
              <w:t>等</w:t>
            </w:r>
            <w:r>
              <w:rPr>
                <w:rFonts w:hint="default" w:ascii="Times New Roman" w:hAnsi="Times New Roman" w:cs="Times New Roman"/>
                <w:color w:val="auto"/>
                <w:highlight w:val="none"/>
              </w:rPr>
              <w:t>要求，针对</w:t>
            </w:r>
            <w:r>
              <w:rPr>
                <w:rFonts w:hint="eastAsia" w:cs="Times New Roman"/>
                <w:color w:val="auto"/>
                <w:highlight w:val="none"/>
                <w:lang w:eastAsia="zh-CN"/>
              </w:rPr>
              <w:t>项目</w:t>
            </w:r>
            <w:r>
              <w:rPr>
                <w:rFonts w:hint="default" w:ascii="Times New Roman" w:hAnsi="Times New Roman" w:cs="Times New Roman"/>
                <w:color w:val="auto"/>
                <w:highlight w:val="none"/>
              </w:rPr>
              <w:t>所排污染物情况，设置监测计划</w:t>
            </w:r>
            <w:r>
              <w:rPr>
                <w:rFonts w:hint="default" w:ascii="Times New Roman" w:hAnsi="Times New Roman" w:cs="Times New Roman"/>
                <w:color w:val="auto"/>
                <w:highlight w:val="none"/>
                <w:lang w:eastAsia="zh-CN"/>
              </w:rPr>
              <w:t>并定期进行监测</w:t>
            </w:r>
            <w:r>
              <w:rPr>
                <w:rFonts w:hint="default" w:ascii="Times New Roman" w:hAnsi="Times New Roman" w:cs="Times New Roman"/>
                <w:color w:val="auto"/>
                <w:highlight w:val="none"/>
              </w:rPr>
              <w:t>。</w:t>
            </w:r>
          </w:p>
        </w:tc>
      </w:tr>
    </w:tbl>
    <w:p w14:paraId="014458C2">
      <w:pPr>
        <w:pStyle w:val="75"/>
        <w:spacing w:line="420" w:lineRule="exact"/>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cs="Times New Roman"/>
          <w:snapToGrid w:val="0"/>
          <w:color w:val="FF0000"/>
        </w:rPr>
        <w:br w:type="page"/>
      </w:r>
      <w:r>
        <w:rPr>
          <w:rFonts w:hint="default" w:ascii="Times New Roman" w:hAnsi="Times New Roman" w:eastAsia="黑体" w:cs="Times New Roman"/>
          <w:snapToGrid w:val="0"/>
          <w:color w:val="auto"/>
          <w:sz w:val="30"/>
          <w:szCs w:val="30"/>
        </w:rPr>
        <w:t>六、结论</w:t>
      </w:r>
    </w:p>
    <w:tbl>
      <w:tblPr>
        <w:tblStyle w:val="8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60FD84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14:paraId="712D56EE">
            <w:pPr>
              <w:adjustRightInd w:val="0"/>
              <w:snapToGrid w:val="0"/>
              <w:spacing w:line="420" w:lineRule="exact"/>
              <w:ind w:firstLine="420" w:firstLineChars="200"/>
              <w:rPr>
                <w:rFonts w:hint="default" w:ascii="Times New Roman" w:hAnsi="Times New Roman" w:cs="Times New Roman"/>
                <w:color w:val="auto"/>
              </w:rPr>
            </w:pPr>
            <w:r>
              <w:rPr>
                <w:rFonts w:hint="eastAsia" w:cs="Times New Roman"/>
                <w:color w:val="auto"/>
                <w:lang w:eastAsia="zh-CN"/>
              </w:rPr>
              <w:t>一期项目</w:t>
            </w:r>
            <w:r>
              <w:rPr>
                <w:rFonts w:hint="default" w:ascii="Times New Roman" w:hAnsi="Times New Roman" w:cs="Times New Roman"/>
                <w:color w:val="auto"/>
              </w:rPr>
              <w:t>符合国家产业政策的要求。项目区内的污染物可达标排放；在认真落实各项污染防治措施下，对周围环境影响较小，从环保角度上讲，</w:t>
            </w:r>
            <w:r>
              <w:rPr>
                <w:rFonts w:hint="eastAsia" w:cs="Times New Roman"/>
                <w:color w:val="auto"/>
                <w:lang w:eastAsia="zh-CN"/>
              </w:rPr>
              <w:t>一期项目</w:t>
            </w:r>
            <w:r>
              <w:rPr>
                <w:rFonts w:hint="default" w:ascii="Times New Roman" w:hAnsi="Times New Roman" w:cs="Times New Roman"/>
                <w:color w:val="auto"/>
              </w:rPr>
              <w:t>的建设运营是可行的。</w:t>
            </w:r>
          </w:p>
        </w:tc>
      </w:tr>
    </w:tbl>
    <w:p w14:paraId="1563E9E4">
      <w:pPr>
        <w:spacing w:line="420" w:lineRule="exact"/>
        <w:rPr>
          <w:rFonts w:hint="default" w:ascii="Times New Roman" w:hAnsi="Times New Roman" w:cs="Times New Roman"/>
          <w:color w:val="FF0000"/>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1C5CD3A0">
      <w:pPr>
        <w:pStyle w:val="75"/>
        <w:adjustRightInd w:val="0"/>
        <w:snapToGrid w:val="0"/>
        <w:spacing w:before="0" w:beforeAutospacing="0" w:after="0" w:afterAutospacing="0" w:line="420" w:lineRule="exact"/>
        <w:outlineLvl w:val="0"/>
        <w:rPr>
          <w:rFonts w:hint="default" w:ascii="Times New Roman" w:hAnsi="Times New Roman" w:eastAsia="黑体" w:cs="Times New Roman"/>
          <w:snapToGrid w:val="0"/>
          <w:color w:val="auto"/>
          <w:sz w:val="32"/>
          <w:szCs w:val="32"/>
        </w:rPr>
      </w:pPr>
      <w:r>
        <w:rPr>
          <w:rFonts w:hint="default" w:ascii="Times New Roman" w:hAnsi="Times New Roman" w:eastAsia="黑体" w:cs="Times New Roman"/>
          <w:snapToGrid w:val="0"/>
          <w:color w:val="auto"/>
          <w:sz w:val="32"/>
          <w:szCs w:val="32"/>
        </w:rPr>
        <w:t>附表</w:t>
      </w:r>
    </w:p>
    <w:p w14:paraId="52FDDCD7">
      <w:pPr>
        <w:pStyle w:val="75"/>
        <w:adjustRightInd w:val="0"/>
        <w:snapToGrid w:val="0"/>
        <w:spacing w:before="0" w:beforeAutospacing="0" w:after="0" w:afterAutospacing="0" w:line="420" w:lineRule="exact"/>
        <w:jc w:val="center"/>
        <w:outlineLvl w:val="0"/>
        <w:rPr>
          <w:rFonts w:hint="default" w:ascii="Times New Roman" w:hAnsi="Times New Roman" w:eastAsia="方正小标宋_GBK" w:cs="Times New Roman"/>
          <w:snapToGrid w:val="0"/>
          <w:color w:val="auto"/>
          <w:sz w:val="38"/>
          <w:szCs w:val="38"/>
          <w:lang w:eastAsia="zh-CN"/>
        </w:rPr>
      </w:pPr>
      <w:r>
        <w:rPr>
          <w:rFonts w:hint="default" w:ascii="Times New Roman" w:hAnsi="Times New Roman" w:eastAsia="方正小标宋_GBK" w:cs="Times New Roman"/>
          <w:snapToGrid w:val="0"/>
          <w:color w:val="auto"/>
          <w:sz w:val="38"/>
          <w:szCs w:val="38"/>
        </w:rPr>
        <w:t>建设项目污染物排放量汇总表</w:t>
      </w:r>
      <w:r>
        <w:rPr>
          <w:rFonts w:hint="default" w:ascii="Times New Roman" w:hAnsi="Times New Roman" w:eastAsia="方正小标宋_GBK" w:cs="Times New Roman"/>
          <w:snapToGrid w:val="0"/>
          <w:color w:val="auto"/>
          <w:sz w:val="38"/>
          <w:szCs w:val="38"/>
          <w:lang w:eastAsia="zh-CN"/>
        </w:rPr>
        <w:t>（单位：</w:t>
      </w:r>
      <w:r>
        <w:rPr>
          <w:rFonts w:hint="default" w:ascii="Times New Roman" w:hAnsi="Times New Roman" w:eastAsia="方正小标宋_GBK" w:cs="Times New Roman"/>
          <w:snapToGrid w:val="0"/>
          <w:color w:val="auto"/>
          <w:sz w:val="38"/>
          <w:szCs w:val="38"/>
          <w:lang w:val="en-US" w:eastAsia="zh-CN"/>
        </w:rPr>
        <w:t>t/a</w:t>
      </w:r>
      <w:r>
        <w:rPr>
          <w:rFonts w:hint="default" w:ascii="Times New Roman" w:hAnsi="Times New Roman" w:eastAsia="方正小标宋_GBK" w:cs="Times New Roman"/>
          <w:snapToGrid w:val="0"/>
          <w:color w:val="auto"/>
          <w:sz w:val="38"/>
          <w:szCs w:val="38"/>
          <w:lang w:eastAsia="zh-CN"/>
        </w:rPr>
        <w:t>）</w:t>
      </w:r>
    </w:p>
    <w:tbl>
      <w:tblPr>
        <w:tblStyle w:val="81"/>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46"/>
        <w:gridCol w:w="1471"/>
        <w:gridCol w:w="1893"/>
        <w:gridCol w:w="1272"/>
        <w:gridCol w:w="1451"/>
        <w:gridCol w:w="1923"/>
        <w:gridCol w:w="1304"/>
        <w:gridCol w:w="1856"/>
        <w:gridCol w:w="1272"/>
      </w:tblGrid>
      <w:tr w14:paraId="4DA7AC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346" w:type="dxa"/>
            <w:tcBorders>
              <w:tl2br w:val="single" w:color="auto" w:sz="4" w:space="0"/>
            </w:tcBorders>
            <w:tcMar>
              <w:left w:w="28" w:type="dxa"/>
              <w:right w:w="28" w:type="dxa"/>
            </w:tcMar>
            <w:vAlign w:val="center"/>
          </w:tcPr>
          <w:p w14:paraId="3AA23FBA">
            <w:pPr>
              <w:pStyle w:val="200"/>
              <w:spacing w:beforeLines="0" w:afterLines="0" w:line="240" w:lineRule="auto"/>
              <w:jc w:val="center"/>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项目</w:t>
            </w:r>
          </w:p>
          <w:p w14:paraId="6AB6EFDC">
            <w:pPr>
              <w:pStyle w:val="200"/>
              <w:spacing w:beforeLines="0" w:afterLines="0" w:line="240" w:lineRule="auto"/>
              <w:jc w:val="center"/>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分类</w:t>
            </w:r>
          </w:p>
        </w:tc>
        <w:tc>
          <w:tcPr>
            <w:tcW w:w="1471" w:type="dxa"/>
            <w:tcMar>
              <w:left w:w="28" w:type="dxa"/>
              <w:right w:w="28" w:type="dxa"/>
            </w:tcMar>
            <w:vAlign w:val="center"/>
          </w:tcPr>
          <w:p w14:paraId="1F3EF705">
            <w:pPr>
              <w:pStyle w:val="200"/>
              <w:spacing w:beforeLines="0" w:afterLines="0" w:line="240" w:lineRule="auto"/>
              <w:jc w:val="center"/>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污染物名称</w:t>
            </w:r>
          </w:p>
        </w:tc>
        <w:tc>
          <w:tcPr>
            <w:tcW w:w="1893" w:type="dxa"/>
            <w:tcMar>
              <w:left w:w="28" w:type="dxa"/>
              <w:right w:w="28" w:type="dxa"/>
            </w:tcMar>
            <w:vAlign w:val="center"/>
          </w:tcPr>
          <w:p w14:paraId="4296F1F8">
            <w:pPr>
              <w:pStyle w:val="200"/>
              <w:spacing w:beforeLines="0" w:afterLines="0" w:line="240" w:lineRule="auto"/>
              <w:jc w:val="center"/>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现有工程</w:t>
            </w:r>
          </w:p>
          <w:p w14:paraId="105AB919">
            <w:pPr>
              <w:pStyle w:val="200"/>
              <w:spacing w:beforeLines="0" w:afterLines="0" w:line="240" w:lineRule="auto"/>
              <w:jc w:val="center"/>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排放量（固体废物产生量）</w:t>
            </w:r>
            <w:r>
              <w:rPr>
                <w:rFonts w:hint="default" w:ascii="Times New Roman" w:hAnsi="Times New Roman" w:eastAsia="黑体" w:cs="Times New Roman"/>
                <w:snapToGrid w:val="0"/>
                <w:color w:val="auto"/>
                <w:spacing w:val="-6"/>
                <w:kern w:val="21"/>
                <w:sz w:val="21"/>
                <w:szCs w:val="21"/>
              </w:rPr>
              <w:fldChar w:fldCharType="begin"/>
            </w:r>
            <w:r>
              <w:rPr>
                <w:rFonts w:hint="default" w:ascii="Times New Roman" w:hAnsi="Times New Roman" w:eastAsia="黑体" w:cs="Times New Roman"/>
                <w:snapToGrid w:val="0"/>
                <w:color w:val="auto"/>
                <w:spacing w:val="-6"/>
                <w:kern w:val="21"/>
                <w:sz w:val="21"/>
                <w:szCs w:val="21"/>
              </w:rPr>
              <w:instrText xml:space="preserve"> = 1 \* GB3 \* MERGEFORMAT </w:instrText>
            </w:r>
            <w:r>
              <w:rPr>
                <w:rFonts w:hint="default" w:ascii="Times New Roman" w:hAnsi="Times New Roman" w:eastAsia="黑体" w:cs="Times New Roman"/>
                <w:snapToGrid w:val="0"/>
                <w:color w:val="auto"/>
                <w:spacing w:val="-6"/>
                <w:kern w:val="21"/>
                <w:sz w:val="21"/>
                <w:szCs w:val="21"/>
              </w:rPr>
              <w:fldChar w:fldCharType="separate"/>
            </w:r>
            <w:r>
              <w:rPr>
                <w:rFonts w:hint="default" w:ascii="Times New Roman" w:hAnsi="Times New Roman" w:eastAsia="黑体" w:cs="Times New Roman"/>
                <w:color w:val="auto"/>
                <w:kern w:val="2"/>
                <w:sz w:val="21"/>
                <w:szCs w:val="21"/>
              </w:rPr>
              <w:t>①</w:t>
            </w:r>
            <w:r>
              <w:rPr>
                <w:rFonts w:hint="default" w:ascii="Times New Roman" w:hAnsi="Times New Roman" w:eastAsia="黑体" w:cs="Times New Roman"/>
                <w:snapToGrid w:val="0"/>
                <w:color w:val="auto"/>
                <w:spacing w:val="-6"/>
                <w:kern w:val="21"/>
                <w:sz w:val="21"/>
                <w:szCs w:val="21"/>
              </w:rPr>
              <w:fldChar w:fldCharType="end"/>
            </w:r>
          </w:p>
        </w:tc>
        <w:tc>
          <w:tcPr>
            <w:tcW w:w="1272" w:type="dxa"/>
            <w:tcMar>
              <w:left w:w="28" w:type="dxa"/>
              <w:right w:w="28" w:type="dxa"/>
            </w:tcMar>
            <w:vAlign w:val="center"/>
          </w:tcPr>
          <w:p w14:paraId="3AB493FC">
            <w:pPr>
              <w:pStyle w:val="200"/>
              <w:spacing w:beforeLines="0" w:afterLines="0" w:line="240" w:lineRule="auto"/>
              <w:jc w:val="center"/>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现有工程</w:t>
            </w:r>
          </w:p>
          <w:p w14:paraId="5BBD6BF8">
            <w:pPr>
              <w:pStyle w:val="200"/>
              <w:spacing w:beforeLines="0" w:afterLines="0" w:line="240" w:lineRule="auto"/>
              <w:jc w:val="center"/>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许可排放量</w:t>
            </w:r>
          </w:p>
          <w:p w14:paraId="66A385C8">
            <w:pPr>
              <w:pStyle w:val="200"/>
              <w:spacing w:beforeLines="0" w:afterLines="0" w:line="240" w:lineRule="auto"/>
              <w:jc w:val="center"/>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fldChar w:fldCharType="begin"/>
            </w:r>
            <w:r>
              <w:rPr>
                <w:rFonts w:hint="default" w:ascii="Times New Roman" w:hAnsi="Times New Roman" w:eastAsia="黑体" w:cs="Times New Roman"/>
                <w:snapToGrid w:val="0"/>
                <w:color w:val="auto"/>
                <w:spacing w:val="-6"/>
                <w:kern w:val="21"/>
                <w:sz w:val="21"/>
                <w:szCs w:val="21"/>
              </w:rPr>
              <w:instrText xml:space="preserve"> = 2 \* GB3 \* MERGEFORMAT </w:instrText>
            </w:r>
            <w:r>
              <w:rPr>
                <w:rFonts w:hint="default" w:ascii="Times New Roman" w:hAnsi="Times New Roman" w:eastAsia="黑体" w:cs="Times New Roman"/>
                <w:snapToGrid w:val="0"/>
                <w:color w:val="auto"/>
                <w:spacing w:val="-6"/>
                <w:kern w:val="21"/>
                <w:sz w:val="21"/>
                <w:szCs w:val="21"/>
              </w:rPr>
              <w:fldChar w:fldCharType="separate"/>
            </w:r>
            <w:r>
              <w:rPr>
                <w:rFonts w:hint="default" w:ascii="Times New Roman" w:hAnsi="Times New Roman" w:eastAsia="黑体" w:cs="Times New Roman"/>
                <w:snapToGrid w:val="0"/>
                <w:color w:val="auto"/>
                <w:spacing w:val="-6"/>
                <w:kern w:val="21"/>
                <w:sz w:val="21"/>
                <w:szCs w:val="21"/>
              </w:rPr>
              <w:t>②</w:t>
            </w:r>
            <w:r>
              <w:rPr>
                <w:rFonts w:hint="default" w:ascii="Times New Roman" w:hAnsi="Times New Roman" w:eastAsia="黑体" w:cs="Times New Roman"/>
                <w:snapToGrid w:val="0"/>
                <w:color w:val="auto"/>
                <w:spacing w:val="-6"/>
                <w:kern w:val="21"/>
                <w:sz w:val="21"/>
                <w:szCs w:val="21"/>
              </w:rPr>
              <w:fldChar w:fldCharType="end"/>
            </w:r>
          </w:p>
        </w:tc>
        <w:tc>
          <w:tcPr>
            <w:tcW w:w="1451" w:type="dxa"/>
            <w:tcMar>
              <w:left w:w="28" w:type="dxa"/>
              <w:right w:w="28" w:type="dxa"/>
            </w:tcMar>
            <w:vAlign w:val="center"/>
          </w:tcPr>
          <w:p w14:paraId="147FADCC">
            <w:pPr>
              <w:pStyle w:val="200"/>
              <w:spacing w:beforeLines="0" w:afterLines="0" w:line="240" w:lineRule="auto"/>
              <w:jc w:val="center"/>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在建工程</w:t>
            </w:r>
          </w:p>
          <w:p w14:paraId="31C7E8BD">
            <w:pPr>
              <w:pStyle w:val="200"/>
              <w:spacing w:beforeLines="0" w:afterLines="0" w:line="240" w:lineRule="auto"/>
              <w:jc w:val="center"/>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排放量（固体废物产生量）</w:t>
            </w:r>
            <w:r>
              <w:rPr>
                <w:rFonts w:hint="default" w:ascii="Times New Roman" w:hAnsi="Times New Roman" w:eastAsia="黑体" w:cs="Times New Roman"/>
                <w:snapToGrid w:val="0"/>
                <w:color w:val="auto"/>
                <w:spacing w:val="-6"/>
                <w:kern w:val="21"/>
                <w:sz w:val="21"/>
                <w:szCs w:val="21"/>
              </w:rPr>
              <w:fldChar w:fldCharType="begin"/>
            </w:r>
            <w:r>
              <w:rPr>
                <w:rFonts w:hint="default" w:ascii="Times New Roman" w:hAnsi="Times New Roman" w:eastAsia="黑体" w:cs="Times New Roman"/>
                <w:snapToGrid w:val="0"/>
                <w:color w:val="auto"/>
                <w:spacing w:val="-6"/>
                <w:kern w:val="21"/>
                <w:sz w:val="21"/>
                <w:szCs w:val="21"/>
              </w:rPr>
              <w:instrText xml:space="preserve"> = 3 \* GB3 \* MERGEFORMAT </w:instrText>
            </w:r>
            <w:r>
              <w:rPr>
                <w:rFonts w:hint="default" w:ascii="Times New Roman" w:hAnsi="Times New Roman" w:eastAsia="黑体" w:cs="Times New Roman"/>
                <w:snapToGrid w:val="0"/>
                <w:color w:val="auto"/>
                <w:spacing w:val="-6"/>
                <w:kern w:val="21"/>
                <w:sz w:val="21"/>
                <w:szCs w:val="21"/>
              </w:rPr>
              <w:fldChar w:fldCharType="separate"/>
            </w:r>
            <w:r>
              <w:rPr>
                <w:rFonts w:hint="default" w:ascii="Times New Roman" w:hAnsi="Times New Roman" w:eastAsia="黑体" w:cs="Times New Roman"/>
                <w:color w:val="auto"/>
                <w:kern w:val="2"/>
                <w:sz w:val="21"/>
                <w:szCs w:val="21"/>
              </w:rPr>
              <w:t>③</w:t>
            </w:r>
            <w:r>
              <w:rPr>
                <w:rFonts w:hint="default" w:ascii="Times New Roman" w:hAnsi="Times New Roman" w:eastAsia="黑体" w:cs="Times New Roman"/>
                <w:snapToGrid w:val="0"/>
                <w:color w:val="auto"/>
                <w:spacing w:val="-6"/>
                <w:kern w:val="21"/>
                <w:sz w:val="21"/>
                <w:szCs w:val="21"/>
              </w:rPr>
              <w:fldChar w:fldCharType="end"/>
            </w:r>
          </w:p>
        </w:tc>
        <w:tc>
          <w:tcPr>
            <w:tcW w:w="1923" w:type="dxa"/>
            <w:tcMar>
              <w:left w:w="28" w:type="dxa"/>
              <w:right w:w="28" w:type="dxa"/>
            </w:tcMar>
            <w:vAlign w:val="center"/>
          </w:tcPr>
          <w:p w14:paraId="4B22BCC0">
            <w:pPr>
              <w:pStyle w:val="200"/>
              <w:spacing w:beforeLines="0" w:afterLines="0" w:line="240" w:lineRule="auto"/>
              <w:jc w:val="center"/>
              <w:rPr>
                <w:rFonts w:hint="eastAsia" w:ascii="Times New Roman" w:hAnsi="Times New Roman" w:eastAsia="黑体" w:cs="Times New Roman"/>
                <w:snapToGrid w:val="0"/>
                <w:color w:val="auto"/>
                <w:spacing w:val="-6"/>
                <w:kern w:val="21"/>
                <w:sz w:val="21"/>
                <w:szCs w:val="21"/>
                <w:lang w:eastAsia="zh-CN"/>
              </w:rPr>
            </w:pPr>
            <w:r>
              <w:rPr>
                <w:rFonts w:hint="eastAsia" w:ascii="Times New Roman" w:eastAsia="黑体" w:cs="Times New Roman"/>
                <w:snapToGrid w:val="0"/>
                <w:color w:val="auto"/>
                <w:spacing w:val="-6"/>
                <w:kern w:val="21"/>
                <w:sz w:val="21"/>
                <w:szCs w:val="21"/>
                <w:lang w:eastAsia="zh-CN"/>
              </w:rPr>
              <w:t>一期项目</w:t>
            </w:r>
          </w:p>
          <w:p w14:paraId="1D7C5824">
            <w:pPr>
              <w:pStyle w:val="200"/>
              <w:spacing w:beforeLines="0" w:afterLines="0" w:line="240" w:lineRule="auto"/>
              <w:jc w:val="center"/>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排放量（固体废物产生量）</w:t>
            </w:r>
            <w:r>
              <w:rPr>
                <w:rFonts w:hint="default" w:ascii="Times New Roman" w:hAnsi="Times New Roman" w:eastAsia="黑体" w:cs="Times New Roman"/>
                <w:snapToGrid w:val="0"/>
                <w:color w:val="auto"/>
                <w:spacing w:val="-6"/>
                <w:kern w:val="21"/>
                <w:sz w:val="21"/>
                <w:szCs w:val="21"/>
              </w:rPr>
              <w:fldChar w:fldCharType="begin"/>
            </w:r>
            <w:r>
              <w:rPr>
                <w:rFonts w:hint="default" w:ascii="Times New Roman" w:hAnsi="Times New Roman" w:eastAsia="黑体" w:cs="Times New Roman"/>
                <w:snapToGrid w:val="0"/>
                <w:color w:val="auto"/>
                <w:spacing w:val="-6"/>
                <w:kern w:val="21"/>
                <w:sz w:val="21"/>
                <w:szCs w:val="21"/>
              </w:rPr>
              <w:instrText xml:space="preserve"> = 4 \* GB3 \* MERGEFORMAT </w:instrText>
            </w:r>
            <w:r>
              <w:rPr>
                <w:rFonts w:hint="default" w:ascii="Times New Roman" w:hAnsi="Times New Roman" w:eastAsia="黑体" w:cs="Times New Roman"/>
                <w:snapToGrid w:val="0"/>
                <w:color w:val="auto"/>
                <w:spacing w:val="-6"/>
                <w:kern w:val="21"/>
                <w:sz w:val="21"/>
                <w:szCs w:val="21"/>
              </w:rPr>
              <w:fldChar w:fldCharType="separate"/>
            </w:r>
            <w:r>
              <w:rPr>
                <w:rFonts w:hint="default" w:ascii="Times New Roman" w:hAnsi="Times New Roman" w:eastAsia="黑体" w:cs="Times New Roman"/>
                <w:color w:val="auto"/>
                <w:kern w:val="2"/>
                <w:sz w:val="21"/>
                <w:szCs w:val="21"/>
              </w:rPr>
              <w:t>④</w:t>
            </w:r>
            <w:r>
              <w:rPr>
                <w:rFonts w:hint="default" w:ascii="Times New Roman" w:hAnsi="Times New Roman" w:eastAsia="黑体" w:cs="Times New Roman"/>
                <w:snapToGrid w:val="0"/>
                <w:color w:val="auto"/>
                <w:spacing w:val="-6"/>
                <w:kern w:val="21"/>
                <w:sz w:val="21"/>
                <w:szCs w:val="21"/>
              </w:rPr>
              <w:fldChar w:fldCharType="end"/>
            </w:r>
          </w:p>
        </w:tc>
        <w:tc>
          <w:tcPr>
            <w:tcW w:w="1304" w:type="dxa"/>
            <w:tcMar>
              <w:left w:w="28" w:type="dxa"/>
              <w:right w:w="28" w:type="dxa"/>
            </w:tcMar>
            <w:vAlign w:val="center"/>
          </w:tcPr>
          <w:p w14:paraId="524883C3">
            <w:pPr>
              <w:pStyle w:val="200"/>
              <w:spacing w:beforeLines="0" w:afterLines="0" w:line="240" w:lineRule="auto"/>
              <w:jc w:val="center"/>
              <w:rPr>
                <w:rFonts w:hint="default" w:ascii="Times New Roman" w:hAnsi="Times New Roman" w:eastAsia="黑体" w:cs="Times New Roman"/>
                <w:snapToGrid w:val="0"/>
                <w:color w:val="auto"/>
                <w:spacing w:val="-16"/>
                <w:kern w:val="21"/>
                <w:sz w:val="21"/>
                <w:szCs w:val="21"/>
              </w:rPr>
            </w:pPr>
            <w:r>
              <w:rPr>
                <w:rFonts w:hint="default" w:ascii="Times New Roman" w:hAnsi="Times New Roman" w:eastAsia="黑体" w:cs="Times New Roman"/>
                <w:snapToGrid w:val="0"/>
                <w:color w:val="auto"/>
                <w:spacing w:val="-16"/>
                <w:kern w:val="21"/>
                <w:sz w:val="21"/>
                <w:szCs w:val="21"/>
              </w:rPr>
              <w:t>以新带老削减量</w:t>
            </w:r>
          </w:p>
          <w:p w14:paraId="336AFE78">
            <w:pPr>
              <w:pStyle w:val="200"/>
              <w:spacing w:beforeLines="0" w:afterLines="0" w:line="240" w:lineRule="auto"/>
              <w:jc w:val="center"/>
              <w:rPr>
                <w:rFonts w:hint="default" w:ascii="Times New Roman" w:hAnsi="Times New Roman" w:eastAsia="黑体" w:cs="Times New Roman"/>
                <w:snapToGrid w:val="0"/>
                <w:color w:val="auto"/>
                <w:spacing w:val="-16"/>
                <w:kern w:val="21"/>
                <w:sz w:val="21"/>
                <w:szCs w:val="21"/>
              </w:rPr>
            </w:pPr>
            <w:r>
              <w:rPr>
                <w:rFonts w:hint="default" w:ascii="Times New Roman" w:hAnsi="Times New Roman" w:eastAsia="黑体" w:cs="Times New Roman"/>
                <w:snapToGrid w:val="0"/>
                <w:color w:val="auto"/>
                <w:spacing w:val="-16"/>
                <w:kern w:val="21"/>
                <w:sz w:val="21"/>
                <w:szCs w:val="21"/>
              </w:rPr>
              <w:t>（新建项目不填）</w:t>
            </w:r>
            <w:r>
              <w:rPr>
                <w:rFonts w:hint="default" w:ascii="Times New Roman" w:hAnsi="Times New Roman" w:eastAsia="黑体" w:cs="Times New Roman"/>
                <w:snapToGrid w:val="0"/>
                <w:color w:val="auto"/>
                <w:spacing w:val="-16"/>
                <w:kern w:val="21"/>
                <w:sz w:val="21"/>
                <w:szCs w:val="21"/>
              </w:rPr>
              <w:fldChar w:fldCharType="begin"/>
            </w:r>
            <w:r>
              <w:rPr>
                <w:rFonts w:hint="default" w:ascii="Times New Roman" w:hAnsi="Times New Roman" w:eastAsia="黑体" w:cs="Times New Roman"/>
                <w:snapToGrid w:val="0"/>
                <w:color w:val="auto"/>
                <w:spacing w:val="-16"/>
                <w:kern w:val="21"/>
                <w:sz w:val="21"/>
                <w:szCs w:val="21"/>
              </w:rPr>
              <w:instrText xml:space="preserve"> = 5 \* GB3 \* MERGEFORMAT </w:instrText>
            </w:r>
            <w:r>
              <w:rPr>
                <w:rFonts w:hint="default" w:ascii="Times New Roman" w:hAnsi="Times New Roman" w:eastAsia="黑体" w:cs="Times New Roman"/>
                <w:snapToGrid w:val="0"/>
                <w:color w:val="auto"/>
                <w:spacing w:val="-16"/>
                <w:kern w:val="21"/>
                <w:sz w:val="21"/>
                <w:szCs w:val="21"/>
              </w:rPr>
              <w:fldChar w:fldCharType="separate"/>
            </w:r>
            <w:r>
              <w:rPr>
                <w:rFonts w:hint="default" w:ascii="Times New Roman" w:hAnsi="Times New Roman" w:eastAsia="黑体" w:cs="Times New Roman"/>
                <w:color w:val="auto"/>
                <w:kern w:val="2"/>
                <w:sz w:val="21"/>
                <w:szCs w:val="21"/>
              </w:rPr>
              <w:t>⑤</w:t>
            </w:r>
            <w:r>
              <w:rPr>
                <w:rFonts w:hint="default" w:ascii="Times New Roman" w:hAnsi="Times New Roman" w:eastAsia="黑体" w:cs="Times New Roman"/>
                <w:snapToGrid w:val="0"/>
                <w:color w:val="auto"/>
                <w:spacing w:val="-16"/>
                <w:kern w:val="21"/>
                <w:sz w:val="21"/>
                <w:szCs w:val="21"/>
              </w:rPr>
              <w:fldChar w:fldCharType="end"/>
            </w:r>
          </w:p>
        </w:tc>
        <w:tc>
          <w:tcPr>
            <w:tcW w:w="1856" w:type="dxa"/>
            <w:tcMar>
              <w:left w:w="28" w:type="dxa"/>
              <w:right w:w="28" w:type="dxa"/>
            </w:tcMar>
            <w:vAlign w:val="center"/>
          </w:tcPr>
          <w:p w14:paraId="2DE853A2">
            <w:pPr>
              <w:pStyle w:val="200"/>
              <w:spacing w:beforeLines="0" w:afterLines="0" w:line="240" w:lineRule="auto"/>
              <w:jc w:val="center"/>
              <w:rPr>
                <w:rFonts w:hint="default" w:ascii="Times New Roman" w:hAnsi="Times New Roman" w:eastAsia="黑体" w:cs="Times New Roman"/>
                <w:snapToGrid w:val="0"/>
                <w:color w:val="auto"/>
                <w:spacing w:val="-16"/>
                <w:kern w:val="21"/>
                <w:sz w:val="21"/>
                <w:szCs w:val="21"/>
              </w:rPr>
            </w:pPr>
            <w:r>
              <w:rPr>
                <w:rFonts w:hint="eastAsia" w:ascii="Times New Roman" w:eastAsia="黑体" w:cs="Times New Roman"/>
                <w:snapToGrid w:val="0"/>
                <w:color w:val="auto"/>
                <w:spacing w:val="-16"/>
                <w:kern w:val="21"/>
                <w:sz w:val="21"/>
                <w:szCs w:val="21"/>
                <w:lang w:eastAsia="zh-CN"/>
              </w:rPr>
              <w:t>一期项目</w:t>
            </w:r>
            <w:r>
              <w:rPr>
                <w:rFonts w:hint="default" w:ascii="Times New Roman" w:hAnsi="Times New Roman" w:eastAsia="黑体" w:cs="Times New Roman"/>
                <w:snapToGrid w:val="0"/>
                <w:color w:val="auto"/>
                <w:spacing w:val="-16"/>
                <w:kern w:val="21"/>
                <w:sz w:val="21"/>
                <w:szCs w:val="21"/>
              </w:rPr>
              <w:t>建成后</w:t>
            </w:r>
          </w:p>
          <w:p w14:paraId="1B1566CE">
            <w:pPr>
              <w:pStyle w:val="200"/>
              <w:spacing w:beforeLines="0" w:afterLines="0" w:line="240" w:lineRule="auto"/>
              <w:jc w:val="center"/>
              <w:rPr>
                <w:rFonts w:hint="default" w:ascii="Times New Roman" w:hAnsi="Times New Roman" w:eastAsia="黑体" w:cs="Times New Roman"/>
                <w:snapToGrid w:val="0"/>
                <w:color w:val="auto"/>
                <w:spacing w:val="-16"/>
                <w:kern w:val="21"/>
                <w:sz w:val="21"/>
                <w:szCs w:val="21"/>
              </w:rPr>
            </w:pPr>
            <w:r>
              <w:rPr>
                <w:rFonts w:hint="default" w:ascii="Times New Roman" w:hAnsi="Times New Roman" w:eastAsia="黑体" w:cs="Times New Roman"/>
                <w:snapToGrid w:val="0"/>
                <w:color w:val="auto"/>
                <w:spacing w:val="-16"/>
                <w:kern w:val="21"/>
                <w:sz w:val="21"/>
                <w:szCs w:val="21"/>
              </w:rPr>
              <w:t>全厂排放量（固体废物产生量）</w:t>
            </w:r>
            <w:r>
              <w:rPr>
                <w:rFonts w:hint="default" w:ascii="Times New Roman" w:hAnsi="Times New Roman" w:eastAsia="黑体" w:cs="Times New Roman"/>
                <w:snapToGrid w:val="0"/>
                <w:color w:val="auto"/>
                <w:spacing w:val="-16"/>
                <w:kern w:val="21"/>
                <w:sz w:val="21"/>
                <w:szCs w:val="21"/>
              </w:rPr>
              <w:fldChar w:fldCharType="begin"/>
            </w:r>
            <w:r>
              <w:rPr>
                <w:rFonts w:hint="default" w:ascii="Times New Roman" w:hAnsi="Times New Roman" w:eastAsia="黑体" w:cs="Times New Roman"/>
                <w:snapToGrid w:val="0"/>
                <w:color w:val="auto"/>
                <w:spacing w:val="-16"/>
                <w:kern w:val="21"/>
                <w:sz w:val="21"/>
                <w:szCs w:val="21"/>
              </w:rPr>
              <w:instrText xml:space="preserve"> = 6 \* GB3 \* MERGEFORMAT </w:instrText>
            </w:r>
            <w:r>
              <w:rPr>
                <w:rFonts w:hint="default" w:ascii="Times New Roman" w:hAnsi="Times New Roman" w:eastAsia="黑体" w:cs="Times New Roman"/>
                <w:snapToGrid w:val="0"/>
                <w:color w:val="auto"/>
                <w:spacing w:val="-16"/>
                <w:kern w:val="21"/>
                <w:sz w:val="21"/>
                <w:szCs w:val="21"/>
              </w:rPr>
              <w:fldChar w:fldCharType="separate"/>
            </w:r>
            <w:r>
              <w:rPr>
                <w:rFonts w:hint="default" w:ascii="Times New Roman" w:hAnsi="Times New Roman" w:eastAsia="黑体" w:cs="Times New Roman"/>
                <w:color w:val="auto"/>
                <w:kern w:val="2"/>
                <w:sz w:val="21"/>
                <w:szCs w:val="21"/>
              </w:rPr>
              <w:t>⑥</w:t>
            </w:r>
            <w:r>
              <w:rPr>
                <w:rFonts w:hint="default" w:ascii="Times New Roman" w:hAnsi="Times New Roman" w:eastAsia="黑体" w:cs="Times New Roman"/>
                <w:snapToGrid w:val="0"/>
                <w:color w:val="auto"/>
                <w:spacing w:val="-16"/>
                <w:kern w:val="21"/>
                <w:sz w:val="21"/>
                <w:szCs w:val="21"/>
              </w:rPr>
              <w:fldChar w:fldCharType="end"/>
            </w:r>
          </w:p>
        </w:tc>
        <w:tc>
          <w:tcPr>
            <w:tcW w:w="1272" w:type="dxa"/>
            <w:tcMar>
              <w:left w:w="28" w:type="dxa"/>
              <w:right w:w="28" w:type="dxa"/>
            </w:tcMar>
            <w:vAlign w:val="center"/>
          </w:tcPr>
          <w:p w14:paraId="09876AED">
            <w:pPr>
              <w:pStyle w:val="200"/>
              <w:spacing w:beforeLines="0" w:afterLines="0" w:line="240" w:lineRule="auto"/>
              <w:jc w:val="center"/>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t>变化量</w:t>
            </w:r>
          </w:p>
          <w:p w14:paraId="3C58EA5A">
            <w:pPr>
              <w:pStyle w:val="200"/>
              <w:spacing w:beforeLines="0" w:afterLines="0" w:line="240" w:lineRule="auto"/>
              <w:jc w:val="center"/>
              <w:rPr>
                <w:rFonts w:hint="default" w:ascii="Times New Roman" w:hAnsi="Times New Roman" w:eastAsia="黑体" w:cs="Times New Roman"/>
                <w:snapToGrid w:val="0"/>
                <w:color w:val="auto"/>
                <w:spacing w:val="-6"/>
                <w:kern w:val="21"/>
                <w:sz w:val="21"/>
                <w:szCs w:val="21"/>
              </w:rPr>
            </w:pPr>
            <w:r>
              <w:rPr>
                <w:rFonts w:hint="default" w:ascii="Times New Roman" w:hAnsi="Times New Roman" w:eastAsia="黑体" w:cs="Times New Roman"/>
                <w:snapToGrid w:val="0"/>
                <w:color w:val="auto"/>
                <w:spacing w:val="-6"/>
                <w:kern w:val="21"/>
                <w:sz w:val="21"/>
                <w:szCs w:val="21"/>
              </w:rPr>
              <w:fldChar w:fldCharType="begin"/>
            </w:r>
            <w:r>
              <w:rPr>
                <w:rFonts w:hint="default" w:ascii="Times New Roman" w:hAnsi="Times New Roman" w:eastAsia="黑体" w:cs="Times New Roman"/>
                <w:snapToGrid w:val="0"/>
                <w:color w:val="auto"/>
                <w:spacing w:val="-6"/>
                <w:kern w:val="21"/>
                <w:sz w:val="21"/>
                <w:szCs w:val="21"/>
              </w:rPr>
              <w:instrText xml:space="preserve"> = 7 \* GB3 \* MERGEFORMAT </w:instrText>
            </w:r>
            <w:r>
              <w:rPr>
                <w:rFonts w:hint="default" w:ascii="Times New Roman" w:hAnsi="Times New Roman" w:eastAsia="黑体" w:cs="Times New Roman"/>
                <w:snapToGrid w:val="0"/>
                <w:color w:val="auto"/>
                <w:spacing w:val="-6"/>
                <w:kern w:val="21"/>
                <w:sz w:val="21"/>
                <w:szCs w:val="21"/>
              </w:rPr>
              <w:fldChar w:fldCharType="separate"/>
            </w:r>
            <w:r>
              <w:rPr>
                <w:rFonts w:hint="default" w:ascii="Times New Roman" w:hAnsi="Times New Roman" w:eastAsia="黑体" w:cs="Times New Roman"/>
                <w:color w:val="auto"/>
                <w:kern w:val="2"/>
                <w:sz w:val="21"/>
                <w:szCs w:val="21"/>
              </w:rPr>
              <w:t>⑦</w:t>
            </w:r>
            <w:r>
              <w:rPr>
                <w:rFonts w:hint="default" w:ascii="Times New Roman" w:hAnsi="Times New Roman" w:eastAsia="黑体" w:cs="Times New Roman"/>
                <w:snapToGrid w:val="0"/>
                <w:color w:val="auto"/>
                <w:spacing w:val="-6"/>
                <w:kern w:val="21"/>
                <w:sz w:val="21"/>
                <w:szCs w:val="21"/>
              </w:rPr>
              <w:fldChar w:fldCharType="end"/>
            </w:r>
          </w:p>
        </w:tc>
      </w:tr>
      <w:tr w14:paraId="072464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46" w:type="dxa"/>
            <w:vMerge w:val="restart"/>
            <w:vAlign w:val="center"/>
          </w:tcPr>
          <w:p w14:paraId="183E05AD">
            <w:pPr>
              <w:pStyle w:val="200"/>
              <w:spacing w:beforeLines="0" w:afterLines="0" w:line="240" w:lineRule="auto"/>
              <w:jc w:val="center"/>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废气</w:t>
            </w:r>
          </w:p>
        </w:tc>
        <w:tc>
          <w:tcPr>
            <w:tcW w:w="1471" w:type="dxa"/>
            <w:vAlign w:val="center"/>
          </w:tcPr>
          <w:p w14:paraId="3E6535A8">
            <w:pPr>
              <w:pStyle w:val="20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颗粒物</w:t>
            </w:r>
          </w:p>
        </w:tc>
        <w:tc>
          <w:tcPr>
            <w:tcW w:w="1893" w:type="dxa"/>
            <w:vAlign w:val="center"/>
          </w:tcPr>
          <w:p w14:paraId="7CEF9F24">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1272" w:type="dxa"/>
            <w:vAlign w:val="center"/>
          </w:tcPr>
          <w:p w14:paraId="516D5C7D">
            <w:pPr>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1451" w:type="dxa"/>
            <w:vAlign w:val="center"/>
          </w:tcPr>
          <w:p w14:paraId="753C901A">
            <w:pPr>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1923" w:type="dxa"/>
            <w:vAlign w:val="center"/>
          </w:tcPr>
          <w:p w14:paraId="26ED738C">
            <w:pPr>
              <w:pStyle w:val="20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bidi="ar-SA"/>
              </w:rPr>
              <w:t>2.38</w:t>
            </w:r>
          </w:p>
        </w:tc>
        <w:tc>
          <w:tcPr>
            <w:tcW w:w="1304" w:type="dxa"/>
            <w:vAlign w:val="center"/>
          </w:tcPr>
          <w:p w14:paraId="5D95B4EC">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bidi="ar-SA"/>
              </w:rPr>
              <w:t>0</w:t>
            </w:r>
          </w:p>
        </w:tc>
        <w:tc>
          <w:tcPr>
            <w:tcW w:w="1856" w:type="dxa"/>
            <w:shd w:val="clear" w:color="auto" w:fill="auto"/>
            <w:vAlign w:val="center"/>
          </w:tcPr>
          <w:p w14:paraId="589B8C24">
            <w:pPr>
              <w:pStyle w:val="20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bidi="ar-SA"/>
              </w:rPr>
              <w:t>2.38</w:t>
            </w:r>
          </w:p>
        </w:tc>
        <w:tc>
          <w:tcPr>
            <w:tcW w:w="1272" w:type="dxa"/>
            <w:shd w:val="clear" w:color="auto" w:fill="auto"/>
            <w:vAlign w:val="center"/>
          </w:tcPr>
          <w:p w14:paraId="169D9CBD">
            <w:pPr>
              <w:pStyle w:val="20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bidi="ar-SA"/>
              </w:rPr>
              <w:t>2.38</w:t>
            </w:r>
          </w:p>
        </w:tc>
      </w:tr>
      <w:tr w14:paraId="4DF15C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46" w:type="dxa"/>
            <w:vMerge w:val="continue"/>
            <w:vAlign w:val="center"/>
          </w:tcPr>
          <w:p w14:paraId="11A1C502">
            <w:pPr>
              <w:pStyle w:val="200"/>
              <w:spacing w:beforeLines="0" w:afterLines="0" w:line="240" w:lineRule="auto"/>
              <w:jc w:val="center"/>
              <w:rPr>
                <w:rFonts w:hint="default" w:ascii="Times New Roman" w:hAnsi="Times New Roman" w:cs="Times New Roman"/>
                <w:snapToGrid w:val="0"/>
                <w:color w:val="auto"/>
                <w:kern w:val="21"/>
                <w:sz w:val="21"/>
                <w:szCs w:val="21"/>
              </w:rPr>
            </w:pPr>
          </w:p>
        </w:tc>
        <w:tc>
          <w:tcPr>
            <w:tcW w:w="1471" w:type="dxa"/>
            <w:vAlign w:val="center"/>
          </w:tcPr>
          <w:p w14:paraId="11FF87E7">
            <w:pPr>
              <w:pStyle w:val="20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SO</w:t>
            </w:r>
            <w:r>
              <w:rPr>
                <w:rFonts w:hint="default" w:ascii="Times New Roman" w:hAnsi="Times New Roman" w:eastAsia="宋体" w:cs="Times New Roman"/>
                <w:snapToGrid w:val="0"/>
                <w:color w:val="auto"/>
                <w:kern w:val="21"/>
                <w:sz w:val="21"/>
                <w:szCs w:val="21"/>
                <w:vertAlign w:val="subscript"/>
                <w:lang w:val="en-US" w:eastAsia="zh-CN" w:bidi="ar-SA"/>
              </w:rPr>
              <w:t>2</w:t>
            </w:r>
          </w:p>
        </w:tc>
        <w:tc>
          <w:tcPr>
            <w:tcW w:w="1893" w:type="dxa"/>
            <w:vAlign w:val="center"/>
          </w:tcPr>
          <w:p w14:paraId="0EB1932D">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1272" w:type="dxa"/>
            <w:vAlign w:val="center"/>
          </w:tcPr>
          <w:p w14:paraId="3D07EB79">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451" w:type="dxa"/>
            <w:vAlign w:val="center"/>
          </w:tcPr>
          <w:p w14:paraId="0A46E5D7">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923" w:type="dxa"/>
            <w:vAlign w:val="center"/>
          </w:tcPr>
          <w:p w14:paraId="34530DFF">
            <w:pPr>
              <w:pStyle w:val="20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bidi="ar-SA"/>
              </w:rPr>
              <w:t>0.12</w:t>
            </w:r>
          </w:p>
        </w:tc>
        <w:tc>
          <w:tcPr>
            <w:tcW w:w="1304" w:type="dxa"/>
            <w:vAlign w:val="center"/>
          </w:tcPr>
          <w:p w14:paraId="00464F5F">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bidi="ar-SA"/>
              </w:rPr>
              <w:t>0</w:t>
            </w:r>
          </w:p>
        </w:tc>
        <w:tc>
          <w:tcPr>
            <w:tcW w:w="1856" w:type="dxa"/>
            <w:shd w:val="clear" w:color="auto" w:fill="auto"/>
            <w:vAlign w:val="center"/>
          </w:tcPr>
          <w:p w14:paraId="7BB145E1">
            <w:pPr>
              <w:pStyle w:val="20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bidi="ar-SA"/>
              </w:rPr>
              <w:t>0.12</w:t>
            </w:r>
          </w:p>
        </w:tc>
        <w:tc>
          <w:tcPr>
            <w:tcW w:w="1272" w:type="dxa"/>
            <w:shd w:val="clear" w:color="auto" w:fill="auto"/>
            <w:vAlign w:val="center"/>
          </w:tcPr>
          <w:p w14:paraId="7AF89003">
            <w:pPr>
              <w:pStyle w:val="20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bidi="ar-SA"/>
              </w:rPr>
              <w:t>0.12</w:t>
            </w:r>
          </w:p>
        </w:tc>
      </w:tr>
      <w:tr w14:paraId="697419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46" w:type="dxa"/>
            <w:vMerge w:val="continue"/>
            <w:vAlign w:val="center"/>
          </w:tcPr>
          <w:p w14:paraId="731941B3">
            <w:pPr>
              <w:pStyle w:val="200"/>
              <w:spacing w:beforeLines="0" w:afterLines="0" w:line="240" w:lineRule="auto"/>
              <w:jc w:val="center"/>
              <w:rPr>
                <w:rFonts w:hint="default" w:ascii="Times New Roman" w:hAnsi="Times New Roman" w:cs="Times New Roman"/>
                <w:snapToGrid w:val="0"/>
                <w:color w:val="auto"/>
                <w:kern w:val="21"/>
                <w:sz w:val="21"/>
                <w:szCs w:val="21"/>
              </w:rPr>
            </w:pPr>
          </w:p>
        </w:tc>
        <w:tc>
          <w:tcPr>
            <w:tcW w:w="1471" w:type="dxa"/>
            <w:vAlign w:val="center"/>
          </w:tcPr>
          <w:p w14:paraId="0E1B5C44">
            <w:pPr>
              <w:pStyle w:val="20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NO</w:t>
            </w:r>
            <w:r>
              <w:rPr>
                <w:rFonts w:hint="default" w:ascii="Times New Roman" w:hAnsi="Times New Roman" w:eastAsia="宋体" w:cs="Times New Roman"/>
                <w:snapToGrid w:val="0"/>
                <w:color w:val="auto"/>
                <w:kern w:val="21"/>
                <w:sz w:val="21"/>
                <w:szCs w:val="21"/>
                <w:vertAlign w:val="subscript"/>
                <w:lang w:val="en-US" w:eastAsia="zh-CN" w:bidi="ar-SA"/>
              </w:rPr>
              <w:t>X</w:t>
            </w:r>
          </w:p>
        </w:tc>
        <w:tc>
          <w:tcPr>
            <w:tcW w:w="1893" w:type="dxa"/>
            <w:vAlign w:val="center"/>
          </w:tcPr>
          <w:p w14:paraId="37A42DB0">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1272" w:type="dxa"/>
            <w:vAlign w:val="center"/>
          </w:tcPr>
          <w:p w14:paraId="16374597">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451" w:type="dxa"/>
            <w:vAlign w:val="center"/>
          </w:tcPr>
          <w:p w14:paraId="709DE9D5">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923" w:type="dxa"/>
            <w:vAlign w:val="center"/>
          </w:tcPr>
          <w:p w14:paraId="247157F9">
            <w:pPr>
              <w:pStyle w:val="20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bidi="ar-SA"/>
              </w:rPr>
              <w:t>0.4182</w:t>
            </w:r>
          </w:p>
        </w:tc>
        <w:tc>
          <w:tcPr>
            <w:tcW w:w="1304" w:type="dxa"/>
            <w:vAlign w:val="center"/>
          </w:tcPr>
          <w:p w14:paraId="580A74A8">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bidi="ar-SA"/>
              </w:rPr>
              <w:t>0</w:t>
            </w:r>
          </w:p>
        </w:tc>
        <w:tc>
          <w:tcPr>
            <w:tcW w:w="1856" w:type="dxa"/>
            <w:shd w:val="clear" w:color="auto" w:fill="auto"/>
            <w:vAlign w:val="center"/>
          </w:tcPr>
          <w:p w14:paraId="0A025E81">
            <w:pPr>
              <w:pStyle w:val="20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bidi="ar-SA"/>
              </w:rPr>
              <w:t>0.4182</w:t>
            </w:r>
          </w:p>
        </w:tc>
        <w:tc>
          <w:tcPr>
            <w:tcW w:w="1272" w:type="dxa"/>
            <w:shd w:val="clear" w:color="auto" w:fill="auto"/>
            <w:vAlign w:val="center"/>
          </w:tcPr>
          <w:p w14:paraId="786A7342">
            <w:pPr>
              <w:pStyle w:val="20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bidi="ar-SA"/>
              </w:rPr>
              <w:t>0.4182</w:t>
            </w:r>
          </w:p>
        </w:tc>
      </w:tr>
      <w:tr w14:paraId="7A9B2E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46" w:type="dxa"/>
            <w:vMerge w:val="continue"/>
            <w:vAlign w:val="center"/>
          </w:tcPr>
          <w:p w14:paraId="3252D6F4">
            <w:pPr>
              <w:pStyle w:val="200"/>
              <w:spacing w:beforeLines="0" w:afterLines="0" w:line="240" w:lineRule="auto"/>
              <w:jc w:val="center"/>
              <w:rPr>
                <w:rFonts w:hint="default" w:ascii="Times New Roman" w:hAnsi="Times New Roman" w:cs="Times New Roman"/>
                <w:snapToGrid w:val="0"/>
                <w:color w:val="auto"/>
                <w:kern w:val="21"/>
                <w:sz w:val="21"/>
                <w:szCs w:val="21"/>
              </w:rPr>
            </w:pPr>
          </w:p>
        </w:tc>
        <w:tc>
          <w:tcPr>
            <w:tcW w:w="1471" w:type="dxa"/>
            <w:vAlign w:val="center"/>
          </w:tcPr>
          <w:p w14:paraId="29B2ED75">
            <w:pPr>
              <w:pStyle w:val="20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氨</w:t>
            </w:r>
          </w:p>
        </w:tc>
        <w:tc>
          <w:tcPr>
            <w:tcW w:w="1893" w:type="dxa"/>
            <w:vAlign w:val="center"/>
          </w:tcPr>
          <w:p w14:paraId="44516937">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1272" w:type="dxa"/>
            <w:vAlign w:val="center"/>
          </w:tcPr>
          <w:p w14:paraId="06C45FAB">
            <w:pPr>
              <w:spacing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1451" w:type="dxa"/>
            <w:vAlign w:val="center"/>
          </w:tcPr>
          <w:p w14:paraId="124A6222">
            <w:pPr>
              <w:spacing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1923" w:type="dxa"/>
            <w:vAlign w:val="center"/>
          </w:tcPr>
          <w:p w14:paraId="46D82BE9">
            <w:pPr>
              <w:spacing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bidi="ar-SA"/>
              </w:rPr>
              <w:t>1.373</w:t>
            </w:r>
          </w:p>
        </w:tc>
        <w:tc>
          <w:tcPr>
            <w:tcW w:w="1304" w:type="dxa"/>
            <w:vAlign w:val="center"/>
          </w:tcPr>
          <w:p w14:paraId="21321BA7">
            <w:pPr>
              <w:spacing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bidi="ar-SA"/>
              </w:rPr>
              <w:t>0</w:t>
            </w:r>
          </w:p>
        </w:tc>
        <w:tc>
          <w:tcPr>
            <w:tcW w:w="1856" w:type="dxa"/>
            <w:shd w:val="clear" w:color="auto" w:fill="auto"/>
            <w:vAlign w:val="center"/>
          </w:tcPr>
          <w:p w14:paraId="67B067CE">
            <w:pPr>
              <w:spacing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bidi="ar-SA"/>
              </w:rPr>
              <w:t>1.373</w:t>
            </w:r>
          </w:p>
        </w:tc>
        <w:tc>
          <w:tcPr>
            <w:tcW w:w="1272" w:type="dxa"/>
            <w:shd w:val="clear" w:color="auto" w:fill="auto"/>
            <w:vAlign w:val="center"/>
          </w:tcPr>
          <w:p w14:paraId="7D521B79">
            <w:pPr>
              <w:spacing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bidi="ar-SA"/>
              </w:rPr>
              <w:t>1.373</w:t>
            </w:r>
          </w:p>
        </w:tc>
      </w:tr>
      <w:tr w14:paraId="47F28C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46" w:type="dxa"/>
            <w:vMerge w:val="restart"/>
            <w:vAlign w:val="center"/>
          </w:tcPr>
          <w:p w14:paraId="33A6A0B4">
            <w:pPr>
              <w:pStyle w:val="200"/>
              <w:spacing w:beforeLines="0" w:afterLines="0" w:line="240" w:lineRule="auto"/>
              <w:jc w:val="center"/>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废水</w:t>
            </w:r>
          </w:p>
        </w:tc>
        <w:tc>
          <w:tcPr>
            <w:tcW w:w="1471" w:type="dxa"/>
            <w:vAlign w:val="center"/>
          </w:tcPr>
          <w:p w14:paraId="6AA7DF1A">
            <w:pPr>
              <w:pStyle w:val="200"/>
              <w:spacing w:beforeLines="0" w:afterLines="0" w:line="240" w:lineRule="auto"/>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COD</w:t>
            </w:r>
          </w:p>
        </w:tc>
        <w:tc>
          <w:tcPr>
            <w:tcW w:w="1893" w:type="dxa"/>
            <w:vAlign w:val="center"/>
          </w:tcPr>
          <w:p w14:paraId="01B62B28">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272" w:type="dxa"/>
            <w:vAlign w:val="center"/>
          </w:tcPr>
          <w:p w14:paraId="01705D17">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451" w:type="dxa"/>
            <w:vAlign w:val="center"/>
          </w:tcPr>
          <w:p w14:paraId="46F3DD0F">
            <w:pPr>
              <w:spacing w:line="240" w:lineRule="auto"/>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923" w:type="dxa"/>
            <w:vAlign w:val="center"/>
          </w:tcPr>
          <w:p w14:paraId="64333A37">
            <w:pPr>
              <w:spacing w:line="240" w:lineRule="auto"/>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lang w:val="en-US" w:eastAsia="zh-CN" w:bidi="ar-SA"/>
              </w:rPr>
              <w:t>0</w:t>
            </w:r>
          </w:p>
        </w:tc>
        <w:tc>
          <w:tcPr>
            <w:tcW w:w="1304" w:type="dxa"/>
            <w:vAlign w:val="center"/>
          </w:tcPr>
          <w:p w14:paraId="66428DA4">
            <w:pPr>
              <w:spacing w:line="240" w:lineRule="auto"/>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lang w:val="en-US" w:eastAsia="zh-CN" w:bidi="ar-SA"/>
              </w:rPr>
              <w:t>0</w:t>
            </w:r>
          </w:p>
        </w:tc>
        <w:tc>
          <w:tcPr>
            <w:tcW w:w="1856" w:type="dxa"/>
            <w:vAlign w:val="center"/>
          </w:tcPr>
          <w:p w14:paraId="4D4278DF">
            <w:pPr>
              <w:spacing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bidi="ar-SA"/>
              </w:rPr>
              <w:t>0</w:t>
            </w:r>
          </w:p>
        </w:tc>
        <w:tc>
          <w:tcPr>
            <w:tcW w:w="1272" w:type="dxa"/>
            <w:vAlign w:val="center"/>
          </w:tcPr>
          <w:p w14:paraId="4545CF1C">
            <w:pPr>
              <w:spacing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bidi="ar-SA"/>
              </w:rPr>
              <w:t>0</w:t>
            </w:r>
          </w:p>
        </w:tc>
      </w:tr>
      <w:tr w14:paraId="4ACCCF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46" w:type="dxa"/>
            <w:vMerge w:val="continue"/>
            <w:vAlign w:val="center"/>
          </w:tcPr>
          <w:p w14:paraId="3CEB8A5A">
            <w:pPr>
              <w:pStyle w:val="200"/>
              <w:spacing w:beforeLines="0" w:afterLines="0" w:line="240" w:lineRule="auto"/>
              <w:jc w:val="center"/>
              <w:rPr>
                <w:rFonts w:hint="default" w:ascii="Times New Roman" w:hAnsi="Times New Roman" w:cs="Times New Roman"/>
                <w:snapToGrid w:val="0"/>
                <w:color w:val="auto"/>
                <w:kern w:val="21"/>
                <w:sz w:val="21"/>
                <w:szCs w:val="21"/>
              </w:rPr>
            </w:pPr>
          </w:p>
        </w:tc>
        <w:tc>
          <w:tcPr>
            <w:tcW w:w="1471" w:type="dxa"/>
            <w:vAlign w:val="center"/>
          </w:tcPr>
          <w:p w14:paraId="779EB0DB">
            <w:pPr>
              <w:pStyle w:val="200"/>
              <w:spacing w:beforeLines="0" w:afterLines="0" w:line="240" w:lineRule="auto"/>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氨氮</w:t>
            </w:r>
          </w:p>
        </w:tc>
        <w:tc>
          <w:tcPr>
            <w:tcW w:w="1893" w:type="dxa"/>
            <w:vAlign w:val="center"/>
          </w:tcPr>
          <w:p w14:paraId="3E901940">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272" w:type="dxa"/>
            <w:vAlign w:val="center"/>
          </w:tcPr>
          <w:p w14:paraId="7D5ACAD0">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451" w:type="dxa"/>
            <w:vAlign w:val="center"/>
          </w:tcPr>
          <w:p w14:paraId="18EEF1B1">
            <w:pPr>
              <w:spacing w:line="240" w:lineRule="auto"/>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923" w:type="dxa"/>
            <w:vAlign w:val="center"/>
          </w:tcPr>
          <w:p w14:paraId="5E437D4E">
            <w:pPr>
              <w:spacing w:line="240" w:lineRule="auto"/>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lang w:val="en-US" w:eastAsia="zh-CN" w:bidi="ar-SA"/>
              </w:rPr>
              <w:t>0</w:t>
            </w:r>
          </w:p>
        </w:tc>
        <w:tc>
          <w:tcPr>
            <w:tcW w:w="1304" w:type="dxa"/>
            <w:vAlign w:val="center"/>
          </w:tcPr>
          <w:p w14:paraId="2ACC660D">
            <w:pPr>
              <w:spacing w:line="240" w:lineRule="auto"/>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lang w:val="en-US" w:eastAsia="zh-CN" w:bidi="ar-SA"/>
              </w:rPr>
              <w:t>0</w:t>
            </w:r>
          </w:p>
        </w:tc>
        <w:tc>
          <w:tcPr>
            <w:tcW w:w="1856" w:type="dxa"/>
            <w:vAlign w:val="center"/>
          </w:tcPr>
          <w:p w14:paraId="157DCFF8">
            <w:pPr>
              <w:spacing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bidi="ar-SA"/>
              </w:rPr>
              <w:t>0</w:t>
            </w:r>
          </w:p>
        </w:tc>
        <w:tc>
          <w:tcPr>
            <w:tcW w:w="1272" w:type="dxa"/>
            <w:vAlign w:val="center"/>
          </w:tcPr>
          <w:p w14:paraId="18F6A21E">
            <w:pPr>
              <w:spacing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bidi="ar-SA"/>
              </w:rPr>
              <w:t>0</w:t>
            </w:r>
          </w:p>
        </w:tc>
      </w:tr>
      <w:tr w14:paraId="6C1D87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46" w:type="dxa"/>
            <w:vMerge w:val="restart"/>
            <w:vAlign w:val="center"/>
          </w:tcPr>
          <w:p w14:paraId="454B8632">
            <w:pPr>
              <w:pStyle w:val="200"/>
              <w:spacing w:beforeLines="0" w:afterLines="0" w:line="240" w:lineRule="auto"/>
              <w:jc w:val="center"/>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一般工业</w:t>
            </w:r>
          </w:p>
          <w:p w14:paraId="28E91F6C">
            <w:pPr>
              <w:pStyle w:val="200"/>
              <w:spacing w:beforeLines="0" w:afterLines="0" w:line="240" w:lineRule="auto"/>
              <w:jc w:val="center"/>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固体废物</w:t>
            </w:r>
          </w:p>
        </w:tc>
        <w:tc>
          <w:tcPr>
            <w:tcW w:w="1471" w:type="dxa"/>
            <w:vAlign w:val="center"/>
          </w:tcPr>
          <w:p w14:paraId="37465CB2">
            <w:pPr>
              <w:keepNext w:val="0"/>
              <w:keepLines w:val="0"/>
              <w:pageBreakBefore w:val="0"/>
              <w:kinsoku/>
              <w:wordWrap/>
              <w:overflowPunct/>
              <w:topLinePunct w:val="0"/>
              <w:autoSpaceDN/>
              <w:bidi w:val="0"/>
              <w:spacing w:line="360" w:lineRule="exact"/>
              <w:jc w:val="center"/>
              <w:outlineLvl w:val="9"/>
              <w:rPr>
                <w:rFonts w:hint="default" w:ascii="Times New Roman" w:hAnsi="Times New Roman" w:eastAsia="宋体" w:cs="Times New Roman"/>
                <w:b w:val="0"/>
                <w:bCs/>
                <w:color w:val="auto"/>
                <w:spacing w:val="0"/>
                <w:kern w:val="13"/>
                <w:sz w:val="21"/>
                <w:szCs w:val="21"/>
                <w:highlight w:val="none"/>
                <w:lang w:val="en-US" w:eastAsia="zh-CN" w:bidi="ar-SA"/>
              </w:rPr>
            </w:pPr>
            <w:r>
              <w:rPr>
                <w:rFonts w:hint="default" w:ascii="Times New Roman" w:hAnsi="Times New Roman" w:eastAsia="宋体" w:cs="Times New Roman"/>
                <w:b w:val="0"/>
                <w:bCs/>
                <w:color w:val="auto"/>
                <w:sz w:val="21"/>
                <w:szCs w:val="21"/>
                <w:highlight w:val="none"/>
                <w:lang w:val="en-US" w:eastAsia="zh-CN"/>
              </w:rPr>
              <w:t>废包装袋</w:t>
            </w:r>
          </w:p>
        </w:tc>
        <w:tc>
          <w:tcPr>
            <w:tcW w:w="1893" w:type="dxa"/>
            <w:vAlign w:val="center"/>
          </w:tcPr>
          <w:p w14:paraId="65C7C07B">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272" w:type="dxa"/>
            <w:vAlign w:val="center"/>
          </w:tcPr>
          <w:p w14:paraId="4247D913">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451" w:type="dxa"/>
            <w:vAlign w:val="center"/>
          </w:tcPr>
          <w:p w14:paraId="0555B79D">
            <w:pPr>
              <w:spacing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923" w:type="dxa"/>
            <w:vAlign w:val="center"/>
          </w:tcPr>
          <w:p w14:paraId="22D2CE73">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1.63</w:t>
            </w:r>
          </w:p>
        </w:tc>
        <w:tc>
          <w:tcPr>
            <w:tcW w:w="1304" w:type="dxa"/>
            <w:vAlign w:val="center"/>
          </w:tcPr>
          <w:p w14:paraId="28BFC94B">
            <w:pPr>
              <w:spacing w:beforeLines="0" w:afterLines="0" w:line="240" w:lineRule="auto"/>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lang w:val="en-US" w:eastAsia="zh-CN" w:bidi="ar-SA"/>
              </w:rPr>
              <w:t>0</w:t>
            </w:r>
          </w:p>
        </w:tc>
        <w:tc>
          <w:tcPr>
            <w:tcW w:w="1856" w:type="dxa"/>
            <w:vAlign w:val="center"/>
          </w:tcPr>
          <w:p w14:paraId="2D363B51">
            <w:pPr>
              <w:spacing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rPr>
              <w:t>1.63</w:t>
            </w:r>
          </w:p>
        </w:tc>
        <w:tc>
          <w:tcPr>
            <w:tcW w:w="1272" w:type="dxa"/>
            <w:vAlign w:val="center"/>
          </w:tcPr>
          <w:p w14:paraId="159411B5">
            <w:pPr>
              <w:spacing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rPr>
              <w:t>1.63</w:t>
            </w:r>
          </w:p>
        </w:tc>
      </w:tr>
      <w:tr w14:paraId="54AD8E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46" w:type="dxa"/>
            <w:vMerge w:val="continue"/>
            <w:vAlign w:val="center"/>
          </w:tcPr>
          <w:p w14:paraId="18998667">
            <w:pPr>
              <w:pStyle w:val="200"/>
              <w:spacing w:beforeLines="0" w:afterLines="0" w:line="240" w:lineRule="auto"/>
              <w:jc w:val="center"/>
              <w:rPr>
                <w:rFonts w:hint="default" w:ascii="Times New Roman" w:hAnsi="Times New Roman" w:cs="Times New Roman"/>
                <w:snapToGrid w:val="0"/>
                <w:color w:val="auto"/>
                <w:kern w:val="21"/>
                <w:sz w:val="21"/>
                <w:szCs w:val="21"/>
              </w:rPr>
            </w:pPr>
          </w:p>
        </w:tc>
        <w:tc>
          <w:tcPr>
            <w:tcW w:w="1471" w:type="dxa"/>
            <w:vAlign w:val="center"/>
          </w:tcPr>
          <w:p w14:paraId="7159782E">
            <w:pPr>
              <w:keepNext w:val="0"/>
              <w:keepLines w:val="0"/>
              <w:pageBreakBefore w:val="0"/>
              <w:kinsoku/>
              <w:wordWrap/>
              <w:overflowPunct/>
              <w:topLinePunct w:val="0"/>
              <w:autoSpaceDN/>
              <w:bidi w:val="0"/>
              <w:spacing w:line="360" w:lineRule="exact"/>
              <w:jc w:val="center"/>
              <w:outlineLvl w:val="9"/>
              <w:rPr>
                <w:rFonts w:hint="default" w:ascii="Times New Roman" w:hAnsi="Times New Roman" w:eastAsia="宋体" w:cs="Times New Roman"/>
                <w:b w:val="0"/>
                <w:bCs/>
                <w:color w:val="auto"/>
                <w:spacing w:val="0"/>
                <w:kern w:val="13"/>
                <w:sz w:val="21"/>
                <w:szCs w:val="21"/>
                <w:highlight w:val="none"/>
                <w:lang w:val="en-US" w:eastAsia="zh-CN" w:bidi="ar-SA"/>
              </w:rPr>
            </w:pPr>
            <w:r>
              <w:rPr>
                <w:rFonts w:hint="eastAsia" w:cs="Times New Roman"/>
                <w:b w:val="0"/>
                <w:bCs/>
                <w:color w:val="auto"/>
                <w:spacing w:val="0"/>
                <w:kern w:val="13"/>
                <w:sz w:val="21"/>
                <w:szCs w:val="21"/>
                <w:highlight w:val="none"/>
                <w:lang w:val="en-US" w:eastAsia="zh-CN" w:bidi="ar-SA"/>
              </w:rPr>
              <w:t>废布袋</w:t>
            </w:r>
          </w:p>
        </w:tc>
        <w:tc>
          <w:tcPr>
            <w:tcW w:w="1893" w:type="dxa"/>
            <w:vAlign w:val="center"/>
          </w:tcPr>
          <w:p w14:paraId="0C0090D7">
            <w:pPr>
              <w:keepNext w:val="0"/>
              <w:keepLines w:val="0"/>
              <w:widowControl/>
              <w:suppressLineNumbers w:val="0"/>
              <w:jc w:val="center"/>
              <w:textAlignment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272" w:type="dxa"/>
            <w:vAlign w:val="center"/>
          </w:tcPr>
          <w:p w14:paraId="741918BF">
            <w:pPr>
              <w:spacing w:beforeLines="0" w:afterLines="0" w:line="240" w:lineRule="auto"/>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451" w:type="dxa"/>
            <w:vAlign w:val="center"/>
          </w:tcPr>
          <w:p w14:paraId="44707065">
            <w:pPr>
              <w:spacing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923" w:type="dxa"/>
            <w:vAlign w:val="center"/>
          </w:tcPr>
          <w:p w14:paraId="4D83030A">
            <w:pPr>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1.5</w:t>
            </w:r>
          </w:p>
        </w:tc>
        <w:tc>
          <w:tcPr>
            <w:tcW w:w="1304" w:type="dxa"/>
            <w:vAlign w:val="center"/>
          </w:tcPr>
          <w:p w14:paraId="75FA7779">
            <w:pPr>
              <w:spacing w:beforeLines="0" w:afterLines="0" w:line="240" w:lineRule="auto"/>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bidi="ar-SA"/>
              </w:rPr>
              <w:t>0</w:t>
            </w:r>
          </w:p>
        </w:tc>
        <w:tc>
          <w:tcPr>
            <w:tcW w:w="1856" w:type="dxa"/>
            <w:vAlign w:val="center"/>
          </w:tcPr>
          <w:p w14:paraId="6F1E61DA">
            <w:pPr>
              <w:spacing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rPr>
              <w:t>1.5</w:t>
            </w:r>
          </w:p>
        </w:tc>
        <w:tc>
          <w:tcPr>
            <w:tcW w:w="1272" w:type="dxa"/>
            <w:vAlign w:val="center"/>
          </w:tcPr>
          <w:p w14:paraId="7E032841">
            <w:pPr>
              <w:spacing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rPr>
              <w:t>1.5</w:t>
            </w:r>
          </w:p>
        </w:tc>
      </w:tr>
      <w:tr w14:paraId="103B9D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46" w:type="dxa"/>
            <w:vMerge w:val="continue"/>
            <w:vAlign w:val="center"/>
          </w:tcPr>
          <w:p w14:paraId="35D6DFA9">
            <w:pPr>
              <w:pStyle w:val="200"/>
              <w:spacing w:beforeLines="0" w:afterLines="0" w:line="240" w:lineRule="auto"/>
              <w:jc w:val="center"/>
              <w:rPr>
                <w:rFonts w:hint="default" w:ascii="Times New Roman" w:hAnsi="Times New Roman" w:cs="Times New Roman"/>
                <w:snapToGrid w:val="0"/>
                <w:color w:val="auto"/>
                <w:kern w:val="21"/>
                <w:sz w:val="21"/>
                <w:szCs w:val="21"/>
              </w:rPr>
            </w:pPr>
          </w:p>
        </w:tc>
        <w:tc>
          <w:tcPr>
            <w:tcW w:w="1471" w:type="dxa"/>
            <w:vAlign w:val="center"/>
          </w:tcPr>
          <w:p w14:paraId="5CB1673C">
            <w:pPr>
              <w:keepNext w:val="0"/>
              <w:keepLines w:val="0"/>
              <w:pageBreakBefore w:val="0"/>
              <w:kinsoku/>
              <w:wordWrap/>
              <w:overflowPunct/>
              <w:topLinePunct w:val="0"/>
              <w:autoSpaceDN/>
              <w:bidi w:val="0"/>
              <w:spacing w:line="360" w:lineRule="exact"/>
              <w:jc w:val="center"/>
              <w:outlineLvl w:val="9"/>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车间沉降颗粒物清扫粉尘</w:t>
            </w:r>
          </w:p>
        </w:tc>
        <w:tc>
          <w:tcPr>
            <w:tcW w:w="1893" w:type="dxa"/>
            <w:vAlign w:val="center"/>
          </w:tcPr>
          <w:p w14:paraId="60C1F67E">
            <w:pPr>
              <w:keepNext w:val="0"/>
              <w:keepLines w:val="0"/>
              <w:widowControl/>
              <w:suppressLineNumbers w:val="0"/>
              <w:jc w:val="center"/>
              <w:textAlignment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272" w:type="dxa"/>
            <w:vAlign w:val="center"/>
          </w:tcPr>
          <w:p w14:paraId="574EB3FC">
            <w:pPr>
              <w:spacing w:beforeLines="0" w:afterLines="0" w:line="240" w:lineRule="auto"/>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451" w:type="dxa"/>
            <w:vAlign w:val="center"/>
          </w:tcPr>
          <w:p w14:paraId="69F13F0B">
            <w:pPr>
              <w:spacing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923" w:type="dxa"/>
            <w:vAlign w:val="center"/>
          </w:tcPr>
          <w:p w14:paraId="479F2F1E">
            <w:pPr>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1.397</w:t>
            </w:r>
          </w:p>
        </w:tc>
        <w:tc>
          <w:tcPr>
            <w:tcW w:w="1304" w:type="dxa"/>
            <w:vAlign w:val="center"/>
          </w:tcPr>
          <w:p w14:paraId="7E8101EB">
            <w:pPr>
              <w:spacing w:beforeLines="0" w:afterLines="0" w:line="240" w:lineRule="auto"/>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bidi="ar-SA"/>
              </w:rPr>
              <w:t>0</w:t>
            </w:r>
          </w:p>
        </w:tc>
        <w:tc>
          <w:tcPr>
            <w:tcW w:w="1856" w:type="dxa"/>
            <w:vAlign w:val="center"/>
          </w:tcPr>
          <w:p w14:paraId="4A018A4C">
            <w:pPr>
              <w:spacing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rPr>
              <w:t>1.397</w:t>
            </w:r>
          </w:p>
        </w:tc>
        <w:tc>
          <w:tcPr>
            <w:tcW w:w="1272" w:type="dxa"/>
            <w:vAlign w:val="center"/>
          </w:tcPr>
          <w:p w14:paraId="2D1846A8">
            <w:pPr>
              <w:spacing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rPr>
              <w:t>1.397</w:t>
            </w:r>
          </w:p>
        </w:tc>
      </w:tr>
      <w:tr w14:paraId="17D8E7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46" w:type="dxa"/>
            <w:vAlign w:val="center"/>
          </w:tcPr>
          <w:p w14:paraId="1749FB76">
            <w:pPr>
              <w:pStyle w:val="200"/>
              <w:spacing w:beforeLines="0" w:afterLines="0" w:line="240" w:lineRule="auto"/>
              <w:jc w:val="center"/>
              <w:rPr>
                <w:rFonts w:hint="default" w:ascii="Times New Roman" w:hAnsi="Times New Roman" w:eastAsia="宋体" w:cs="Times New Roman"/>
                <w:snapToGrid w:val="0"/>
                <w:color w:val="auto"/>
                <w:kern w:val="21"/>
                <w:sz w:val="21"/>
                <w:szCs w:val="21"/>
                <w:lang w:eastAsia="zh-CN"/>
              </w:rPr>
            </w:pPr>
            <w:r>
              <w:rPr>
                <w:rFonts w:hint="default" w:ascii="Times New Roman" w:hAnsi="Times New Roman" w:cs="Times New Roman"/>
                <w:snapToGrid w:val="0"/>
                <w:color w:val="auto"/>
                <w:kern w:val="21"/>
                <w:sz w:val="21"/>
                <w:szCs w:val="21"/>
                <w:lang w:eastAsia="zh-CN"/>
              </w:rPr>
              <w:t>生活固废</w:t>
            </w:r>
          </w:p>
        </w:tc>
        <w:tc>
          <w:tcPr>
            <w:tcW w:w="1471" w:type="dxa"/>
            <w:vAlign w:val="center"/>
          </w:tcPr>
          <w:p w14:paraId="50E006EE">
            <w:pPr>
              <w:autoSpaceDE w:val="0"/>
              <w:autoSpaceDN w:val="0"/>
              <w:adjustRightInd w:val="0"/>
              <w:spacing w:line="240" w:lineRule="auto"/>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生活垃圾</w:t>
            </w:r>
          </w:p>
        </w:tc>
        <w:tc>
          <w:tcPr>
            <w:tcW w:w="1893" w:type="dxa"/>
            <w:vAlign w:val="center"/>
          </w:tcPr>
          <w:p w14:paraId="7A350096">
            <w:pPr>
              <w:spacing w:beforeLines="0" w:afterLines="0" w:line="240" w:lineRule="auto"/>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272" w:type="dxa"/>
            <w:vAlign w:val="center"/>
          </w:tcPr>
          <w:p w14:paraId="2578F2FE">
            <w:pPr>
              <w:spacing w:beforeLines="0" w:afterLines="0" w:line="240" w:lineRule="auto"/>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451" w:type="dxa"/>
            <w:vAlign w:val="center"/>
          </w:tcPr>
          <w:p w14:paraId="4A4865EC">
            <w:pPr>
              <w:spacing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bidi="ar-SA"/>
              </w:rPr>
              <w:t>/</w:t>
            </w:r>
          </w:p>
        </w:tc>
        <w:tc>
          <w:tcPr>
            <w:tcW w:w="1923" w:type="dxa"/>
            <w:vAlign w:val="center"/>
          </w:tcPr>
          <w:p w14:paraId="60019C9B">
            <w:pPr>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7.2</w:t>
            </w:r>
          </w:p>
        </w:tc>
        <w:tc>
          <w:tcPr>
            <w:tcW w:w="1304" w:type="dxa"/>
            <w:vAlign w:val="center"/>
          </w:tcPr>
          <w:p w14:paraId="77A2C06C">
            <w:pPr>
              <w:spacing w:beforeLines="0" w:afterLines="0" w:line="240" w:lineRule="auto"/>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bidi="ar-SA"/>
              </w:rPr>
              <w:t>0</w:t>
            </w:r>
          </w:p>
        </w:tc>
        <w:tc>
          <w:tcPr>
            <w:tcW w:w="1856" w:type="dxa"/>
            <w:vAlign w:val="center"/>
          </w:tcPr>
          <w:p w14:paraId="7FCAE19D">
            <w:pPr>
              <w:spacing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rPr>
              <w:t>7.2</w:t>
            </w:r>
          </w:p>
        </w:tc>
        <w:tc>
          <w:tcPr>
            <w:tcW w:w="1272" w:type="dxa"/>
            <w:vAlign w:val="center"/>
          </w:tcPr>
          <w:p w14:paraId="5AD915B2">
            <w:pPr>
              <w:spacing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rPr>
              <w:t>7.2</w:t>
            </w:r>
          </w:p>
        </w:tc>
      </w:tr>
    </w:tbl>
    <w:p w14:paraId="2A40B9A5">
      <w:pPr>
        <w:pStyle w:val="200"/>
        <w:spacing w:before="192" w:beforeLines="80" w:after="24" w:line="420" w:lineRule="exact"/>
        <w:jc w:val="left"/>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kern w:val="21"/>
          <w:szCs w:val="21"/>
        </w:rPr>
        <w:t>注：</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6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⑥</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1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①</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3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③</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4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④</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5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⑤</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7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⑦</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6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⑥</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1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①</w:t>
      </w:r>
      <w:r>
        <w:rPr>
          <w:rFonts w:hint="default" w:ascii="Times New Roman" w:hAnsi="Times New Roman" w:cs="Times New Roman"/>
          <w:snapToGrid w:val="0"/>
          <w:color w:val="auto"/>
          <w:spacing w:val="-6"/>
          <w:kern w:val="21"/>
          <w:szCs w:val="21"/>
        </w:rPr>
        <w:fldChar w:fldCharType="end"/>
      </w:r>
    </w:p>
    <w:p w14:paraId="5A9A6493">
      <w:pPr>
        <w:pStyle w:val="200"/>
        <w:spacing w:before="192" w:beforeLines="80" w:after="24" w:line="420" w:lineRule="exact"/>
        <w:jc w:val="left"/>
        <w:rPr>
          <w:rFonts w:hint="default" w:ascii="Times New Roman" w:hAnsi="Times New Roman" w:cs="Times New Roman"/>
          <w:snapToGrid w:val="0"/>
          <w:color w:val="auto"/>
          <w:spacing w:val="-6"/>
          <w:kern w:val="21"/>
          <w:szCs w:val="21"/>
        </w:rPr>
      </w:pPr>
    </w:p>
    <w:p w14:paraId="3ABF6FBC">
      <w:pPr>
        <w:pStyle w:val="200"/>
        <w:spacing w:before="192" w:beforeLines="80" w:after="24" w:line="420" w:lineRule="exact"/>
        <w:jc w:val="left"/>
        <w:rPr>
          <w:rFonts w:hint="eastAsia" w:ascii="Times New Roman" w:cs="Times New Roman"/>
          <w:snapToGrid w:val="0"/>
          <w:color w:val="auto"/>
          <w:spacing w:val="-6"/>
          <w:kern w:val="21"/>
          <w:szCs w:val="21"/>
          <w:lang w:eastAsia="zh-CN"/>
        </w:rPr>
        <w:sectPr>
          <w:footerReference r:id="rId7"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4A87C5C2">
      <w:pPr>
        <w:rPr>
          <w:rFonts w:hint="default" w:ascii="Times New Roman" w:hAnsi="Times New Roman" w:eastAsia="宋体" w:cs="Times New Roman"/>
          <w:b/>
          <w:bCs/>
          <w:color w:val="auto"/>
          <w:sz w:val="48"/>
          <w:szCs w:val="48"/>
          <w:lang w:val="zh-TW" w:eastAsia="zh-CN"/>
        </w:rPr>
      </w:pPr>
      <w:bookmarkStart w:id="21" w:name="_Toc33691320"/>
      <w:r>
        <w:rPr>
          <w:rFonts w:hint="default" w:ascii="Times New Roman" w:hAnsi="Times New Roman" w:cs="Times New Roman"/>
          <w:b/>
          <w:bCs/>
          <w:color w:val="auto"/>
          <w:sz w:val="48"/>
          <w:szCs w:val="48"/>
          <w:lang w:val="zh-TW" w:eastAsia="zh-CN"/>
        </w:rPr>
        <w:t>爱浦润生态农业科技（山东）有限公司</w:t>
      </w:r>
    </w:p>
    <w:p w14:paraId="1A3ABDAB">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cs="Times New Roman"/>
          <w:b/>
          <w:bCs/>
          <w:color w:val="auto"/>
          <w:sz w:val="48"/>
          <w:szCs w:val="48"/>
          <w:lang w:val="zh-TW" w:eastAsia="zh-CN"/>
        </w:rPr>
      </w:pPr>
      <w:r>
        <w:rPr>
          <w:rFonts w:hint="default" w:ascii="Times New Roman" w:hAnsi="Times New Roman" w:cs="Times New Roman"/>
          <w:b/>
          <w:bCs/>
          <w:color w:val="auto"/>
          <w:sz w:val="48"/>
          <w:szCs w:val="48"/>
          <w:lang w:val="zh-TW" w:eastAsia="zh-CN"/>
        </w:rPr>
        <w:t>年产60万吨复合肥料项目</w:t>
      </w:r>
      <w:r>
        <w:rPr>
          <w:rFonts w:hint="eastAsia" w:cs="Times New Roman"/>
          <w:b/>
          <w:bCs/>
          <w:color w:val="auto"/>
          <w:sz w:val="48"/>
          <w:szCs w:val="48"/>
          <w:lang w:val="zh-TW" w:eastAsia="zh-CN"/>
        </w:rPr>
        <w:t>（</w:t>
      </w:r>
      <w:r>
        <w:rPr>
          <w:rFonts w:hint="eastAsia" w:cs="Times New Roman"/>
          <w:b/>
          <w:bCs/>
          <w:color w:val="auto"/>
          <w:sz w:val="48"/>
          <w:szCs w:val="48"/>
          <w:lang w:val="en-US" w:eastAsia="zh-CN"/>
        </w:rPr>
        <w:t>一期</w:t>
      </w:r>
      <w:r>
        <w:rPr>
          <w:rFonts w:hint="eastAsia" w:cs="Times New Roman"/>
          <w:b/>
          <w:bCs/>
          <w:color w:val="auto"/>
          <w:sz w:val="48"/>
          <w:szCs w:val="48"/>
          <w:lang w:val="zh-TW" w:eastAsia="zh-CN"/>
        </w:rPr>
        <w:t>）</w:t>
      </w:r>
    </w:p>
    <w:p w14:paraId="58207F0E">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48"/>
          <w:szCs w:val="48"/>
        </w:rPr>
      </w:pPr>
      <w:r>
        <w:rPr>
          <w:rFonts w:hint="default" w:ascii="Times New Roman" w:hAnsi="Times New Roman" w:eastAsia="宋体" w:cs="Times New Roman"/>
          <w:b/>
          <w:bCs/>
          <w:color w:val="auto"/>
          <w:sz w:val="48"/>
          <w:szCs w:val="48"/>
        </w:rPr>
        <w:t>环境风险评价专项报告</w:t>
      </w:r>
    </w:p>
    <w:p w14:paraId="466C911B">
      <w:pPr>
        <w:rPr>
          <w:rFonts w:hint="default" w:ascii="Times New Roman" w:hAnsi="Times New Roman" w:eastAsia="宋体" w:cs="Times New Roman"/>
          <w:color w:val="auto"/>
        </w:rPr>
      </w:pPr>
    </w:p>
    <w:p w14:paraId="39E66429">
      <w:pPr>
        <w:rPr>
          <w:rFonts w:hint="default" w:ascii="Times New Roman" w:hAnsi="Times New Roman" w:eastAsia="宋体" w:cs="Times New Roman"/>
          <w:color w:val="auto"/>
        </w:rPr>
      </w:pPr>
    </w:p>
    <w:p w14:paraId="28D9B6BD">
      <w:pPr>
        <w:rPr>
          <w:rFonts w:hint="default" w:ascii="Times New Roman" w:hAnsi="Times New Roman" w:eastAsia="宋体" w:cs="Times New Roman"/>
          <w:color w:val="auto"/>
        </w:rPr>
      </w:pPr>
    </w:p>
    <w:p w14:paraId="3ABE74B1">
      <w:pPr>
        <w:rPr>
          <w:rFonts w:hint="default" w:ascii="Times New Roman" w:hAnsi="Times New Roman" w:eastAsia="宋体" w:cs="Times New Roman"/>
          <w:color w:val="auto"/>
        </w:rPr>
      </w:pPr>
    </w:p>
    <w:p w14:paraId="490BECFC">
      <w:pPr>
        <w:rPr>
          <w:rFonts w:hint="default" w:ascii="Times New Roman" w:hAnsi="Times New Roman" w:eastAsia="宋体" w:cs="Times New Roman"/>
          <w:color w:val="auto"/>
        </w:rPr>
      </w:pPr>
    </w:p>
    <w:p w14:paraId="5E3F095C">
      <w:pPr>
        <w:rPr>
          <w:rFonts w:hint="default" w:ascii="Times New Roman" w:hAnsi="Times New Roman" w:eastAsia="宋体" w:cs="Times New Roman"/>
          <w:color w:val="auto"/>
        </w:rPr>
      </w:pPr>
    </w:p>
    <w:p w14:paraId="7AFBDA34">
      <w:pPr>
        <w:pStyle w:val="80"/>
        <w:rPr>
          <w:rFonts w:hint="default" w:ascii="Times New Roman" w:hAnsi="Times New Roman" w:eastAsia="宋体" w:cs="Times New Roman"/>
          <w:color w:val="auto"/>
        </w:rPr>
      </w:pPr>
    </w:p>
    <w:p w14:paraId="69E1B56D">
      <w:pPr>
        <w:rPr>
          <w:rFonts w:hint="default" w:ascii="Times New Roman" w:hAnsi="Times New Roman" w:eastAsia="宋体" w:cs="Times New Roman"/>
          <w:color w:val="auto"/>
        </w:rPr>
      </w:pPr>
    </w:p>
    <w:p w14:paraId="1DB3E6AC">
      <w:pPr>
        <w:pStyle w:val="80"/>
        <w:rPr>
          <w:rFonts w:hint="default" w:ascii="Times New Roman" w:hAnsi="Times New Roman" w:eastAsia="宋体" w:cs="Times New Roman"/>
          <w:color w:val="auto"/>
        </w:rPr>
      </w:pPr>
    </w:p>
    <w:p w14:paraId="3A94ABE5">
      <w:pPr>
        <w:rPr>
          <w:rFonts w:hint="default" w:ascii="Times New Roman" w:hAnsi="Times New Roman" w:eastAsia="宋体" w:cs="Times New Roman"/>
          <w:color w:val="auto"/>
        </w:rPr>
      </w:pPr>
    </w:p>
    <w:p w14:paraId="24F34EDE">
      <w:pPr>
        <w:rPr>
          <w:rFonts w:hint="default" w:ascii="Times New Roman" w:hAnsi="Times New Roman" w:eastAsia="宋体" w:cs="Times New Roman"/>
          <w:color w:val="auto"/>
        </w:rPr>
      </w:pPr>
    </w:p>
    <w:p w14:paraId="324D7BDB">
      <w:pPr>
        <w:pStyle w:val="80"/>
        <w:rPr>
          <w:rFonts w:hint="default" w:ascii="Times New Roman" w:hAnsi="Times New Roman" w:cs="Times New Roman"/>
          <w:color w:val="auto"/>
        </w:rPr>
      </w:pPr>
    </w:p>
    <w:p w14:paraId="5C396D7A">
      <w:pPr>
        <w:rPr>
          <w:rFonts w:hint="default" w:ascii="Times New Roman" w:hAnsi="Times New Roman" w:eastAsia="宋体" w:cs="Times New Roman"/>
          <w:color w:val="auto"/>
        </w:rPr>
      </w:pPr>
    </w:p>
    <w:p w14:paraId="5DF802E8">
      <w:pPr>
        <w:pStyle w:val="80"/>
        <w:rPr>
          <w:rFonts w:hint="default" w:ascii="Times New Roman" w:hAnsi="Times New Roman" w:eastAsia="宋体" w:cs="Times New Roman"/>
          <w:color w:val="auto"/>
        </w:rPr>
      </w:pPr>
    </w:p>
    <w:p w14:paraId="27209B0D">
      <w:pPr>
        <w:rPr>
          <w:rFonts w:hint="default" w:ascii="Times New Roman" w:hAnsi="Times New Roman" w:eastAsia="宋体" w:cs="Times New Roman"/>
          <w:color w:val="auto"/>
        </w:rPr>
      </w:pPr>
    </w:p>
    <w:p w14:paraId="7A7DBD80">
      <w:pPr>
        <w:rPr>
          <w:rFonts w:hint="default" w:ascii="Times New Roman" w:hAnsi="Times New Roman" w:eastAsia="宋体" w:cs="Times New Roman"/>
          <w:color w:val="auto"/>
        </w:rPr>
      </w:pPr>
    </w:p>
    <w:p w14:paraId="6E610BF9">
      <w:pPr>
        <w:rPr>
          <w:rFonts w:hint="default" w:ascii="Times New Roman" w:hAnsi="Times New Roman" w:eastAsia="宋体" w:cs="Times New Roman"/>
          <w:color w:val="auto"/>
        </w:rPr>
      </w:pPr>
    </w:p>
    <w:p w14:paraId="3C81C8F2">
      <w:pPr>
        <w:pStyle w:val="80"/>
        <w:rPr>
          <w:rFonts w:hint="default" w:ascii="Times New Roman" w:hAnsi="Times New Roman" w:eastAsia="宋体" w:cs="Times New Roman"/>
          <w:color w:val="auto"/>
        </w:rPr>
      </w:pPr>
    </w:p>
    <w:p w14:paraId="729712BE">
      <w:pPr>
        <w:rPr>
          <w:rFonts w:hint="default" w:ascii="Times New Roman" w:hAnsi="Times New Roman" w:cs="Times New Roman"/>
          <w:color w:val="auto"/>
        </w:rPr>
      </w:pPr>
    </w:p>
    <w:p w14:paraId="14D52C0D">
      <w:pPr>
        <w:rPr>
          <w:rFonts w:hint="default" w:ascii="Times New Roman" w:hAnsi="Times New Roman" w:eastAsia="宋体" w:cs="Times New Roman"/>
          <w:color w:val="auto"/>
        </w:rPr>
      </w:pPr>
    </w:p>
    <w:p w14:paraId="3D68CC9B">
      <w:pPr>
        <w:jc w:val="center"/>
        <w:rPr>
          <w:rFonts w:hint="default" w:ascii="Times New Roman" w:hAnsi="Times New Roman" w:eastAsia="宋体" w:cs="Times New Roman"/>
          <w:color w:val="auto"/>
          <w:sz w:val="48"/>
          <w:szCs w:val="48"/>
        </w:rPr>
      </w:pPr>
    </w:p>
    <w:p w14:paraId="1510D68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40"/>
          <w:szCs w:val="40"/>
          <w:lang w:val="zh-TW" w:eastAsia="zh-CN"/>
        </w:rPr>
      </w:pPr>
      <w:r>
        <w:rPr>
          <w:rFonts w:hint="default" w:ascii="Times New Roman" w:hAnsi="Times New Roman" w:eastAsia="宋体" w:cs="Times New Roman"/>
          <w:b/>
          <w:bCs/>
          <w:color w:val="auto"/>
          <w:sz w:val="40"/>
          <w:szCs w:val="40"/>
          <w:lang w:val="zh-TW" w:eastAsia="zh-CN"/>
        </w:rPr>
        <w:t>建设单位：</w:t>
      </w:r>
      <w:r>
        <w:rPr>
          <w:rFonts w:hint="default" w:ascii="Times New Roman" w:hAnsi="Times New Roman" w:cs="Times New Roman"/>
          <w:b/>
          <w:bCs/>
          <w:color w:val="auto"/>
          <w:sz w:val="40"/>
          <w:szCs w:val="40"/>
          <w:lang w:val="zh-TW" w:eastAsia="zh-CN"/>
        </w:rPr>
        <w:t>爱浦润生态农业科技（山东）有限公司</w:t>
      </w:r>
    </w:p>
    <w:p w14:paraId="0D3BE08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40"/>
          <w:szCs w:val="40"/>
          <w:lang w:val="zh-TW" w:eastAsia="zh-CN"/>
        </w:rPr>
      </w:pPr>
      <w:r>
        <w:rPr>
          <w:rFonts w:hint="default" w:ascii="Times New Roman" w:hAnsi="Times New Roman" w:eastAsia="宋体" w:cs="Times New Roman"/>
          <w:b/>
          <w:bCs/>
          <w:color w:val="auto"/>
          <w:sz w:val="40"/>
          <w:szCs w:val="40"/>
          <w:lang w:val="zh-TW" w:eastAsia="zh-CN"/>
        </w:rPr>
        <w:t>编制日期：</w:t>
      </w:r>
      <w:r>
        <w:rPr>
          <w:rFonts w:hint="default" w:ascii="Times New Roman" w:hAnsi="Times New Roman" w:cs="Times New Roman"/>
          <w:b/>
          <w:bCs/>
          <w:color w:val="auto"/>
          <w:sz w:val="40"/>
          <w:szCs w:val="40"/>
          <w:lang w:val="en-US" w:eastAsia="zh-CN"/>
        </w:rPr>
        <w:t>2024</w:t>
      </w:r>
      <w:r>
        <w:rPr>
          <w:rFonts w:hint="default" w:ascii="Times New Roman" w:hAnsi="Times New Roman" w:eastAsia="宋体" w:cs="Times New Roman"/>
          <w:b/>
          <w:bCs/>
          <w:color w:val="auto"/>
          <w:sz w:val="40"/>
          <w:szCs w:val="40"/>
          <w:lang w:val="zh-TW" w:eastAsia="zh-CN"/>
        </w:rPr>
        <w:t>年</w:t>
      </w:r>
      <w:r>
        <w:rPr>
          <w:rFonts w:hint="eastAsia" w:cs="Times New Roman"/>
          <w:b/>
          <w:bCs/>
          <w:color w:val="auto"/>
          <w:sz w:val="40"/>
          <w:szCs w:val="40"/>
          <w:lang w:val="en-US" w:eastAsia="zh-CN"/>
        </w:rPr>
        <w:t>10</w:t>
      </w:r>
      <w:r>
        <w:rPr>
          <w:rFonts w:hint="default" w:ascii="Times New Roman" w:hAnsi="Times New Roman" w:eastAsia="宋体" w:cs="Times New Roman"/>
          <w:b/>
          <w:bCs/>
          <w:color w:val="auto"/>
          <w:sz w:val="40"/>
          <w:szCs w:val="40"/>
          <w:lang w:val="zh-TW" w:eastAsia="zh-CN"/>
        </w:rPr>
        <w:t>月</w:t>
      </w:r>
    </w:p>
    <w:p w14:paraId="60D74D6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40"/>
          <w:szCs w:val="40"/>
          <w:lang w:val="zh-TW" w:eastAsia="zh-CN"/>
        </w:rPr>
      </w:pPr>
    </w:p>
    <w:p w14:paraId="6404850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40"/>
          <w:szCs w:val="40"/>
          <w:lang w:val="zh-TW" w:eastAsia="zh-CN"/>
        </w:rPr>
      </w:pPr>
    </w:p>
    <w:p w14:paraId="1AC803F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40"/>
          <w:szCs w:val="40"/>
          <w:lang w:val="zh-TW" w:eastAsia="zh-CN"/>
        </w:rPr>
      </w:pPr>
    </w:p>
    <w:p w14:paraId="585C9C3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40"/>
          <w:szCs w:val="40"/>
          <w:lang w:val="zh-TW" w:eastAsia="zh-CN"/>
        </w:rPr>
        <w:sectPr>
          <w:pgSz w:w="11906" w:h="16838"/>
          <w:pgMar w:top="1418" w:right="1276" w:bottom="1418" w:left="1559" w:header="851" w:footer="680" w:gutter="0"/>
          <w:pgNumType w:chapStyle="1"/>
          <w:cols w:space="720" w:num="1"/>
          <w:docGrid w:linePitch="326" w:charSpace="0"/>
        </w:sectPr>
      </w:pPr>
    </w:p>
    <w:p w14:paraId="74662AF0">
      <w:pPr>
        <w:spacing w:before="0" w:beforeLines="0" w:after="0" w:afterLines="0" w:line="240" w:lineRule="auto"/>
        <w:ind w:left="0" w:leftChars="0" w:right="0" w:rightChars="0" w:firstLine="0" w:firstLineChars="0"/>
        <w:jc w:val="center"/>
        <w:rPr>
          <w:rFonts w:ascii="Times New Roman" w:hAnsi="Times New Roman" w:cs="Times New Roman"/>
          <w:b/>
          <w:bCs/>
          <w:color w:val="auto"/>
          <w:sz w:val="24"/>
          <w:szCs w:val="32"/>
        </w:rPr>
      </w:pPr>
      <w:r>
        <w:rPr>
          <w:rFonts w:ascii="Times New Roman" w:hAnsi="Times New Roman" w:eastAsia="宋体" w:cs="Times New Roman"/>
          <w:b/>
          <w:bCs/>
          <w:color w:val="auto"/>
          <w:sz w:val="24"/>
          <w:szCs w:val="32"/>
        </w:rPr>
        <w:t>目录</w:t>
      </w:r>
    </w:p>
    <w:p w14:paraId="491C5365">
      <w:pPr>
        <w:pStyle w:val="55"/>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TOC \o "1-3" \h \u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_Toc12296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 xml:space="preserve">1 </w:t>
      </w:r>
      <w:r>
        <w:rPr>
          <w:rFonts w:hint="default" w:ascii="Times New Roman" w:hAnsi="Times New Roman" w:eastAsia="宋体" w:cs="Times New Roman"/>
          <w:color w:val="auto"/>
          <w:sz w:val="24"/>
          <w:szCs w:val="24"/>
        </w:rPr>
        <w:t>概述</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_Toc12296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4</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4A8F9576">
      <w:pPr>
        <w:pStyle w:val="68"/>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_Toc7737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1.1</w:t>
      </w:r>
      <w:r>
        <w:rPr>
          <w:rFonts w:hint="default" w:ascii="Times New Roman" w:hAnsi="Times New Roman" w:eastAsia="宋体" w:cs="Times New Roman"/>
          <w:color w:val="auto"/>
          <w:sz w:val="24"/>
          <w:szCs w:val="24"/>
        </w:rPr>
        <w:t>编制依据</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_Toc7737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4</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47BF6E7">
      <w:pPr>
        <w:pStyle w:val="68"/>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_Toc19122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 xml:space="preserve">1.2 </w:t>
      </w:r>
      <w:r>
        <w:rPr>
          <w:rFonts w:hint="default" w:ascii="Times New Roman" w:hAnsi="Times New Roman" w:eastAsia="宋体" w:cs="Times New Roman"/>
          <w:color w:val="auto"/>
          <w:sz w:val="24"/>
          <w:szCs w:val="24"/>
        </w:rPr>
        <w:t>环境风险评价目的</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_Toc19122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5</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4C53A295">
      <w:pPr>
        <w:pStyle w:val="68"/>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_Toc7683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1.3环境风险评价原则及评价程序</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_Toc7683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6</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18EC06B5">
      <w:pPr>
        <w:pStyle w:val="55"/>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_Toc15553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2 风险调查</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_Toc15553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8</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766365B6">
      <w:pPr>
        <w:pStyle w:val="68"/>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_Toc30824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eastAsia="zh-CN"/>
        </w:rPr>
        <w:t>2.1</w:t>
      </w:r>
      <w:r>
        <w:rPr>
          <w:rFonts w:hint="default" w:ascii="Times New Roman" w:hAnsi="Times New Roman" w:eastAsia="宋体" w:cs="Times New Roman"/>
          <w:bCs/>
          <w:color w:val="auto"/>
          <w:kern w:val="0"/>
          <w:sz w:val="24"/>
          <w:szCs w:val="24"/>
        </w:rPr>
        <w:t xml:space="preserve"> 环境风险源调查</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_Toc30824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8</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2409988">
      <w:pPr>
        <w:pStyle w:val="68"/>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_Toc6145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eastAsia="zh-CN"/>
        </w:rPr>
        <w:t>2.2 环境敏感目标调查</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_Toc6145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14</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4A852BD">
      <w:pPr>
        <w:pStyle w:val="68"/>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firstLine="0" w:firstLine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_Toc13052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highlight w:val="none"/>
          <w:lang w:val="en-US" w:eastAsia="zh-CN"/>
        </w:rPr>
        <w:t>3</w:t>
      </w:r>
      <w:r>
        <w:rPr>
          <w:rFonts w:hint="default" w:ascii="Times New Roman" w:hAnsi="Times New Roman" w:eastAsia="宋体" w:cs="Times New Roman"/>
          <w:bCs/>
          <w:color w:val="auto"/>
          <w:kern w:val="0"/>
          <w:sz w:val="24"/>
          <w:szCs w:val="24"/>
          <w:highlight w:val="none"/>
        </w:rPr>
        <w:t xml:space="preserve"> 环境风险潜势初判</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_Toc13052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17</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4C439EED">
      <w:pPr>
        <w:pStyle w:val="42"/>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_Toc24679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val="en-US" w:eastAsia="zh-CN"/>
        </w:rPr>
        <w:t>3.1</w:t>
      </w:r>
      <w:r>
        <w:rPr>
          <w:rFonts w:hint="default" w:ascii="Times New Roman" w:hAnsi="Times New Roman" w:eastAsia="宋体" w:cs="Times New Roman"/>
          <w:bCs/>
          <w:color w:val="auto"/>
          <w:kern w:val="0"/>
          <w:sz w:val="24"/>
          <w:szCs w:val="24"/>
        </w:rPr>
        <w:t xml:space="preserve"> 环境敏感程度的确定</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_Toc24679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17</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5A80D6E">
      <w:pPr>
        <w:pStyle w:val="42"/>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_Toc23046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val="en-US" w:eastAsia="zh-CN"/>
        </w:rPr>
        <w:t>3.</w:t>
      </w:r>
      <w:r>
        <w:rPr>
          <w:rFonts w:hint="default" w:ascii="Times New Roman" w:hAnsi="Times New Roman" w:eastAsia="宋体" w:cs="Times New Roman"/>
          <w:bCs/>
          <w:color w:val="auto"/>
          <w:kern w:val="0"/>
          <w:sz w:val="24"/>
          <w:szCs w:val="24"/>
        </w:rPr>
        <w:t>2 危险物质及工艺系统危险性（P）的确定</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_Toc23046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19</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8E594D9">
      <w:pPr>
        <w:pStyle w:val="68"/>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firstLine="0" w:firstLine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_Toc12470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highlight w:val="none"/>
          <w:lang w:val="en-US" w:eastAsia="zh-CN"/>
        </w:rPr>
        <w:t xml:space="preserve">4 </w:t>
      </w:r>
      <w:r>
        <w:rPr>
          <w:rFonts w:hint="default" w:ascii="Times New Roman" w:hAnsi="Times New Roman" w:eastAsia="宋体" w:cs="Times New Roman"/>
          <w:bCs/>
          <w:color w:val="auto"/>
          <w:kern w:val="0"/>
          <w:sz w:val="24"/>
          <w:szCs w:val="24"/>
          <w:highlight w:val="none"/>
        </w:rPr>
        <w:t>环境风险评价等级及评价范围</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_Toc12470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21</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5C9D35C5">
      <w:pPr>
        <w:pStyle w:val="42"/>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_Toc18027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highlight w:val="none"/>
          <w:lang w:eastAsia="zh-CN"/>
        </w:rPr>
        <w:t>4.</w:t>
      </w:r>
      <w:r>
        <w:rPr>
          <w:rFonts w:hint="default" w:ascii="Times New Roman" w:hAnsi="Times New Roman" w:eastAsia="宋体" w:cs="Times New Roman"/>
          <w:bCs/>
          <w:color w:val="auto"/>
          <w:kern w:val="0"/>
          <w:sz w:val="24"/>
          <w:szCs w:val="24"/>
          <w:highlight w:val="none"/>
        </w:rPr>
        <w:t>1 环境风险评价等级</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_Toc18027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21</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DD0A242">
      <w:pPr>
        <w:pStyle w:val="42"/>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_Toc19117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eastAsia="zh-CN"/>
        </w:rPr>
        <w:t>4.</w:t>
      </w:r>
      <w:r>
        <w:rPr>
          <w:rFonts w:hint="default" w:ascii="Times New Roman" w:hAnsi="Times New Roman" w:eastAsia="宋体" w:cs="Times New Roman"/>
          <w:bCs/>
          <w:color w:val="auto"/>
          <w:kern w:val="0"/>
          <w:sz w:val="24"/>
          <w:szCs w:val="24"/>
        </w:rPr>
        <w:t>2 环境风险评价范围</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_Toc19117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22</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37336C2">
      <w:pPr>
        <w:pStyle w:val="68"/>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firstLine="0" w:firstLine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_Toc30131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highlight w:val="none"/>
          <w:lang w:val="en-US" w:eastAsia="zh-CN"/>
        </w:rPr>
        <w:t xml:space="preserve">5 </w:t>
      </w:r>
      <w:r>
        <w:rPr>
          <w:rFonts w:hint="default" w:ascii="Times New Roman" w:hAnsi="Times New Roman" w:eastAsia="宋体" w:cs="Times New Roman"/>
          <w:bCs/>
          <w:color w:val="auto"/>
          <w:kern w:val="0"/>
          <w:sz w:val="24"/>
          <w:szCs w:val="24"/>
          <w:highlight w:val="none"/>
        </w:rPr>
        <w:t>环境风险识别</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_Toc30131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22</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1F70AEDE">
      <w:pPr>
        <w:pStyle w:val="42"/>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_Toc30060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lang w:val="en-US" w:eastAsia="zh-CN"/>
        </w:rPr>
        <w:t>5.1 风险识别内容</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_Toc30060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22</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55C60716">
      <w:pPr>
        <w:pStyle w:val="42"/>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_Toc15185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lang w:val="en-US" w:eastAsia="zh-CN"/>
        </w:rPr>
        <w:t>5.2物质危险性识别</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_Toc15185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22</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599E5CAF">
      <w:pPr>
        <w:pStyle w:val="42"/>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_Toc1063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lang w:val="en-US" w:eastAsia="zh-CN"/>
        </w:rPr>
        <w:t>5.3生产系统风险识别</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_Toc1063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23</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59F8F7EE">
      <w:pPr>
        <w:pStyle w:val="42"/>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_Toc23815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lang w:val="en-US" w:eastAsia="zh-CN"/>
        </w:rPr>
        <w:t>5.4 物质向环境转移途径识别</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_Toc23815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25</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1E35FCF4">
      <w:pPr>
        <w:pStyle w:val="42"/>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_Toc28522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lang w:val="en-US" w:eastAsia="zh-CN"/>
        </w:rPr>
        <w:t>5.5 风险识别结果</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_Toc28522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26</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6D56D28">
      <w:pPr>
        <w:pStyle w:val="68"/>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firstLine="0" w:firstLine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_Toc31654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z w:val="24"/>
          <w:szCs w:val="24"/>
          <w:highlight w:val="none"/>
          <w:lang w:val="en-US" w:eastAsia="zh-CN"/>
        </w:rPr>
        <w:t>6</w:t>
      </w:r>
      <w:r>
        <w:rPr>
          <w:rFonts w:hint="default" w:ascii="Times New Roman" w:hAnsi="Times New Roman" w:cs="Times New Roman"/>
          <w:bCs/>
          <w:color w:val="auto"/>
          <w:sz w:val="24"/>
          <w:szCs w:val="24"/>
          <w:highlight w:val="none"/>
          <w:lang w:val="en-US" w:eastAsia="zh-CN"/>
        </w:rPr>
        <w:t xml:space="preserve"> </w:t>
      </w:r>
      <w:r>
        <w:rPr>
          <w:rFonts w:hint="default" w:ascii="Times New Roman" w:hAnsi="Times New Roman" w:eastAsia="宋体" w:cs="Times New Roman"/>
          <w:bCs/>
          <w:color w:val="auto"/>
          <w:sz w:val="24"/>
          <w:szCs w:val="24"/>
          <w:highlight w:val="none"/>
          <w:lang w:val="en-US"/>
        </w:rPr>
        <w:t>风险事故情形分析</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_Toc31654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26</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DD8EC1D">
      <w:pPr>
        <w:pStyle w:val="42"/>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_Toc32117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z w:val="24"/>
          <w:szCs w:val="24"/>
          <w:lang w:val="en-US" w:eastAsia="zh-CN"/>
        </w:rPr>
        <w:t>6.</w:t>
      </w:r>
      <w:r>
        <w:rPr>
          <w:rFonts w:hint="default" w:ascii="Times New Roman" w:hAnsi="Times New Roman" w:eastAsia="宋体" w:cs="Times New Roman"/>
          <w:bCs/>
          <w:color w:val="auto"/>
          <w:sz w:val="24"/>
          <w:szCs w:val="24"/>
        </w:rPr>
        <w:t>1风险事故情形设定</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_Toc32117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26</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2A00EB60">
      <w:pPr>
        <w:pStyle w:val="42"/>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_Toc29296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z w:val="24"/>
          <w:szCs w:val="24"/>
          <w:lang w:val="en-US" w:eastAsia="zh-CN"/>
        </w:rPr>
        <w:t>6.2源项分析</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_Toc29296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28</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263480F">
      <w:pPr>
        <w:pStyle w:val="68"/>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_Toc6776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val="en-US" w:eastAsia="zh-CN"/>
        </w:rPr>
        <w:t>6.3</w:t>
      </w:r>
      <w:r>
        <w:rPr>
          <w:rFonts w:hint="default" w:ascii="Times New Roman" w:hAnsi="Times New Roman" w:eastAsia="宋体" w:cs="Times New Roman"/>
          <w:bCs/>
          <w:color w:val="auto"/>
          <w:kern w:val="0"/>
          <w:sz w:val="24"/>
          <w:szCs w:val="24"/>
        </w:rPr>
        <w:t xml:space="preserve"> 环境风险预测与评价</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_Toc6776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29</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7F2B4625">
      <w:pPr>
        <w:pStyle w:val="68"/>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firstLine="0" w:firstLine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_Toc242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highlight w:val="none"/>
          <w:lang w:val="en-US" w:eastAsia="zh-CN"/>
        </w:rPr>
        <w:t>7</w:t>
      </w:r>
      <w:r>
        <w:rPr>
          <w:rFonts w:hint="default" w:ascii="Times New Roman" w:hAnsi="Times New Roman" w:eastAsia="宋体" w:cs="Times New Roman"/>
          <w:bCs/>
          <w:color w:val="auto"/>
          <w:kern w:val="0"/>
          <w:sz w:val="24"/>
          <w:szCs w:val="24"/>
          <w:highlight w:val="none"/>
        </w:rPr>
        <w:t>环境风险管理</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_Toc242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36</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00457293">
      <w:pPr>
        <w:pStyle w:val="68"/>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_Toc25036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sz w:val="24"/>
          <w:szCs w:val="24"/>
          <w:shd w:val="clear" w:color="auto" w:fill="auto"/>
          <w:lang w:val="en-US" w:eastAsia="zh-CN"/>
        </w:rPr>
        <w:t>7.</w:t>
      </w:r>
      <w:r>
        <w:rPr>
          <w:rFonts w:hint="default" w:ascii="Times New Roman" w:hAnsi="Times New Roman" w:eastAsia="宋体" w:cs="Times New Roman"/>
          <w:bCs w:val="0"/>
          <w:color w:val="auto"/>
          <w:sz w:val="24"/>
          <w:szCs w:val="24"/>
          <w:shd w:val="clear" w:color="auto" w:fill="auto"/>
          <w:lang w:eastAsia="zh-CN"/>
        </w:rPr>
        <w:t>1大气环境风险防范措施</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_Toc25036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36</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B0B0288">
      <w:pPr>
        <w:pStyle w:val="68"/>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_Toc12625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sz w:val="24"/>
          <w:szCs w:val="24"/>
          <w:shd w:val="clear" w:color="auto" w:fill="auto"/>
          <w:lang w:val="en-US" w:eastAsia="zh-CN"/>
        </w:rPr>
        <w:t>7.2事故废水环境风险防范措施</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_Toc12625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39</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27217D43">
      <w:pPr>
        <w:pStyle w:val="68"/>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_Toc119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sz w:val="24"/>
          <w:szCs w:val="24"/>
          <w:shd w:val="clear" w:color="auto" w:fill="auto"/>
          <w:lang w:val="en-US" w:eastAsia="zh-CN"/>
        </w:rPr>
        <w:t>7.3地下水环境风险防范措施</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_Toc119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40</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FC95785">
      <w:pPr>
        <w:pStyle w:val="68"/>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_Toc24090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sz w:val="24"/>
          <w:szCs w:val="24"/>
          <w:shd w:val="clear" w:color="auto" w:fill="auto"/>
          <w:lang w:val="en-US" w:eastAsia="zh-CN"/>
        </w:rPr>
        <w:t>7.4事故处理措施事故监测</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_Toc24090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41</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0B1559AC">
      <w:pPr>
        <w:pStyle w:val="68"/>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_Toc31704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7.</w:t>
      </w:r>
      <w:r>
        <w:rPr>
          <w:rFonts w:hint="default" w:ascii="Times New Roman" w:hAnsi="Times New Roman"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 xml:space="preserve"> 突发环境事件应急预案</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_Toc31704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44</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438E78D8">
      <w:pPr>
        <w:pStyle w:val="68"/>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firstLine="0" w:firstLine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_Toc19750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highlight w:val="none"/>
          <w:lang w:val="en-US" w:eastAsia="zh-CN"/>
        </w:rPr>
        <w:t>8 评价结论及建议</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_Toc19750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52</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2DD5821F">
      <w:pPr>
        <w:pStyle w:val="42"/>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_Toc8677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highlight w:val="none"/>
          <w:lang w:val="en-US" w:eastAsia="zh-CN"/>
        </w:rPr>
        <w:t>8.1 项目危险因素</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_Toc8677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52</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A2A1295">
      <w:pPr>
        <w:pStyle w:val="42"/>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_Toc25670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highlight w:val="none"/>
          <w:lang w:val="en-US" w:eastAsia="zh-CN"/>
        </w:rPr>
        <w:t>8.2 环境敏感性及事故环境影响</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_Toc25670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52</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78A455AB">
      <w:pPr>
        <w:pStyle w:val="42"/>
        <w:pageBreakBefore w:val="0"/>
        <w:tabs>
          <w:tab w:val="right" w:leader="dot" w:pos="9071"/>
        </w:tabs>
        <w:kinsoku/>
        <w:wordWrap/>
        <w:overflowPunct/>
        <w:topLinePunct w:val="0"/>
        <w:autoSpaceDE/>
        <w:autoSpaceDN/>
        <w:bidi w:val="0"/>
        <w:adjustRightInd w:val="0"/>
        <w:snapToGrid w:val="0"/>
        <w:spacing w:line="360" w:lineRule="auto"/>
        <w:ind w:left="0" w:leftChars="0" w:firstLine="480" w:firstLineChars="20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_Toc15069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lang w:val="en-US" w:eastAsia="zh-CN"/>
        </w:rPr>
        <w:t>8.3 环境风险防范措施和应急预案</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_Toc15069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53</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4B970387">
      <w:pPr>
        <w:pStyle w:val="68"/>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_Toc22303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lang w:val="en-US" w:eastAsia="zh-CN" w:bidi="ar-SA"/>
        </w:rPr>
        <w:t>8.4 环境风险评价结论与建议</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_Toc22303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53</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17EF8AB3">
      <w:pPr>
        <w:pStyle w:val="68"/>
        <w:pageBreakBefore w:val="0"/>
        <w:tabs>
          <w:tab w:val="right" w:leader="dot" w:pos="9071"/>
          <w:tab w:val="clear" w:pos="9060"/>
        </w:tabs>
        <w:kinsoku/>
        <w:wordWrap/>
        <w:overflowPunct/>
        <w:topLinePunct w:val="0"/>
        <w:autoSpaceDE/>
        <w:autoSpaceDN/>
        <w:bidi w:val="0"/>
        <w:adjustRightInd w:val="0"/>
        <w:snapToGrid w:val="0"/>
        <w:spacing w:line="360" w:lineRule="auto"/>
        <w:ind w:left="0" w:leftChars="0"/>
        <w:textAlignment w:val="auto"/>
        <w:rPr>
          <w:rFonts w:ascii="Times New Roman" w:hAnsi="Times New Roman"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_Toc19408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val="0"/>
          <w:color w:val="auto"/>
          <w:kern w:val="2"/>
          <w:sz w:val="24"/>
          <w:szCs w:val="24"/>
          <w:lang w:val="en-US" w:eastAsia="zh-CN" w:bidi="ar-SA"/>
        </w:rPr>
        <w:t>8.5环境风险评价自查表</w:t>
      </w:r>
      <w:r>
        <w:rPr>
          <w:rFonts w:ascii="Times New Roman" w:hAnsi="Times New Roman" w:cs="Times New Roman"/>
          <w:color w:val="auto"/>
          <w:sz w:val="24"/>
          <w:szCs w:val="24"/>
        </w:rPr>
        <w:tab/>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PAGEREF _Toc19408 \h </w:instrText>
      </w:r>
      <w:r>
        <w:rPr>
          <w:rFonts w:ascii="Times New Roman" w:hAnsi="Times New Roman" w:cs="Times New Roman"/>
          <w:color w:val="auto"/>
          <w:sz w:val="24"/>
          <w:szCs w:val="24"/>
        </w:rPr>
        <w:fldChar w:fldCharType="separate"/>
      </w:r>
      <w:r>
        <w:rPr>
          <w:rFonts w:ascii="Times New Roman" w:hAnsi="Times New Roman" w:cs="Times New Roman"/>
          <w:color w:val="auto"/>
          <w:sz w:val="24"/>
          <w:szCs w:val="24"/>
        </w:rPr>
        <w:t>53</w:t>
      </w:r>
      <w:r>
        <w:rPr>
          <w:rFonts w:ascii="Times New Roman" w:hAnsi="Times New Roman"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1C90BF0E">
      <w:pPr>
        <w:keepNext/>
        <w:keepLines/>
        <w:pageBreakBefore w:val="0"/>
        <w:widowControl/>
        <w:kinsoku/>
        <w:wordWrap/>
        <w:overflowPunct/>
        <w:topLinePunct w:val="0"/>
        <w:autoSpaceDE/>
        <w:autoSpaceDN/>
        <w:bidi w:val="0"/>
        <w:adjustRightInd w:val="0"/>
        <w:snapToGrid w:val="0"/>
        <w:spacing w:line="360" w:lineRule="auto"/>
        <w:ind w:left="0" w:leftChars="0"/>
        <w:jc w:val="center"/>
        <w:textAlignment w:val="auto"/>
        <w:outlineLvl w:val="1"/>
        <w:rPr>
          <w:rFonts w:hint="default" w:ascii="Times New Roman" w:hAnsi="Times New Roman" w:eastAsia="宋体" w:cs="Times New Roman"/>
          <w:color w:val="auto"/>
          <w:sz w:val="30"/>
          <w:szCs w:val="30"/>
          <w:lang w:eastAsia="zh-CN"/>
        </w:rPr>
      </w:pPr>
      <w:r>
        <w:rPr>
          <w:rFonts w:hint="default" w:ascii="Times New Roman" w:hAnsi="Times New Roman" w:eastAsia="宋体" w:cs="Times New Roman"/>
          <w:color w:val="auto"/>
          <w:sz w:val="24"/>
          <w:szCs w:val="24"/>
        </w:rPr>
        <w:fldChar w:fldCharType="end"/>
      </w:r>
    </w:p>
    <w:p w14:paraId="27FCC896">
      <w:pPr>
        <w:keepNext/>
        <w:keepLines/>
        <w:widowControl/>
        <w:spacing w:before="120" w:after="120" w:line="360" w:lineRule="auto"/>
        <w:jc w:val="center"/>
        <w:outlineLvl w:val="1"/>
        <w:rPr>
          <w:rFonts w:hint="default" w:ascii="Times New Roman" w:hAnsi="Times New Roman" w:eastAsia="宋体" w:cs="Times New Roman"/>
          <w:color w:val="auto"/>
          <w:sz w:val="30"/>
          <w:szCs w:val="30"/>
          <w:lang w:eastAsia="zh-CN"/>
        </w:rPr>
      </w:pPr>
    </w:p>
    <w:p w14:paraId="522C510E">
      <w:pPr>
        <w:keepNext/>
        <w:keepLines/>
        <w:widowControl/>
        <w:spacing w:before="120" w:after="120" w:line="360" w:lineRule="auto"/>
        <w:jc w:val="center"/>
        <w:outlineLvl w:val="1"/>
        <w:rPr>
          <w:rFonts w:hint="default" w:ascii="Times New Roman" w:hAnsi="Times New Roman" w:eastAsia="宋体" w:cs="Times New Roman"/>
          <w:color w:val="auto"/>
          <w:sz w:val="30"/>
          <w:szCs w:val="30"/>
          <w:lang w:eastAsia="zh-CN"/>
        </w:rPr>
      </w:pPr>
    </w:p>
    <w:p w14:paraId="6BB09189">
      <w:pPr>
        <w:keepNext/>
        <w:keepLines/>
        <w:widowControl/>
        <w:spacing w:before="120" w:after="120" w:line="360" w:lineRule="auto"/>
        <w:jc w:val="center"/>
        <w:outlineLvl w:val="1"/>
        <w:rPr>
          <w:rFonts w:hint="default" w:ascii="Times New Roman" w:hAnsi="Times New Roman" w:eastAsia="宋体" w:cs="Times New Roman"/>
          <w:color w:val="auto"/>
          <w:sz w:val="30"/>
          <w:szCs w:val="30"/>
          <w:lang w:eastAsia="zh-CN"/>
        </w:rPr>
      </w:pPr>
    </w:p>
    <w:p w14:paraId="5B3760FB">
      <w:pPr>
        <w:keepNext/>
        <w:keepLines/>
        <w:widowControl/>
        <w:spacing w:before="120" w:after="120" w:line="360" w:lineRule="auto"/>
        <w:jc w:val="center"/>
        <w:outlineLvl w:val="1"/>
        <w:rPr>
          <w:rFonts w:hint="default" w:ascii="Times New Roman" w:hAnsi="Times New Roman" w:eastAsia="宋体" w:cs="Times New Roman"/>
          <w:color w:val="auto"/>
          <w:sz w:val="30"/>
          <w:szCs w:val="30"/>
          <w:lang w:eastAsia="zh-CN"/>
        </w:rPr>
      </w:pPr>
    </w:p>
    <w:p w14:paraId="7D0E988C">
      <w:pPr>
        <w:keepNext/>
        <w:keepLines/>
        <w:widowControl/>
        <w:spacing w:before="120" w:after="120" w:line="360" w:lineRule="auto"/>
        <w:jc w:val="center"/>
        <w:outlineLvl w:val="1"/>
        <w:rPr>
          <w:rFonts w:hint="default" w:ascii="Times New Roman" w:hAnsi="Times New Roman" w:eastAsia="宋体" w:cs="Times New Roman"/>
          <w:color w:val="auto"/>
          <w:sz w:val="30"/>
          <w:szCs w:val="30"/>
          <w:lang w:eastAsia="zh-CN"/>
        </w:rPr>
      </w:pPr>
    </w:p>
    <w:p w14:paraId="4B5A2A2C">
      <w:pPr>
        <w:keepNext/>
        <w:keepLines/>
        <w:widowControl/>
        <w:spacing w:before="120" w:after="120" w:line="360" w:lineRule="auto"/>
        <w:jc w:val="center"/>
        <w:outlineLvl w:val="1"/>
        <w:rPr>
          <w:rFonts w:hint="default" w:ascii="Times New Roman" w:hAnsi="Times New Roman" w:eastAsia="宋体" w:cs="Times New Roman"/>
          <w:color w:val="auto"/>
          <w:sz w:val="30"/>
          <w:szCs w:val="30"/>
          <w:lang w:eastAsia="zh-CN"/>
        </w:rPr>
      </w:pPr>
    </w:p>
    <w:p w14:paraId="52DAF53F">
      <w:pPr>
        <w:keepNext/>
        <w:keepLines/>
        <w:widowControl/>
        <w:spacing w:before="120" w:after="120" w:line="360" w:lineRule="auto"/>
        <w:jc w:val="center"/>
        <w:outlineLvl w:val="1"/>
        <w:rPr>
          <w:rFonts w:hint="default" w:ascii="Times New Roman" w:hAnsi="Times New Roman" w:eastAsia="宋体" w:cs="Times New Roman"/>
          <w:color w:val="auto"/>
          <w:sz w:val="30"/>
          <w:szCs w:val="30"/>
        </w:rPr>
      </w:pPr>
    </w:p>
    <w:p w14:paraId="56513060">
      <w:pPr>
        <w:keepNext/>
        <w:keepLines/>
        <w:widowControl/>
        <w:spacing w:before="120" w:after="120" w:line="360" w:lineRule="auto"/>
        <w:jc w:val="center"/>
        <w:outlineLvl w:val="1"/>
        <w:rPr>
          <w:rFonts w:hint="default" w:ascii="Times New Roman" w:hAnsi="Times New Roman" w:eastAsia="宋体" w:cs="Times New Roman"/>
          <w:color w:val="auto"/>
          <w:sz w:val="30"/>
          <w:szCs w:val="30"/>
          <w:lang w:eastAsia="zh-CN"/>
        </w:rPr>
      </w:pPr>
    </w:p>
    <w:p w14:paraId="49DA7E5E">
      <w:pPr>
        <w:pStyle w:val="80"/>
        <w:rPr>
          <w:rFonts w:hint="default" w:ascii="Times New Roman" w:hAnsi="Times New Roman" w:eastAsia="宋体" w:cs="Times New Roman"/>
          <w:color w:val="auto"/>
          <w:sz w:val="30"/>
          <w:szCs w:val="30"/>
        </w:rPr>
      </w:pPr>
    </w:p>
    <w:p w14:paraId="716DB8E8">
      <w:pPr>
        <w:rPr>
          <w:rFonts w:hint="default" w:ascii="Times New Roman" w:hAnsi="Times New Roman" w:eastAsia="宋体" w:cs="Times New Roman"/>
          <w:color w:val="auto"/>
          <w:sz w:val="30"/>
          <w:szCs w:val="30"/>
        </w:rPr>
      </w:pPr>
    </w:p>
    <w:p w14:paraId="32D5B70A">
      <w:pPr>
        <w:pStyle w:val="80"/>
        <w:rPr>
          <w:rFonts w:hint="default" w:ascii="Times New Roman" w:hAnsi="Times New Roman" w:eastAsia="宋体" w:cs="Times New Roman"/>
          <w:color w:val="auto"/>
          <w:sz w:val="30"/>
          <w:szCs w:val="30"/>
        </w:rPr>
      </w:pPr>
    </w:p>
    <w:p w14:paraId="1FA9B386">
      <w:pPr>
        <w:pStyle w:val="104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jc w:val="both"/>
        <w:textAlignment w:val="auto"/>
        <w:outlineLvl w:val="0"/>
        <w:rPr>
          <w:rFonts w:hint="default" w:ascii="Times New Roman" w:hAnsi="Times New Roman" w:eastAsia="宋体" w:cs="Times New Roman"/>
          <w:b/>
          <w:color w:val="auto"/>
          <w:sz w:val="32"/>
          <w:szCs w:val="32"/>
          <w:lang w:val="en-US" w:eastAsia="zh-CN"/>
        </w:rPr>
        <w:sectPr>
          <w:pgSz w:w="11906" w:h="16838"/>
          <w:pgMar w:top="1418" w:right="1276" w:bottom="1418" w:left="1559" w:header="851" w:footer="680" w:gutter="0"/>
          <w:pgNumType w:chapStyle="1"/>
          <w:cols w:space="720" w:num="1"/>
          <w:docGrid w:linePitch="326" w:charSpace="0"/>
        </w:sectPr>
      </w:pPr>
      <w:bookmarkStart w:id="22" w:name="_Toc68104462"/>
      <w:bookmarkStart w:id="23" w:name="_Toc69993066"/>
    </w:p>
    <w:p w14:paraId="7E00AC92">
      <w:pPr>
        <w:pStyle w:val="104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jc w:val="both"/>
        <w:textAlignment w:val="auto"/>
        <w:outlineLvl w:val="0"/>
        <w:rPr>
          <w:rFonts w:hint="default" w:ascii="Times New Roman" w:hAnsi="Times New Roman" w:eastAsia="宋体" w:cs="Times New Roman"/>
          <w:b/>
          <w:color w:val="auto"/>
          <w:sz w:val="32"/>
          <w:szCs w:val="32"/>
        </w:rPr>
      </w:pPr>
      <w:bookmarkStart w:id="24" w:name="_Toc12296"/>
      <w:r>
        <w:rPr>
          <w:rFonts w:hint="default" w:ascii="Times New Roman" w:hAnsi="Times New Roman" w:eastAsia="宋体" w:cs="Times New Roman"/>
          <w:b/>
          <w:color w:val="auto"/>
          <w:sz w:val="32"/>
          <w:szCs w:val="32"/>
          <w:lang w:val="en-US" w:eastAsia="zh-CN"/>
        </w:rPr>
        <w:t xml:space="preserve">1 </w:t>
      </w:r>
      <w:r>
        <w:rPr>
          <w:rFonts w:hint="default" w:ascii="Times New Roman" w:hAnsi="Times New Roman" w:eastAsia="宋体" w:cs="Times New Roman"/>
          <w:b/>
          <w:color w:val="auto"/>
          <w:sz w:val="32"/>
          <w:szCs w:val="32"/>
        </w:rPr>
        <w:t>概述</w:t>
      </w:r>
      <w:bookmarkEnd w:id="22"/>
      <w:bookmarkEnd w:id="23"/>
      <w:bookmarkEnd w:id="24"/>
    </w:p>
    <w:p w14:paraId="1366D192">
      <w:pPr>
        <w:pStyle w:val="80"/>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textAlignment w:val="auto"/>
        <w:outlineLvl w:val="1"/>
        <w:rPr>
          <w:rFonts w:hint="default" w:ascii="Times New Roman" w:hAnsi="Times New Roman" w:eastAsia="宋体" w:cs="Times New Roman"/>
          <w:b/>
          <w:color w:val="auto"/>
          <w:sz w:val="30"/>
          <w:szCs w:val="30"/>
        </w:rPr>
      </w:pPr>
      <w:bookmarkStart w:id="25" w:name="_Toc7737"/>
      <w:bookmarkStart w:id="26" w:name="_Toc68104463"/>
      <w:bookmarkStart w:id="27" w:name="_Toc69993067"/>
      <w:r>
        <w:rPr>
          <w:rFonts w:hint="default" w:ascii="Times New Roman" w:hAnsi="Times New Roman" w:eastAsia="宋体" w:cs="Times New Roman"/>
          <w:b/>
          <w:color w:val="auto"/>
          <w:sz w:val="30"/>
          <w:szCs w:val="30"/>
          <w:lang w:val="en-US" w:eastAsia="zh-CN"/>
        </w:rPr>
        <w:t>1.1</w:t>
      </w:r>
      <w:r>
        <w:rPr>
          <w:rFonts w:hint="default" w:ascii="Times New Roman" w:hAnsi="Times New Roman" w:eastAsia="宋体" w:cs="Times New Roman"/>
          <w:b/>
          <w:color w:val="auto"/>
          <w:sz w:val="30"/>
          <w:szCs w:val="30"/>
        </w:rPr>
        <w:t>编制依据</w:t>
      </w:r>
      <w:bookmarkEnd w:id="25"/>
      <w:bookmarkEnd w:id="26"/>
      <w:bookmarkEnd w:id="27"/>
    </w:p>
    <w:p w14:paraId="033E2DD4">
      <w:pPr>
        <w:pStyle w:val="104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rPr>
      </w:pPr>
      <w:bookmarkStart w:id="28" w:name="_Toc68104464"/>
      <w:bookmarkStart w:id="29" w:name="_Toc69993068"/>
      <w:bookmarkStart w:id="30" w:name="_Toc22276"/>
      <w:r>
        <w:rPr>
          <w:rFonts w:hint="default" w:ascii="Times New Roman" w:hAnsi="Times New Roman" w:eastAsia="宋体" w:cs="Times New Roman"/>
          <w:b/>
          <w:color w:val="auto"/>
          <w:sz w:val="28"/>
          <w:szCs w:val="28"/>
          <w:lang w:val="en-US" w:eastAsia="zh-CN"/>
        </w:rPr>
        <w:t xml:space="preserve">1.1.1 </w:t>
      </w:r>
      <w:r>
        <w:rPr>
          <w:rFonts w:hint="default" w:ascii="Times New Roman" w:hAnsi="Times New Roman" w:eastAsia="宋体" w:cs="Times New Roman"/>
          <w:b/>
          <w:color w:val="auto"/>
          <w:sz w:val="28"/>
          <w:szCs w:val="28"/>
        </w:rPr>
        <w:t>法律、法规、文件</w:t>
      </w:r>
      <w:bookmarkEnd w:id="28"/>
      <w:bookmarkEnd w:id="29"/>
      <w:bookmarkEnd w:id="30"/>
    </w:p>
    <w:p w14:paraId="22BB4FA7">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《中华人民共和国环境保护法》（2015年1月1日施行）；</w:t>
      </w:r>
    </w:p>
    <w:p w14:paraId="6B81536D">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《中华人民共和国环境影响评价法》（2018年12月29日修正）；</w:t>
      </w:r>
    </w:p>
    <w:p w14:paraId="7DC776C9">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《中华人民共和国水污染防治法》（2018年1月1日施行）；</w:t>
      </w:r>
    </w:p>
    <w:p w14:paraId="6849CE9C">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《中华人民共和国大气污染防治法》（2018年10月26日修正）；</w:t>
      </w:r>
    </w:p>
    <w:p w14:paraId="27846BD6">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《中华人民共和国固体废物污染环境防治法》（2020年4月29 日修订）；</w:t>
      </w:r>
    </w:p>
    <w:p w14:paraId="7C400F8F">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《建设项目环境保护管理条例》（2017年10月1日施行）；</w:t>
      </w:r>
    </w:p>
    <w:p w14:paraId="28BFBF68">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《关于防范环境风险加强环境影响评价管理的通知》（环发[2005]152号）；</w:t>
      </w:r>
    </w:p>
    <w:p w14:paraId="65B8036B">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《关于加强化学危险品管理的通知》（环发[1999]296号）；</w:t>
      </w:r>
    </w:p>
    <w:p w14:paraId="40651CA4">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《关于进一步加强环境影响评价管理防范环境风险的通知》（环发[2012]77号）</w:t>
      </w:r>
      <w:r>
        <w:rPr>
          <w:rFonts w:hint="default" w:ascii="Times New Roman" w:hAnsi="Times New Roman" w:eastAsia="宋体" w:cs="Times New Roman"/>
          <w:color w:val="auto"/>
          <w:sz w:val="24"/>
          <w:szCs w:val="24"/>
          <w:lang w:eastAsia="zh-CN"/>
        </w:rPr>
        <w:t>；</w:t>
      </w:r>
    </w:p>
    <w:p w14:paraId="19F9BC7A">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《关于切实加强风险防范严格环境影响评价管理的通知》（环发[2012]98号）</w:t>
      </w:r>
      <w:r>
        <w:rPr>
          <w:rFonts w:hint="default" w:ascii="Times New Roman" w:hAnsi="Times New Roman" w:eastAsia="宋体" w:cs="Times New Roman"/>
          <w:color w:val="auto"/>
          <w:sz w:val="24"/>
          <w:szCs w:val="24"/>
          <w:lang w:eastAsia="zh-CN"/>
        </w:rPr>
        <w:t>；</w:t>
      </w:r>
    </w:p>
    <w:p w14:paraId="3BDC4AEA">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《危险化学品安全管理条例》（国务院令第645号）；</w:t>
      </w:r>
    </w:p>
    <w:p w14:paraId="37EF005A">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《生产安全事故应急预案管理办法》（应急管理部令第二号，2019.9.1施行）；</w:t>
      </w:r>
    </w:p>
    <w:p w14:paraId="61F270FF">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《危险化学品重大危险源监督管理暂行规定》（安全监管总局令第40 号）；</w:t>
      </w:r>
    </w:p>
    <w:p w14:paraId="166F6251">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《危险化学品建设项目安全监督管理办法》（安监总局令45号）；</w:t>
      </w:r>
    </w:p>
    <w:p w14:paraId="0CAA5E69">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《企业事业单位突发环境事件应急预案备案管理办法（试行）》（环发[2015]4号）；</w:t>
      </w:r>
    </w:p>
    <w:p w14:paraId="7F59EF85">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《突发事件应急预案管理办法》的通知（国办发〔2024〕5号）；</w:t>
      </w:r>
    </w:p>
    <w:p w14:paraId="44152CBE">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《突发环境事件信息报告办法》（环境保护部令第 17 号）；</w:t>
      </w:r>
    </w:p>
    <w:p w14:paraId="334AE4BD">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《山东省突发事件应急预案管理办法》（鲁政办发[2014]15号）；</w:t>
      </w:r>
    </w:p>
    <w:p w14:paraId="5110B72C">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《山东省突发环境事件应急预案》（鲁政发〔2021〕14号）；</w:t>
      </w:r>
    </w:p>
    <w:p w14:paraId="6BD58EAA">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《山东省人民政府办公厅关于印发山东省突发环境事件应急预案的通知》（鲁政办字〔2020〕50号）；</w:t>
      </w:r>
    </w:p>
    <w:p w14:paraId="69BFB75D">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《山东省生态环境厅突发环境事件应急预案》（2021年12月6日修订）；</w:t>
      </w:r>
    </w:p>
    <w:p w14:paraId="08374898">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淄博市生态环境局《关于进一步做好突发环境事件应急预案备案管理工作的通知》（淄环发〔2020〕100号）；</w:t>
      </w:r>
    </w:p>
    <w:p w14:paraId="067A3F3B">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《淄博市突发环境事件应急预案》（淄政办字〔2020〕99号）；</w:t>
      </w:r>
    </w:p>
    <w:p w14:paraId="06B1EC5E">
      <w:pPr>
        <w:pStyle w:val="80"/>
        <w:keepNext w:val="0"/>
        <w:keepLines w:val="0"/>
        <w:pageBreakBefore w:val="0"/>
        <w:widowControl w:val="0"/>
        <w:numPr>
          <w:ilvl w:val="0"/>
          <w:numId w:val="21"/>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《淄博市淄川区突发环境事件应急预案》（川政办字〔2021〕19号）。</w:t>
      </w:r>
    </w:p>
    <w:p w14:paraId="33BAAFCC">
      <w:pPr>
        <w:pStyle w:val="104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rPr>
      </w:pPr>
      <w:bookmarkStart w:id="31" w:name="_Toc69993069"/>
      <w:bookmarkStart w:id="32" w:name="_Toc30897"/>
      <w:bookmarkStart w:id="33" w:name="_Toc68104465"/>
      <w:r>
        <w:rPr>
          <w:rFonts w:hint="default" w:ascii="Times New Roman" w:hAnsi="Times New Roman" w:eastAsia="宋体" w:cs="Times New Roman"/>
          <w:b/>
          <w:color w:val="auto"/>
          <w:sz w:val="28"/>
          <w:szCs w:val="28"/>
          <w:lang w:val="en-US" w:eastAsia="zh-CN"/>
        </w:rPr>
        <w:t xml:space="preserve">1.1.2 </w:t>
      </w:r>
      <w:r>
        <w:rPr>
          <w:rFonts w:hint="default" w:ascii="Times New Roman" w:hAnsi="Times New Roman" w:eastAsia="宋体" w:cs="Times New Roman"/>
          <w:b/>
          <w:color w:val="auto"/>
          <w:sz w:val="28"/>
          <w:szCs w:val="28"/>
        </w:rPr>
        <w:t>技术规范</w:t>
      </w:r>
      <w:bookmarkEnd w:id="31"/>
      <w:bookmarkEnd w:id="32"/>
      <w:bookmarkEnd w:id="33"/>
    </w:p>
    <w:p w14:paraId="7C72D576">
      <w:pPr>
        <w:pStyle w:val="80"/>
        <w:keepNext w:val="0"/>
        <w:keepLines w:val="0"/>
        <w:pageBreakBefore w:val="0"/>
        <w:widowControl w:val="0"/>
        <w:numPr>
          <w:ilvl w:val="0"/>
          <w:numId w:val="22"/>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《建设项目环境影响评价技术导则 总纲》（HJ2.1-2016）；</w:t>
      </w:r>
    </w:p>
    <w:p w14:paraId="0A103F47">
      <w:pPr>
        <w:pStyle w:val="80"/>
        <w:keepNext w:val="0"/>
        <w:keepLines w:val="0"/>
        <w:pageBreakBefore w:val="0"/>
        <w:widowControl w:val="0"/>
        <w:numPr>
          <w:ilvl w:val="0"/>
          <w:numId w:val="22"/>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《建设项目环境风险评价技术导则》（HJ169-2018）</w:t>
      </w:r>
    </w:p>
    <w:p w14:paraId="007FB656">
      <w:pPr>
        <w:pStyle w:val="80"/>
        <w:keepNext w:val="0"/>
        <w:keepLines w:val="0"/>
        <w:pageBreakBefore w:val="0"/>
        <w:widowControl w:val="0"/>
        <w:numPr>
          <w:ilvl w:val="0"/>
          <w:numId w:val="22"/>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《突发环境事件应急监测技术规范》（HJ589-2010）；</w:t>
      </w:r>
    </w:p>
    <w:p w14:paraId="6BAD0E00">
      <w:pPr>
        <w:pStyle w:val="80"/>
        <w:keepNext w:val="0"/>
        <w:keepLines w:val="0"/>
        <w:pageBreakBefore w:val="0"/>
        <w:widowControl w:val="0"/>
        <w:numPr>
          <w:ilvl w:val="0"/>
          <w:numId w:val="22"/>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《企业突发环境事件风险分级方法》（HJ941-2018）；</w:t>
      </w:r>
    </w:p>
    <w:p w14:paraId="1E4795A1">
      <w:pPr>
        <w:pStyle w:val="80"/>
        <w:keepNext w:val="0"/>
        <w:keepLines w:val="0"/>
        <w:pageBreakBefore w:val="0"/>
        <w:widowControl w:val="0"/>
        <w:numPr>
          <w:ilvl w:val="0"/>
          <w:numId w:val="22"/>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《企业突发环境事件风险评估指南（试行）》（2014）；</w:t>
      </w:r>
    </w:p>
    <w:p w14:paraId="38FD3B77">
      <w:pPr>
        <w:pStyle w:val="80"/>
        <w:keepNext w:val="0"/>
        <w:keepLines w:val="0"/>
        <w:pageBreakBefore w:val="0"/>
        <w:widowControl w:val="0"/>
        <w:numPr>
          <w:ilvl w:val="0"/>
          <w:numId w:val="22"/>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《危险化学品重大危险源辨识》（GB18218-2018）；</w:t>
      </w:r>
    </w:p>
    <w:p w14:paraId="61064B2B">
      <w:pPr>
        <w:pStyle w:val="80"/>
        <w:keepNext w:val="0"/>
        <w:keepLines w:val="0"/>
        <w:pageBreakBefore w:val="0"/>
        <w:widowControl w:val="0"/>
        <w:numPr>
          <w:ilvl w:val="0"/>
          <w:numId w:val="22"/>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《危险化学品目录》（2022年调整版）</w:t>
      </w:r>
    </w:p>
    <w:p w14:paraId="7A46D442">
      <w:pPr>
        <w:pStyle w:val="80"/>
        <w:keepNext w:val="0"/>
        <w:keepLines w:val="0"/>
        <w:pageBreakBefore w:val="0"/>
        <w:widowControl w:val="0"/>
        <w:numPr>
          <w:ilvl w:val="0"/>
          <w:numId w:val="22"/>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《危险货物品名表》（GB12268-2012）；</w:t>
      </w:r>
    </w:p>
    <w:p w14:paraId="4BD40097">
      <w:pPr>
        <w:pStyle w:val="80"/>
        <w:keepNext w:val="0"/>
        <w:keepLines w:val="0"/>
        <w:pageBreakBefore w:val="0"/>
        <w:widowControl w:val="0"/>
        <w:numPr>
          <w:ilvl w:val="0"/>
          <w:numId w:val="22"/>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《化学品分类和标签规范》（GB 30000.2-GB 30000.29）；</w:t>
      </w:r>
    </w:p>
    <w:p w14:paraId="66C6D610">
      <w:pPr>
        <w:pStyle w:val="80"/>
        <w:keepNext w:val="0"/>
        <w:keepLines w:val="0"/>
        <w:pageBreakBefore w:val="0"/>
        <w:widowControl w:val="0"/>
        <w:numPr>
          <w:ilvl w:val="0"/>
          <w:numId w:val="22"/>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《建筑设计防火规范》(GB50016-2014)；</w:t>
      </w:r>
    </w:p>
    <w:p w14:paraId="3B2BFFC0">
      <w:pPr>
        <w:pStyle w:val="80"/>
        <w:keepNext w:val="0"/>
        <w:keepLines w:val="0"/>
        <w:pageBreakBefore w:val="0"/>
        <w:widowControl w:val="0"/>
        <w:numPr>
          <w:ilvl w:val="0"/>
          <w:numId w:val="22"/>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《常用危险化学物品</w:t>
      </w:r>
      <w:r>
        <w:rPr>
          <w:rFonts w:hint="default" w:ascii="Times New Roman" w:hAnsi="Times New Roman" w:cs="Times New Roman"/>
          <w:color w:val="auto"/>
          <w:sz w:val="24"/>
          <w:szCs w:val="24"/>
          <w:lang w:val="en-US" w:eastAsia="zh-CN"/>
        </w:rPr>
        <w:t>贮存</w:t>
      </w:r>
      <w:r>
        <w:rPr>
          <w:rFonts w:hint="default" w:ascii="Times New Roman" w:hAnsi="Times New Roman" w:eastAsia="宋体" w:cs="Times New Roman"/>
          <w:color w:val="auto"/>
          <w:sz w:val="24"/>
          <w:szCs w:val="24"/>
        </w:rPr>
        <w:t>通则》（GB15630-95）</w:t>
      </w:r>
      <w:r>
        <w:rPr>
          <w:rFonts w:hint="default" w:ascii="Times New Roman" w:hAnsi="Times New Roman" w:eastAsia="宋体" w:cs="Times New Roman"/>
          <w:color w:val="auto"/>
          <w:sz w:val="24"/>
          <w:szCs w:val="24"/>
          <w:lang w:eastAsia="zh-CN"/>
        </w:rPr>
        <w:t>；</w:t>
      </w:r>
    </w:p>
    <w:p w14:paraId="4B096FB6">
      <w:pPr>
        <w:pStyle w:val="80"/>
        <w:keepNext w:val="0"/>
        <w:keepLines w:val="0"/>
        <w:pageBreakBefore w:val="0"/>
        <w:widowControl w:val="0"/>
        <w:numPr>
          <w:ilvl w:val="0"/>
          <w:numId w:val="22"/>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lang w:eastAsia="zh-CN"/>
        </w:rPr>
        <w:t>《国家危险废物名录》（202</w:t>
      </w:r>
      <w:r>
        <w:rPr>
          <w:rFonts w:hint="eastAsia" w:cs="Times New Roman"/>
          <w:color w:val="auto"/>
          <w:sz w:val="24"/>
          <w:lang w:val="en-US" w:eastAsia="zh-CN"/>
        </w:rPr>
        <w:t>5</w:t>
      </w:r>
      <w:r>
        <w:rPr>
          <w:rFonts w:hint="default" w:ascii="Times New Roman" w:hAnsi="Times New Roman" w:eastAsia="宋体" w:cs="Times New Roman"/>
          <w:color w:val="auto"/>
          <w:sz w:val="24"/>
          <w:lang w:eastAsia="zh-CN"/>
        </w:rPr>
        <w:t>年版）（202</w:t>
      </w:r>
      <w:r>
        <w:rPr>
          <w:rFonts w:hint="eastAsia" w:cs="Times New Roman"/>
          <w:color w:val="auto"/>
          <w:sz w:val="24"/>
          <w:lang w:val="en-US" w:eastAsia="zh-CN"/>
        </w:rPr>
        <w:t>5</w:t>
      </w:r>
      <w:r>
        <w:rPr>
          <w:rFonts w:hint="default" w:ascii="Times New Roman" w:hAnsi="Times New Roman" w:eastAsia="宋体" w:cs="Times New Roman"/>
          <w:color w:val="auto"/>
          <w:sz w:val="24"/>
          <w:lang w:eastAsia="zh-CN"/>
        </w:rPr>
        <w:t>年1月1日实施</w:t>
      </w:r>
      <w:r>
        <w:rPr>
          <w:rFonts w:hint="default" w:ascii="Times New Roman" w:hAnsi="Times New Roman" w:cs="Times New Roman"/>
          <w:color w:val="auto"/>
          <w:sz w:val="24"/>
          <w:lang w:eastAsia="zh-CN"/>
        </w:rPr>
        <w:t>）</w:t>
      </w:r>
      <w:r>
        <w:rPr>
          <w:rFonts w:hint="default" w:ascii="Times New Roman" w:hAnsi="Times New Roman" w:eastAsia="宋体" w:cs="Times New Roman"/>
          <w:color w:val="auto"/>
          <w:sz w:val="24"/>
          <w:lang w:eastAsia="zh-CN"/>
        </w:rPr>
        <w:t>；</w:t>
      </w:r>
    </w:p>
    <w:p w14:paraId="240561C1">
      <w:pPr>
        <w:pStyle w:val="80"/>
        <w:keepNext w:val="0"/>
        <w:keepLines w:val="0"/>
        <w:pageBreakBefore w:val="0"/>
        <w:widowControl w:val="0"/>
        <w:numPr>
          <w:ilvl w:val="0"/>
          <w:numId w:val="22"/>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《突发环境事件应急监测技术规范》（HJ589-2021，2022年3月1日实施）；</w:t>
      </w:r>
    </w:p>
    <w:p w14:paraId="14CCAF95">
      <w:pPr>
        <w:pStyle w:val="80"/>
        <w:keepNext w:val="0"/>
        <w:keepLines w:val="0"/>
        <w:pageBreakBefore w:val="0"/>
        <w:widowControl w:val="0"/>
        <w:numPr>
          <w:ilvl w:val="0"/>
          <w:numId w:val="22"/>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lang w:eastAsia="zh-CN"/>
        </w:rPr>
        <w:t>安委办明电〔2022〕17号《关于进一步加强环保设备设施安全生产工作的通知》（2022年12月23日）；</w:t>
      </w:r>
    </w:p>
    <w:p w14:paraId="3CB0F1FA">
      <w:pPr>
        <w:pStyle w:val="80"/>
        <w:keepNext w:val="0"/>
        <w:keepLines w:val="0"/>
        <w:pageBreakBefore w:val="0"/>
        <w:widowControl w:val="0"/>
        <w:numPr>
          <w:ilvl w:val="0"/>
          <w:numId w:val="22"/>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lang w:eastAsia="zh-CN"/>
        </w:rPr>
        <w:t>《山东省安全生产行政责任制规定》（省政府令第346号）</w:t>
      </w:r>
      <w:r>
        <w:rPr>
          <w:rFonts w:hint="default" w:ascii="Times New Roman" w:hAnsi="Times New Roman" w:eastAsia="宋体" w:cs="Times New Roman"/>
          <w:color w:val="auto"/>
          <w:sz w:val="24"/>
          <w:szCs w:val="24"/>
        </w:rPr>
        <w:t>。</w:t>
      </w:r>
    </w:p>
    <w:p w14:paraId="7E589F13">
      <w:pPr>
        <w:pStyle w:val="80"/>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textAlignment w:val="auto"/>
        <w:outlineLvl w:val="1"/>
        <w:rPr>
          <w:rFonts w:hint="default" w:ascii="Times New Roman" w:hAnsi="Times New Roman" w:eastAsia="宋体" w:cs="Times New Roman"/>
          <w:b/>
          <w:color w:val="auto"/>
          <w:sz w:val="30"/>
          <w:szCs w:val="30"/>
        </w:rPr>
      </w:pPr>
      <w:bookmarkStart w:id="34" w:name="_Toc19122"/>
      <w:bookmarkStart w:id="35" w:name="_Toc69993070"/>
      <w:bookmarkStart w:id="36" w:name="_Toc68104466"/>
      <w:r>
        <w:rPr>
          <w:rFonts w:hint="default" w:ascii="Times New Roman" w:hAnsi="Times New Roman" w:eastAsia="宋体" w:cs="Times New Roman"/>
          <w:b/>
          <w:color w:val="auto"/>
          <w:sz w:val="30"/>
          <w:szCs w:val="30"/>
          <w:lang w:val="en-US" w:eastAsia="zh-CN"/>
        </w:rPr>
        <w:t xml:space="preserve">1.2 </w:t>
      </w:r>
      <w:r>
        <w:rPr>
          <w:rFonts w:hint="default" w:ascii="Times New Roman" w:hAnsi="Times New Roman" w:eastAsia="宋体" w:cs="Times New Roman"/>
          <w:b/>
          <w:color w:val="auto"/>
          <w:sz w:val="30"/>
          <w:szCs w:val="30"/>
        </w:rPr>
        <w:t>环境风险评价目的</w:t>
      </w:r>
      <w:bookmarkEnd w:id="34"/>
      <w:bookmarkEnd w:id="35"/>
      <w:bookmarkEnd w:id="36"/>
    </w:p>
    <w:p w14:paraId="34E0558D">
      <w:pPr>
        <w:pStyle w:val="80"/>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境风险评价是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14:paraId="7721414D">
      <w:pPr>
        <w:keepNext w:val="0"/>
        <w:keepLines w:val="0"/>
        <w:pageBreakBefore w:val="0"/>
        <w:widowControl w:val="0"/>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宋体" w:cs="Times New Roman"/>
          <w:color w:val="auto"/>
          <w:sz w:val="30"/>
          <w:szCs w:val="30"/>
        </w:rPr>
      </w:pPr>
    </w:p>
    <w:p w14:paraId="2536E6A5">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eastAsia="宋体" w:cs="Times New Roman"/>
          <w:color w:val="auto"/>
          <w:sz w:val="30"/>
          <w:szCs w:val="30"/>
        </w:rPr>
      </w:pPr>
    </w:p>
    <w:p w14:paraId="15ADC92B">
      <w:pPr>
        <w:rPr>
          <w:rFonts w:hint="default"/>
        </w:rPr>
      </w:pPr>
    </w:p>
    <w:p w14:paraId="4444466C">
      <w:pPr>
        <w:keepNext w:val="0"/>
        <w:keepLines w:val="0"/>
        <w:pageBreakBefore w:val="0"/>
        <w:widowControl w:val="0"/>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宋体" w:cs="Times New Roman"/>
          <w:color w:val="auto"/>
          <w:sz w:val="30"/>
          <w:szCs w:val="30"/>
        </w:rPr>
      </w:pPr>
    </w:p>
    <w:p w14:paraId="73D60DED">
      <w:pPr>
        <w:pStyle w:val="80"/>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eastAsia="宋体" w:cs="Times New Roman"/>
          <w:color w:val="auto"/>
          <w:sz w:val="30"/>
          <w:szCs w:val="30"/>
        </w:rPr>
      </w:pPr>
    </w:p>
    <w:p w14:paraId="135638D9">
      <w:pPr>
        <w:keepNext w:val="0"/>
        <w:keepLines w:val="0"/>
        <w:pageBreakBefore w:val="0"/>
        <w:widowControl w:val="0"/>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宋体" w:cs="Times New Roman"/>
          <w:color w:val="auto"/>
          <w:sz w:val="30"/>
          <w:szCs w:val="30"/>
        </w:rPr>
      </w:pPr>
    </w:p>
    <w:p w14:paraId="702E8745">
      <w:pPr>
        <w:pStyle w:val="80"/>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textAlignment w:val="auto"/>
        <w:outlineLvl w:val="1"/>
        <w:rPr>
          <w:rFonts w:hint="default" w:ascii="Times New Roman" w:hAnsi="Times New Roman" w:eastAsia="宋体" w:cs="Times New Roman"/>
          <w:b/>
          <w:color w:val="auto"/>
          <w:sz w:val="30"/>
          <w:szCs w:val="30"/>
          <w:lang w:val="en-US" w:eastAsia="zh-CN"/>
        </w:rPr>
      </w:pPr>
      <w:bookmarkStart w:id="37" w:name="_Toc7683"/>
      <w:r>
        <w:rPr>
          <w:rFonts w:hint="default" w:ascii="Times New Roman" w:hAnsi="Times New Roman" w:eastAsia="宋体" w:cs="Times New Roman"/>
          <w:b/>
          <w:color w:val="auto"/>
          <w:sz w:val="30"/>
          <w:szCs w:val="30"/>
          <w:lang w:val="en-US" w:eastAsia="zh-CN"/>
        </w:rPr>
        <w:t>1.3环境风险评价原则及评价程序</w:t>
      </w:r>
      <w:bookmarkEnd w:id="21"/>
      <w:bookmarkEnd w:id="37"/>
    </w:p>
    <w:p w14:paraId="6D379F31">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建设项目环境风险评价技术导则》（HJ169-2018）和国家环境保护总局《关于防范环境风险加强环境影响评价管理的通知》，项目实施后环境风险评价的基本内容包括风险调查、环境风险潜势初判、风险识别、风险事故情形分析、风险预测与评价、环境风险管理等，其具体如下：</w:t>
      </w:r>
    </w:p>
    <w:p w14:paraId="17567E2C">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⑴项目风险调查。在分析建设项目物质及工艺系统危险性和环境敏感性的基础下，进行风险潜势的判断，确定风险评价等级。</w:t>
      </w:r>
    </w:p>
    <w:p w14:paraId="512E058E">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⑵项目风险识别及风险事故情形分析。明确危险物质在生产系统中的主要分布，筛选具有代表性的风险事故情形，合理设定事故源项。</w:t>
      </w:r>
    </w:p>
    <w:p w14:paraId="4A3DCDE5">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⑶开展预测评价。各环境要素按确定的评价工作等级分别预测评价，并分析说明环境风险危害范围与程度，提出环境风险防范的基本要求。</w:t>
      </w:r>
    </w:p>
    <w:p w14:paraId="77AF2F85">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⑷提出环境风险管理对策，明确环境风险防范措施及突发环境事件应急预案编制要求。</w:t>
      </w:r>
    </w:p>
    <w:p w14:paraId="31638104">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⑸ 综合环境风险评价过程，给出评价结论与建议。</w:t>
      </w:r>
    </w:p>
    <w:p w14:paraId="4B72D80E">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14:paraId="35651943">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环境风险评价工作程序见图</w:t>
      </w:r>
      <w:r>
        <w:rPr>
          <w:rFonts w:hint="default" w:ascii="Times New Roman" w:hAnsi="Times New Roman" w:eastAsia="宋体" w:cs="Times New Roman"/>
          <w:color w:val="auto"/>
          <w:kern w:val="0"/>
          <w:sz w:val="24"/>
          <w:lang w:val="en-US" w:eastAsia="zh-CN"/>
        </w:rPr>
        <w:t>1.3</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1。</w:t>
      </w:r>
    </w:p>
    <w:p w14:paraId="6101D8C2">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5271135" cy="5405755"/>
            <wp:effectExtent l="0" t="0" r="5715" b="4445"/>
            <wp:docPr id="137"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54"/>
                    <pic:cNvPicPr>
                      <a:picLocks noChangeAspect="1"/>
                    </pic:cNvPicPr>
                  </pic:nvPicPr>
                  <pic:blipFill>
                    <a:blip r:embed="rId22"/>
                    <a:stretch>
                      <a:fillRect/>
                    </a:stretch>
                  </pic:blipFill>
                  <pic:spPr>
                    <a:xfrm>
                      <a:off x="0" y="0"/>
                      <a:ext cx="5271135" cy="5405755"/>
                    </a:xfrm>
                    <a:prstGeom prst="rect">
                      <a:avLst/>
                    </a:prstGeom>
                    <a:noFill/>
                    <a:ln w="9525">
                      <a:noFill/>
                    </a:ln>
                  </pic:spPr>
                </pic:pic>
              </a:graphicData>
            </a:graphic>
          </wp:inline>
        </w:drawing>
      </w:r>
    </w:p>
    <w:p w14:paraId="1836126D">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图</w:t>
      </w:r>
      <w:r>
        <w:rPr>
          <w:rFonts w:hint="default" w:ascii="Times New Roman" w:hAnsi="Times New Roman" w:cs="Times New Roman"/>
          <w:b/>
          <w:bCs/>
          <w:color w:val="auto"/>
          <w:sz w:val="24"/>
          <w:lang w:val="en-US" w:eastAsia="zh-CN"/>
        </w:rPr>
        <w:t>1.3</w:t>
      </w:r>
      <w:r>
        <w:rPr>
          <w:rFonts w:hint="default" w:ascii="Times New Roman" w:hAnsi="Times New Roman" w:eastAsia="宋体" w:cs="Times New Roman"/>
          <w:b/>
          <w:bCs/>
          <w:color w:val="auto"/>
          <w:sz w:val="24"/>
          <w:lang w:eastAsia="zh-CN"/>
        </w:rPr>
        <w:t>-</w:t>
      </w:r>
      <w:r>
        <w:rPr>
          <w:rFonts w:hint="default" w:ascii="Times New Roman" w:hAnsi="Times New Roman" w:eastAsia="宋体" w:cs="Times New Roman"/>
          <w:b/>
          <w:bCs/>
          <w:color w:val="auto"/>
          <w:sz w:val="24"/>
        </w:rPr>
        <w:t>1  环境风险评价工作程序</w:t>
      </w:r>
    </w:p>
    <w:p w14:paraId="7D6600E0">
      <w:pPr>
        <w:keepNext w:val="0"/>
        <w:keepLines w:val="0"/>
        <w:pageBreakBefore w:val="0"/>
        <w:widowControl/>
        <w:suppressLineNumbers w:val="0"/>
        <w:kinsoku/>
        <w:wordWrap/>
        <w:overflowPunct/>
        <w:topLinePunct w:val="0"/>
        <w:autoSpaceDE/>
        <w:autoSpaceDN/>
        <w:bidi w:val="0"/>
        <w:adjustRightInd w:val="0"/>
        <w:snapToGrid w:val="0"/>
        <w:spacing w:line="360" w:lineRule="auto"/>
        <w:jc w:val="both"/>
        <w:textAlignment w:val="auto"/>
        <w:outlineLvl w:val="1"/>
        <w:rPr>
          <w:rFonts w:hint="default" w:ascii="Times New Roman" w:hAnsi="Times New Roman" w:eastAsia="宋体" w:cs="Times New Roman"/>
          <w:b/>
          <w:bCs w:val="0"/>
          <w:color w:val="auto"/>
          <w:kern w:val="2"/>
          <w:sz w:val="30"/>
          <w:szCs w:val="30"/>
          <w:lang w:val="en-US" w:eastAsia="zh-CN"/>
        </w:rPr>
      </w:pPr>
      <w:bookmarkStart w:id="38" w:name="_Toc33691321"/>
    </w:p>
    <w:p w14:paraId="62CB6D33">
      <w:pPr>
        <w:keepNext w:val="0"/>
        <w:keepLines w:val="0"/>
        <w:pageBreakBefore w:val="0"/>
        <w:widowControl/>
        <w:suppressLineNumbers w:val="0"/>
        <w:kinsoku/>
        <w:wordWrap/>
        <w:overflowPunct/>
        <w:topLinePunct w:val="0"/>
        <w:autoSpaceDE/>
        <w:autoSpaceDN/>
        <w:bidi w:val="0"/>
        <w:adjustRightInd w:val="0"/>
        <w:snapToGrid w:val="0"/>
        <w:spacing w:line="360" w:lineRule="auto"/>
        <w:jc w:val="both"/>
        <w:textAlignment w:val="auto"/>
        <w:outlineLvl w:val="1"/>
        <w:rPr>
          <w:rFonts w:hint="default" w:ascii="Times New Roman" w:hAnsi="Times New Roman" w:eastAsia="宋体" w:cs="Times New Roman"/>
          <w:b/>
          <w:bCs w:val="0"/>
          <w:color w:val="auto"/>
          <w:kern w:val="2"/>
          <w:sz w:val="30"/>
          <w:szCs w:val="30"/>
          <w:lang w:val="en-US" w:eastAsia="zh-CN"/>
        </w:rPr>
      </w:pPr>
    </w:p>
    <w:p w14:paraId="24983390">
      <w:pPr>
        <w:keepNext w:val="0"/>
        <w:keepLines w:val="0"/>
        <w:pageBreakBefore w:val="0"/>
        <w:widowControl/>
        <w:suppressLineNumbers w:val="0"/>
        <w:kinsoku/>
        <w:wordWrap/>
        <w:overflowPunct/>
        <w:topLinePunct w:val="0"/>
        <w:autoSpaceDE/>
        <w:autoSpaceDN/>
        <w:bidi w:val="0"/>
        <w:adjustRightInd w:val="0"/>
        <w:snapToGrid w:val="0"/>
        <w:spacing w:line="360" w:lineRule="auto"/>
        <w:jc w:val="both"/>
        <w:textAlignment w:val="auto"/>
        <w:outlineLvl w:val="1"/>
        <w:rPr>
          <w:rFonts w:hint="default" w:ascii="Times New Roman" w:hAnsi="Times New Roman" w:eastAsia="宋体" w:cs="Times New Roman"/>
          <w:b/>
          <w:bCs w:val="0"/>
          <w:color w:val="auto"/>
          <w:kern w:val="2"/>
          <w:sz w:val="30"/>
          <w:szCs w:val="30"/>
          <w:lang w:val="en-US" w:eastAsia="zh-CN"/>
        </w:rPr>
      </w:pPr>
    </w:p>
    <w:p w14:paraId="253DB720">
      <w:pPr>
        <w:keepNext w:val="0"/>
        <w:keepLines w:val="0"/>
        <w:pageBreakBefore w:val="0"/>
        <w:widowControl/>
        <w:suppressLineNumbers w:val="0"/>
        <w:kinsoku/>
        <w:wordWrap/>
        <w:overflowPunct/>
        <w:topLinePunct w:val="0"/>
        <w:autoSpaceDE/>
        <w:autoSpaceDN/>
        <w:bidi w:val="0"/>
        <w:adjustRightInd w:val="0"/>
        <w:snapToGrid w:val="0"/>
        <w:spacing w:line="360" w:lineRule="auto"/>
        <w:jc w:val="both"/>
        <w:textAlignment w:val="auto"/>
        <w:outlineLvl w:val="1"/>
        <w:rPr>
          <w:rFonts w:hint="default" w:ascii="Times New Roman" w:hAnsi="Times New Roman" w:eastAsia="宋体" w:cs="Times New Roman"/>
          <w:b/>
          <w:bCs w:val="0"/>
          <w:color w:val="auto"/>
          <w:kern w:val="2"/>
          <w:sz w:val="30"/>
          <w:szCs w:val="30"/>
          <w:lang w:val="en-US" w:eastAsia="zh-CN"/>
        </w:rPr>
      </w:pPr>
    </w:p>
    <w:p w14:paraId="6C2C9BF1">
      <w:pPr>
        <w:keepNext w:val="0"/>
        <w:keepLines w:val="0"/>
        <w:pageBreakBefore w:val="0"/>
        <w:widowControl/>
        <w:suppressLineNumbers w:val="0"/>
        <w:kinsoku/>
        <w:wordWrap/>
        <w:overflowPunct/>
        <w:topLinePunct w:val="0"/>
        <w:autoSpaceDE/>
        <w:autoSpaceDN/>
        <w:bidi w:val="0"/>
        <w:adjustRightInd w:val="0"/>
        <w:snapToGrid w:val="0"/>
        <w:spacing w:line="360" w:lineRule="auto"/>
        <w:jc w:val="both"/>
        <w:textAlignment w:val="auto"/>
        <w:outlineLvl w:val="1"/>
        <w:rPr>
          <w:rFonts w:hint="default" w:ascii="Times New Roman" w:hAnsi="Times New Roman" w:eastAsia="宋体" w:cs="Times New Roman"/>
          <w:b/>
          <w:bCs w:val="0"/>
          <w:color w:val="auto"/>
          <w:kern w:val="2"/>
          <w:sz w:val="30"/>
          <w:szCs w:val="30"/>
          <w:lang w:val="en-US" w:eastAsia="zh-CN"/>
        </w:rPr>
      </w:pPr>
    </w:p>
    <w:p w14:paraId="421529C9">
      <w:pPr>
        <w:keepNext w:val="0"/>
        <w:keepLines w:val="0"/>
        <w:pageBreakBefore w:val="0"/>
        <w:widowControl/>
        <w:suppressLineNumbers w:val="0"/>
        <w:kinsoku/>
        <w:wordWrap/>
        <w:overflowPunct/>
        <w:topLinePunct w:val="0"/>
        <w:autoSpaceDE/>
        <w:autoSpaceDN/>
        <w:bidi w:val="0"/>
        <w:adjustRightInd w:val="0"/>
        <w:snapToGrid w:val="0"/>
        <w:spacing w:line="360" w:lineRule="auto"/>
        <w:jc w:val="both"/>
        <w:textAlignment w:val="auto"/>
        <w:outlineLvl w:val="1"/>
        <w:rPr>
          <w:rFonts w:hint="default" w:ascii="Times New Roman" w:hAnsi="Times New Roman" w:eastAsia="宋体" w:cs="Times New Roman"/>
          <w:b/>
          <w:bCs w:val="0"/>
          <w:color w:val="auto"/>
          <w:kern w:val="2"/>
          <w:sz w:val="30"/>
          <w:szCs w:val="30"/>
          <w:lang w:val="en-US" w:eastAsia="zh-CN"/>
        </w:rPr>
      </w:pPr>
    </w:p>
    <w:p w14:paraId="6C896233">
      <w:pPr>
        <w:keepNext w:val="0"/>
        <w:keepLines w:val="0"/>
        <w:pageBreakBefore w:val="0"/>
        <w:widowControl/>
        <w:suppressLineNumbers w:val="0"/>
        <w:kinsoku/>
        <w:wordWrap/>
        <w:overflowPunct/>
        <w:topLinePunct w:val="0"/>
        <w:autoSpaceDE/>
        <w:autoSpaceDN/>
        <w:bidi w:val="0"/>
        <w:adjustRightInd w:val="0"/>
        <w:snapToGrid w:val="0"/>
        <w:spacing w:line="360" w:lineRule="auto"/>
        <w:jc w:val="both"/>
        <w:textAlignment w:val="auto"/>
        <w:outlineLvl w:val="1"/>
        <w:rPr>
          <w:rFonts w:hint="default" w:ascii="Times New Roman" w:hAnsi="Times New Roman" w:eastAsia="宋体" w:cs="Times New Roman"/>
          <w:b/>
          <w:bCs w:val="0"/>
          <w:color w:val="auto"/>
          <w:kern w:val="2"/>
          <w:sz w:val="30"/>
          <w:szCs w:val="30"/>
          <w:lang w:val="en-US" w:eastAsia="zh-CN"/>
        </w:rPr>
      </w:pPr>
    </w:p>
    <w:p w14:paraId="0C4BE9D6">
      <w:pPr>
        <w:keepNext w:val="0"/>
        <w:keepLines w:val="0"/>
        <w:pageBreakBefore w:val="0"/>
        <w:widowControl/>
        <w:suppressLineNumbers w:val="0"/>
        <w:kinsoku/>
        <w:wordWrap/>
        <w:overflowPunct/>
        <w:topLinePunct w:val="0"/>
        <w:autoSpaceDE/>
        <w:autoSpaceDN/>
        <w:bidi w:val="0"/>
        <w:adjustRightInd w:val="0"/>
        <w:snapToGrid w:val="0"/>
        <w:spacing w:line="360" w:lineRule="auto"/>
        <w:jc w:val="both"/>
        <w:textAlignment w:val="auto"/>
        <w:outlineLvl w:val="1"/>
        <w:rPr>
          <w:rFonts w:hint="default" w:ascii="Times New Roman" w:hAnsi="Times New Roman" w:eastAsia="宋体" w:cs="Times New Roman"/>
          <w:b/>
          <w:bCs w:val="0"/>
          <w:color w:val="auto"/>
          <w:kern w:val="2"/>
          <w:sz w:val="30"/>
          <w:szCs w:val="30"/>
          <w:lang w:val="en-US" w:eastAsia="zh-CN"/>
        </w:rPr>
      </w:pPr>
    </w:p>
    <w:p w14:paraId="0E9DDC0A">
      <w:pPr>
        <w:keepNext w:val="0"/>
        <w:keepLines w:val="0"/>
        <w:pageBreakBefore w:val="0"/>
        <w:widowControl/>
        <w:suppressLineNumbers w:val="0"/>
        <w:kinsoku/>
        <w:wordWrap/>
        <w:overflowPunct/>
        <w:topLinePunct w:val="0"/>
        <w:autoSpaceDE/>
        <w:autoSpaceDN/>
        <w:bidi w:val="0"/>
        <w:adjustRightInd w:val="0"/>
        <w:snapToGrid w:val="0"/>
        <w:spacing w:line="360" w:lineRule="auto"/>
        <w:jc w:val="both"/>
        <w:textAlignment w:val="auto"/>
        <w:outlineLvl w:val="1"/>
        <w:rPr>
          <w:rFonts w:hint="default" w:ascii="Times New Roman" w:hAnsi="Times New Roman" w:eastAsia="宋体" w:cs="Times New Roman"/>
          <w:b/>
          <w:bCs w:val="0"/>
          <w:color w:val="auto"/>
          <w:kern w:val="2"/>
          <w:sz w:val="30"/>
          <w:szCs w:val="30"/>
          <w:lang w:val="en-US" w:eastAsia="zh-CN"/>
        </w:rPr>
      </w:pPr>
    </w:p>
    <w:p w14:paraId="28537CE5">
      <w:pPr>
        <w:pStyle w:val="104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jc w:val="both"/>
        <w:textAlignment w:val="auto"/>
        <w:outlineLvl w:val="0"/>
        <w:rPr>
          <w:rFonts w:hint="default" w:ascii="Times New Roman" w:hAnsi="Times New Roman" w:eastAsia="宋体" w:cs="Times New Roman"/>
          <w:b/>
          <w:color w:val="auto"/>
          <w:sz w:val="32"/>
          <w:szCs w:val="32"/>
          <w:lang w:val="en-US" w:eastAsia="zh-CN"/>
        </w:rPr>
      </w:pPr>
      <w:bookmarkStart w:id="39" w:name="_Toc15553"/>
      <w:r>
        <w:rPr>
          <w:rFonts w:hint="default" w:ascii="Times New Roman" w:hAnsi="Times New Roman" w:eastAsia="宋体" w:cs="Times New Roman"/>
          <w:b/>
          <w:color w:val="auto"/>
          <w:sz w:val="32"/>
          <w:szCs w:val="32"/>
          <w:lang w:val="en-US" w:eastAsia="zh-CN"/>
        </w:rPr>
        <w:t>2 风险调查</w:t>
      </w:r>
      <w:bookmarkEnd w:id="39"/>
    </w:p>
    <w:bookmarkEnd w:id="38"/>
    <w:p w14:paraId="4C5484E3">
      <w:pPr>
        <w:keepNext/>
        <w:keepLines/>
        <w:pageBreakBefore w:val="0"/>
        <w:widowControl/>
        <w:kinsoku/>
        <w:wordWrap/>
        <w:overflowPunct/>
        <w:topLinePunct w:val="0"/>
        <w:autoSpaceDE/>
        <w:autoSpaceDN/>
        <w:bidi w:val="0"/>
        <w:adjustRightInd w:val="0"/>
        <w:snapToGrid w:val="0"/>
        <w:spacing w:line="360" w:lineRule="auto"/>
        <w:jc w:val="left"/>
        <w:textAlignment w:val="auto"/>
        <w:outlineLvl w:val="1"/>
        <w:rPr>
          <w:rFonts w:hint="default" w:ascii="Times New Roman" w:hAnsi="Times New Roman" w:eastAsia="宋体" w:cs="Times New Roman"/>
          <w:b/>
          <w:bCs/>
          <w:color w:val="auto"/>
          <w:kern w:val="0"/>
          <w:sz w:val="30"/>
          <w:szCs w:val="30"/>
        </w:rPr>
      </w:pPr>
      <w:bookmarkStart w:id="40" w:name="_Toc30824"/>
      <w:r>
        <w:rPr>
          <w:rFonts w:hint="default" w:ascii="Times New Roman" w:hAnsi="Times New Roman" w:eastAsia="宋体" w:cs="Times New Roman"/>
          <w:b/>
          <w:bCs/>
          <w:color w:val="auto"/>
          <w:kern w:val="0"/>
          <w:sz w:val="30"/>
          <w:szCs w:val="30"/>
          <w:lang w:eastAsia="zh-CN"/>
        </w:rPr>
        <w:t>2.1</w:t>
      </w:r>
      <w:r>
        <w:rPr>
          <w:rFonts w:hint="default" w:ascii="Times New Roman" w:hAnsi="Times New Roman" w:eastAsia="宋体" w:cs="Times New Roman"/>
          <w:b/>
          <w:bCs/>
          <w:color w:val="auto"/>
          <w:kern w:val="0"/>
          <w:sz w:val="30"/>
          <w:szCs w:val="30"/>
        </w:rPr>
        <w:t xml:space="preserve"> 环境风险源调查</w:t>
      </w:r>
      <w:bookmarkEnd w:id="40"/>
    </w:p>
    <w:p w14:paraId="4D091071">
      <w:pPr>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本项</w:t>
      </w:r>
      <w:r>
        <w:rPr>
          <w:rFonts w:hint="default" w:ascii="Times New Roman" w:hAnsi="Times New Roman" w:eastAsia="宋体" w:cs="Times New Roman"/>
          <w:color w:val="auto"/>
          <w:sz w:val="24"/>
          <w:szCs w:val="22"/>
          <w:highlight w:val="none"/>
        </w:rPr>
        <w:t>目使用的</w:t>
      </w:r>
      <w:r>
        <w:rPr>
          <w:rFonts w:hint="default" w:ascii="Times New Roman" w:hAnsi="Times New Roman" w:cs="Times New Roman"/>
          <w:color w:val="auto"/>
          <w:sz w:val="24"/>
          <w:szCs w:val="22"/>
          <w:highlight w:val="none"/>
          <w:lang w:eastAsia="zh-CN"/>
        </w:rPr>
        <w:t>天然气、硫酸铵、</w:t>
      </w:r>
      <w:r>
        <w:rPr>
          <w:rFonts w:hint="default" w:ascii="Times New Roman" w:hAnsi="Times New Roman" w:cs="Times New Roman"/>
          <w:color w:val="auto"/>
          <w:sz w:val="24"/>
          <w:szCs w:val="22"/>
          <w:highlight w:val="none"/>
          <w:lang w:val="en-US" w:eastAsia="zh-CN"/>
        </w:rPr>
        <w:t>液压油</w:t>
      </w:r>
      <w:r>
        <w:rPr>
          <w:rFonts w:hint="eastAsia" w:cs="Times New Roman"/>
          <w:color w:val="auto"/>
          <w:sz w:val="24"/>
          <w:szCs w:val="22"/>
          <w:highlight w:val="none"/>
          <w:lang w:val="en-US" w:eastAsia="zh-CN"/>
        </w:rPr>
        <w:t>、水喷淋废水</w:t>
      </w:r>
      <w:r>
        <w:rPr>
          <w:rFonts w:hint="default" w:ascii="Times New Roman" w:hAnsi="Times New Roman" w:eastAsia="宋体" w:cs="Times New Roman"/>
          <w:color w:val="auto"/>
          <w:sz w:val="24"/>
          <w:szCs w:val="22"/>
          <w:highlight w:val="none"/>
        </w:rPr>
        <w:t>属于风险物质。在使用、贮存、运输过程中一旦发生意外泄漏或事故</w:t>
      </w:r>
      <w:r>
        <w:rPr>
          <w:rFonts w:hint="default" w:ascii="Times New Roman" w:hAnsi="Times New Roman" w:eastAsia="宋体" w:cs="Times New Roman"/>
          <w:color w:val="auto"/>
          <w:sz w:val="24"/>
          <w:szCs w:val="22"/>
        </w:rPr>
        <w:t>性溢出，对外环境造成影响。</w:t>
      </w:r>
    </w:p>
    <w:p w14:paraId="5E431ACE">
      <w:pPr>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因此，本项目主要风险源为</w:t>
      </w:r>
      <w:r>
        <w:rPr>
          <w:rFonts w:hint="default" w:ascii="Times New Roman" w:hAnsi="Times New Roman" w:cs="Times New Roman"/>
          <w:color w:val="auto"/>
          <w:sz w:val="24"/>
          <w:szCs w:val="22"/>
          <w:lang w:val="en-US" w:eastAsia="zh-CN"/>
        </w:rPr>
        <w:t>原料仓库和生产车间</w:t>
      </w:r>
      <w:r>
        <w:rPr>
          <w:rFonts w:hint="default" w:ascii="Times New Roman" w:hAnsi="Times New Roman" w:eastAsia="宋体" w:cs="Times New Roman"/>
          <w:color w:val="auto"/>
          <w:sz w:val="24"/>
          <w:szCs w:val="22"/>
        </w:rPr>
        <w:t>。参考《建设项目环境风险评价技术导则》（HJ169-2018）附录B项目涉及到的主要物质风险识别及分布情况见表</w:t>
      </w:r>
      <w:r>
        <w:rPr>
          <w:rFonts w:hint="default" w:ascii="Times New Roman" w:hAnsi="Times New Roman" w:cs="Times New Roman"/>
          <w:color w:val="auto"/>
          <w:sz w:val="24"/>
          <w:szCs w:val="22"/>
          <w:lang w:eastAsia="zh-CN"/>
        </w:rPr>
        <w:t>2.1-</w:t>
      </w:r>
      <w:r>
        <w:rPr>
          <w:rFonts w:hint="default" w:ascii="Times New Roman" w:hAnsi="Times New Roman" w:eastAsia="宋体" w:cs="Times New Roman"/>
          <w:color w:val="auto"/>
          <w:sz w:val="24"/>
          <w:szCs w:val="22"/>
        </w:rPr>
        <w:t>1，主要风险物质理化性质详见表</w:t>
      </w:r>
      <w:r>
        <w:rPr>
          <w:rFonts w:hint="default" w:ascii="Times New Roman" w:hAnsi="Times New Roman" w:cs="Times New Roman"/>
          <w:color w:val="auto"/>
          <w:sz w:val="24"/>
          <w:szCs w:val="22"/>
          <w:lang w:eastAsia="zh-CN"/>
        </w:rPr>
        <w:t>2.1-</w:t>
      </w:r>
      <w:r>
        <w:rPr>
          <w:rFonts w:hint="default" w:ascii="Times New Roman" w:hAnsi="Times New Roman" w:eastAsia="宋体" w:cs="Times New Roman"/>
          <w:color w:val="auto"/>
          <w:sz w:val="24"/>
          <w:szCs w:val="22"/>
        </w:rPr>
        <w:t>2。</w:t>
      </w:r>
      <w:r>
        <w:rPr>
          <w:rFonts w:hint="default" w:ascii="Times New Roman" w:hAnsi="Times New Roman" w:eastAsia="宋体" w:cs="Times New Roman"/>
          <w:color w:val="auto"/>
          <w:sz w:val="24"/>
          <w:szCs w:val="22"/>
          <w:lang w:eastAsia="zh-CN"/>
        </w:rPr>
        <w:t>本项目</w:t>
      </w:r>
      <w:r>
        <w:rPr>
          <w:rFonts w:hint="default" w:ascii="Times New Roman" w:hAnsi="Times New Roman" w:eastAsia="宋体" w:cs="Times New Roman"/>
          <w:color w:val="auto"/>
          <w:sz w:val="24"/>
          <w:szCs w:val="22"/>
        </w:rPr>
        <w:t>危险单元分布示意图见图</w:t>
      </w:r>
      <w:r>
        <w:rPr>
          <w:rFonts w:hint="default" w:ascii="Times New Roman" w:hAnsi="Times New Roman" w:cs="Times New Roman"/>
          <w:color w:val="auto"/>
          <w:sz w:val="24"/>
          <w:szCs w:val="22"/>
          <w:lang w:eastAsia="zh-CN"/>
        </w:rPr>
        <w:t>2.1-</w:t>
      </w:r>
      <w:r>
        <w:rPr>
          <w:rFonts w:hint="default" w:ascii="Times New Roman" w:hAnsi="Times New Roman" w:eastAsia="宋体" w:cs="Times New Roman"/>
          <w:color w:val="auto"/>
          <w:sz w:val="24"/>
          <w:szCs w:val="22"/>
        </w:rPr>
        <w:t>1。</w:t>
      </w:r>
    </w:p>
    <w:p w14:paraId="32E61555">
      <w:pPr>
        <w:spacing w:line="360" w:lineRule="auto"/>
        <w:ind w:firstLine="482" w:firstLineChars="200"/>
        <w:jc w:val="center"/>
        <w:rPr>
          <w:rFonts w:hint="default" w:ascii="Times New Roman" w:hAnsi="Times New Roman" w:eastAsia="宋体" w:cs="Times New Roman"/>
          <w:b/>
          <w:bCs/>
          <w:color w:val="auto"/>
          <w:sz w:val="24"/>
          <w:szCs w:val="22"/>
        </w:rPr>
      </w:pPr>
      <w:r>
        <w:rPr>
          <w:rFonts w:hint="default" w:ascii="Times New Roman" w:hAnsi="Times New Roman" w:eastAsia="宋体" w:cs="Times New Roman"/>
          <w:b/>
          <w:bCs/>
          <w:color w:val="auto"/>
          <w:sz w:val="24"/>
          <w:szCs w:val="22"/>
        </w:rPr>
        <w:t xml:space="preserve">表 </w:t>
      </w:r>
      <w:r>
        <w:rPr>
          <w:rFonts w:hint="default" w:ascii="Times New Roman" w:hAnsi="Times New Roman" w:cs="Times New Roman"/>
          <w:b/>
          <w:bCs/>
          <w:color w:val="auto"/>
          <w:sz w:val="24"/>
          <w:szCs w:val="22"/>
          <w:lang w:eastAsia="zh-CN"/>
        </w:rPr>
        <w:t>2.1-</w:t>
      </w:r>
      <w:r>
        <w:rPr>
          <w:rFonts w:hint="default" w:ascii="Times New Roman" w:hAnsi="Times New Roman" w:eastAsia="宋体" w:cs="Times New Roman"/>
          <w:b/>
          <w:bCs/>
          <w:color w:val="auto"/>
          <w:sz w:val="24"/>
          <w:szCs w:val="22"/>
        </w:rPr>
        <w:t>1项目涉及主要危险物质存储量及分布情况表</w:t>
      </w:r>
    </w:p>
    <w:tbl>
      <w:tblPr>
        <w:tblStyle w:val="8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701"/>
        <w:gridCol w:w="1348"/>
        <w:gridCol w:w="3048"/>
        <w:gridCol w:w="1298"/>
        <w:gridCol w:w="1892"/>
      </w:tblGrid>
      <w:tr w14:paraId="59C1D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3" w:hRule="atLeast"/>
        </w:trPr>
        <w:tc>
          <w:tcPr>
            <w:tcW w:w="1701" w:type="dxa"/>
            <w:tcBorders>
              <w:bottom w:val="single" w:color="auto" w:sz="4" w:space="0"/>
            </w:tcBorders>
            <w:shd w:val="clear" w:color="auto" w:fill="auto"/>
            <w:vAlign w:val="center"/>
          </w:tcPr>
          <w:p w14:paraId="3F7CEAE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危险单元</w:t>
            </w:r>
          </w:p>
        </w:tc>
        <w:tc>
          <w:tcPr>
            <w:tcW w:w="1348" w:type="dxa"/>
            <w:tcBorders>
              <w:bottom w:val="single" w:color="auto" w:sz="4" w:space="0"/>
            </w:tcBorders>
            <w:shd w:val="clear" w:color="auto" w:fill="auto"/>
            <w:vAlign w:val="center"/>
          </w:tcPr>
          <w:p w14:paraId="5F25FF1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危险物质</w:t>
            </w:r>
          </w:p>
        </w:tc>
        <w:tc>
          <w:tcPr>
            <w:tcW w:w="3048" w:type="dxa"/>
            <w:tcBorders>
              <w:bottom w:val="single" w:color="auto" w:sz="4" w:space="0"/>
            </w:tcBorders>
            <w:shd w:val="clear" w:color="auto" w:fill="auto"/>
            <w:vAlign w:val="center"/>
          </w:tcPr>
          <w:p w14:paraId="3C53F6D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物料最大存储量/在线量（t）</w:t>
            </w:r>
          </w:p>
        </w:tc>
        <w:tc>
          <w:tcPr>
            <w:tcW w:w="1298" w:type="dxa"/>
            <w:tcBorders>
              <w:bottom w:val="single" w:color="auto" w:sz="4" w:space="0"/>
            </w:tcBorders>
            <w:shd w:val="clear" w:color="auto" w:fill="auto"/>
            <w:vAlign w:val="center"/>
          </w:tcPr>
          <w:p w14:paraId="0C424B4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物料状态</w:t>
            </w:r>
          </w:p>
        </w:tc>
        <w:tc>
          <w:tcPr>
            <w:tcW w:w="1892" w:type="dxa"/>
            <w:tcBorders>
              <w:bottom w:val="single" w:color="auto" w:sz="4" w:space="0"/>
            </w:tcBorders>
            <w:shd w:val="clear" w:color="auto" w:fill="auto"/>
            <w:vAlign w:val="center"/>
          </w:tcPr>
          <w:p w14:paraId="61269844">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存储方式</w:t>
            </w:r>
          </w:p>
        </w:tc>
      </w:tr>
      <w:tr w14:paraId="5975C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3" w:hRule="atLeast"/>
        </w:trPr>
        <w:tc>
          <w:tcPr>
            <w:tcW w:w="1701" w:type="dxa"/>
            <w:tcBorders>
              <w:top w:val="single" w:color="auto" w:sz="4" w:space="0"/>
            </w:tcBorders>
            <w:shd w:val="clear" w:color="auto" w:fill="auto"/>
            <w:vAlign w:val="center"/>
          </w:tcPr>
          <w:p w14:paraId="68F95CDC">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生产单元</w:t>
            </w:r>
          </w:p>
        </w:tc>
        <w:tc>
          <w:tcPr>
            <w:tcW w:w="1348" w:type="dxa"/>
            <w:tcBorders>
              <w:top w:val="single" w:color="auto" w:sz="4" w:space="0"/>
            </w:tcBorders>
            <w:shd w:val="clear" w:color="auto" w:fill="auto"/>
            <w:vAlign w:val="center"/>
          </w:tcPr>
          <w:p w14:paraId="4066ADE4">
            <w:pPr>
              <w:pStyle w:val="200"/>
              <w:spacing w:before="24" w:after="24"/>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天然气</w:t>
            </w:r>
          </w:p>
        </w:tc>
        <w:tc>
          <w:tcPr>
            <w:tcW w:w="3048" w:type="dxa"/>
            <w:tcBorders>
              <w:top w:val="single" w:color="auto" w:sz="4" w:space="0"/>
            </w:tcBorders>
            <w:shd w:val="clear" w:color="auto" w:fill="auto"/>
            <w:vAlign w:val="center"/>
          </w:tcPr>
          <w:p w14:paraId="602C628E">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w:t>
            </w:r>
          </w:p>
        </w:tc>
        <w:tc>
          <w:tcPr>
            <w:tcW w:w="1298" w:type="dxa"/>
            <w:tcBorders>
              <w:top w:val="single" w:color="auto" w:sz="4" w:space="0"/>
            </w:tcBorders>
            <w:shd w:val="clear" w:color="auto" w:fill="auto"/>
            <w:vAlign w:val="center"/>
          </w:tcPr>
          <w:p w14:paraId="41E347A3">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气体</w:t>
            </w:r>
          </w:p>
        </w:tc>
        <w:tc>
          <w:tcPr>
            <w:tcW w:w="1892" w:type="dxa"/>
            <w:tcBorders>
              <w:top w:val="single" w:color="auto" w:sz="4" w:space="0"/>
            </w:tcBorders>
            <w:shd w:val="clear" w:color="auto" w:fill="auto"/>
            <w:vAlign w:val="center"/>
          </w:tcPr>
          <w:p w14:paraId="3E956F0E">
            <w:pPr>
              <w:ind w:left="-99" w:leftChars="-47" w:right="-88" w:rightChars="-42"/>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管道</w:t>
            </w:r>
          </w:p>
        </w:tc>
      </w:tr>
      <w:tr w14:paraId="3B074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3" w:hRule="atLeast"/>
        </w:trPr>
        <w:tc>
          <w:tcPr>
            <w:tcW w:w="1701" w:type="dxa"/>
            <w:shd w:val="clear" w:color="auto" w:fill="auto"/>
            <w:vAlign w:val="center"/>
          </w:tcPr>
          <w:p w14:paraId="7A873A74">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储存单元、生产单元</w:t>
            </w:r>
          </w:p>
        </w:tc>
        <w:tc>
          <w:tcPr>
            <w:tcW w:w="1348" w:type="dxa"/>
            <w:shd w:val="clear" w:color="auto" w:fill="auto"/>
            <w:vAlign w:val="center"/>
          </w:tcPr>
          <w:p w14:paraId="483575C6">
            <w:pPr>
              <w:pStyle w:val="200"/>
              <w:spacing w:before="24" w:after="24"/>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硫酸铵</w:t>
            </w:r>
          </w:p>
        </w:tc>
        <w:tc>
          <w:tcPr>
            <w:tcW w:w="3048" w:type="dxa"/>
            <w:shd w:val="clear" w:color="auto" w:fill="auto"/>
            <w:vAlign w:val="center"/>
          </w:tcPr>
          <w:p w14:paraId="4C95D53D">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5000</w:t>
            </w:r>
          </w:p>
        </w:tc>
        <w:tc>
          <w:tcPr>
            <w:tcW w:w="1298" w:type="dxa"/>
            <w:shd w:val="clear" w:color="auto" w:fill="auto"/>
            <w:vAlign w:val="center"/>
          </w:tcPr>
          <w:p w14:paraId="5FC798D1">
            <w:pPr>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固体</w:t>
            </w:r>
          </w:p>
        </w:tc>
        <w:tc>
          <w:tcPr>
            <w:tcW w:w="1892" w:type="dxa"/>
            <w:shd w:val="clear" w:color="auto" w:fill="auto"/>
            <w:vAlign w:val="center"/>
          </w:tcPr>
          <w:p w14:paraId="03A93A80">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原料仓库</w:t>
            </w:r>
          </w:p>
        </w:tc>
      </w:tr>
      <w:tr w14:paraId="79BEB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701" w:type="dxa"/>
            <w:shd w:val="clear" w:color="auto" w:fill="auto"/>
            <w:vAlign w:val="center"/>
          </w:tcPr>
          <w:p w14:paraId="40A25CDB">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储存单元、生产单元</w:t>
            </w:r>
          </w:p>
        </w:tc>
        <w:tc>
          <w:tcPr>
            <w:tcW w:w="1348" w:type="dxa"/>
            <w:shd w:val="clear" w:color="auto" w:fill="auto"/>
            <w:vAlign w:val="center"/>
          </w:tcPr>
          <w:p w14:paraId="3965DCD0">
            <w:pPr>
              <w:pStyle w:val="200"/>
              <w:spacing w:before="24" w:after="24"/>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液压油</w:t>
            </w:r>
          </w:p>
        </w:tc>
        <w:tc>
          <w:tcPr>
            <w:tcW w:w="3048" w:type="dxa"/>
            <w:shd w:val="clear" w:color="auto" w:fill="auto"/>
            <w:vAlign w:val="center"/>
          </w:tcPr>
          <w:p w14:paraId="2EC7D83B">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1298" w:type="dxa"/>
            <w:shd w:val="clear" w:color="auto" w:fill="auto"/>
            <w:vAlign w:val="center"/>
          </w:tcPr>
          <w:p w14:paraId="56AACDD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液体</w:t>
            </w:r>
          </w:p>
        </w:tc>
        <w:tc>
          <w:tcPr>
            <w:tcW w:w="1892" w:type="dxa"/>
            <w:shd w:val="clear" w:color="auto" w:fill="auto"/>
            <w:vAlign w:val="center"/>
          </w:tcPr>
          <w:p w14:paraId="795B8DE9">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不暂存，主要在生产设备中</w:t>
            </w:r>
          </w:p>
        </w:tc>
      </w:tr>
      <w:tr w14:paraId="66D7F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701" w:type="dxa"/>
            <w:shd w:val="clear" w:color="auto" w:fill="auto"/>
            <w:vAlign w:val="center"/>
          </w:tcPr>
          <w:p w14:paraId="64DBBD58">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水喷淋设施</w:t>
            </w:r>
          </w:p>
        </w:tc>
        <w:tc>
          <w:tcPr>
            <w:tcW w:w="1348" w:type="dxa"/>
            <w:shd w:val="clear" w:color="auto" w:fill="auto"/>
            <w:vAlign w:val="center"/>
          </w:tcPr>
          <w:p w14:paraId="0C994C0B">
            <w:pPr>
              <w:pStyle w:val="200"/>
              <w:spacing w:before="24" w:after="24"/>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水喷淋废水</w:t>
            </w:r>
          </w:p>
        </w:tc>
        <w:tc>
          <w:tcPr>
            <w:tcW w:w="3048" w:type="dxa"/>
            <w:shd w:val="clear" w:color="auto" w:fill="auto"/>
            <w:vAlign w:val="center"/>
          </w:tcPr>
          <w:p w14:paraId="3E12C815">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13.835</w:t>
            </w:r>
          </w:p>
        </w:tc>
        <w:tc>
          <w:tcPr>
            <w:tcW w:w="1298" w:type="dxa"/>
            <w:shd w:val="clear" w:color="auto" w:fill="auto"/>
            <w:vAlign w:val="center"/>
          </w:tcPr>
          <w:p w14:paraId="3D1E373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液体</w:t>
            </w:r>
          </w:p>
        </w:tc>
        <w:tc>
          <w:tcPr>
            <w:tcW w:w="1892" w:type="dxa"/>
            <w:shd w:val="clear" w:color="auto" w:fill="auto"/>
            <w:vAlign w:val="center"/>
          </w:tcPr>
          <w:p w14:paraId="2179EEF1">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储存在水喷淋设施</w:t>
            </w:r>
          </w:p>
        </w:tc>
      </w:tr>
    </w:tbl>
    <w:p w14:paraId="362945ED">
      <w:pPr>
        <w:spacing w:line="360" w:lineRule="auto"/>
        <w:jc w:val="center"/>
        <w:rPr>
          <w:rFonts w:hint="default" w:ascii="Times New Roman" w:hAnsi="Times New Roman" w:eastAsia="宋体" w:cs="Times New Roman"/>
          <w:b/>
          <w:bCs/>
          <w:color w:val="auto"/>
          <w:sz w:val="24"/>
          <w:szCs w:val="22"/>
          <w:highlight w:val="none"/>
        </w:rPr>
      </w:pPr>
      <w:r>
        <w:rPr>
          <w:rFonts w:hint="default" w:ascii="Times New Roman" w:hAnsi="Times New Roman" w:eastAsia="宋体" w:cs="Times New Roman"/>
          <w:b/>
          <w:bCs/>
          <w:color w:val="auto"/>
          <w:sz w:val="24"/>
          <w:szCs w:val="22"/>
          <w:highlight w:val="none"/>
        </w:rPr>
        <w:t xml:space="preserve">表 </w:t>
      </w:r>
      <w:r>
        <w:rPr>
          <w:rFonts w:hint="default" w:ascii="Times New Roman" w:hAnsi="Times New Roman" w:cs="Times New Roman"/>
          <w:b/>
          <w:bCs/>
          <w:color w:val="auto"/>
          <w:sz w:val="24"/>
          <w:szCs w:val="22"/>
          <w:highlight w:val="none"/>
          <w:lang w:eastAsia="zh-CN"/>
        </w:rPr>
        <w:t>2.1-</w:t>
      </w:r>
      <w:r>
        <w:rPr>
          <w:rFonts w:hint="default" w:ascii="Times New Roman" w:hAnsi="Times New Roman" w:eastAsia="宋体" w:cs="Times New Roman"/>
          <w:b/>
          <w:bCs/>
          <w:color w:val="auto"/>
          <w:sz w:val="24"/>
          <w:szCs w:val="22"/>
          <w:highlight w:val="none"/>
        </w:rPr>
        <w:t>2</w:t>
      </w:r>
      <w:r>
        <w:rPr>
          <w:rFonts w:hint="default" w:ascii="Times New Roman" w:hAnsi="Times New Roman" w:cs="Times New Roman"/>
          <w:b/>
          <w:bCs/>
          <w:color w:val="auto"/>
          <w:sz w:val="24"/>
          <w:szCs w:val="22"/>
          <w:highlight w:val="none"/>
          <w:lang w:eastAsia="zh-CN"/>
        </w:rPr>
        <w:t>天然气</w:t>
      </w:r>
      <w:r>
        <w:rPr>
          <w:rFonts w:hint="default" w:ascii="Times New Roman" w:hAnsi="Times New Roman" w:eastAsia="宋体" w:cs="Times New Roman"/>
          <w:b/>
          <w:bCs/>
          <w:color w:val="auto"/>
          <w:sz w:val="24"/>
          <w:szCs w:val="22"/>
          <w:highlight w:val="none"/>
        </w:rPr>
        <w:t>理化性质表</w:t>
      </w:r>
    </w:p>
    <w:tbl>
      <w:tblPr>
        <w:tblStyle w:val="81"/>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255"/>
        <w:gridCol w:w="245"/>
        <w:gridCol w:w="245"/>
        <w:gridCol w:w="184"/>
        <w:gridCol w:w="1841"/>
        <w:gridCol w:w="74"/>
        <w:gridCol w:w="1217"/>
        <w:gridCol w:w="175"/>
        <w:gridCol w:w="925"/>
        <w:gridCol w:w="3126"/>
      </w:tblGrid>
      <w:tr w14:paraId="3992FE1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tcPr>
          <w:p w14:paraId="5906647D">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标识</w:t>
            </w:r>
          </w:p>
        </w:tc>
      </w:tr>
      <w:tr w14:paraId="232CDE1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40" w:type="pct"/>
            <w:gridSpan w:val="3"/>
            <w:tcBorders>
              <w:top w:val="single" w:color="auto" w:sz="6" w:space="0"/>
              <w:left w:val="single" w:color="auto" w:sz="6" w:space="0"/>
              <w:bottom w:val="single" w:color="auto" w:sz="6" w:space="0"/>
              <w:right w:val="single" w:color="auto" w:sz="6" w:space="0"/>
            </w:tcBorders>
          </w:tcPr>
          <w:p w14:paraId="4C1EFB63">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中文名</w:t>
            </w:r>
          </w:p>
        </w:tc>
        <w:tc>
          <w:tcPr>
            <w:tcW w:w="1090" w:type="pct"/>
            <w:gridSpan w:val="2"/>
            <w:tcBorders>
              <w:top w:val="single" w:color="auto" w:sz="6" w:space="0"/>
              <w:left w:val="single" w:color="auto" w:sz="6" w:space="0"/>
              <w:bottom w:val="single" w:color="auto" w:sz="6" w:space="0"/>
              <w:right w:val="single" w:color="auto" w:sz="6" w:space="0"/>
            </w:tcBorders>
          </w:tcPr>
          <w:p w14:paraId="47366D11">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甲烷</w:t>
            </w:r>
          </w:p>
        </w:tc>
        <w:tc>
          <w:tcPr>
            <w:tcW w:w="789" w:type="pct"/>
            <w:gridSpan w:val="3"/>
            <w:tcBorders>
              <w:top w:val="single" w:color="auto" w:sz="6" w:space="0"/>
              <w:left w:val="single" w:color="auto" w:sz="6" w:space="0"/>
              <w:bottom w:val="single" w:color="auto" w:sz="6" w:space="0"/>
              <w:right w:val="single" w:color="auto" w:sz="6" w:space="0"/>
            </w:tcBorders>
          </w:tcPr>
          <w:p w14:paraId="17CCFF71">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英文名</w:t>
            </w:r>
          </w:p>
        </w:tc>
        <w:tc>
          <w:tcPr>
            <w:tcW w:w="2178" w:type="pct"/>
            <w:gridSpan w:val="2"/>
            <w:tcBorders>
              <w:top w:val="single" w:color="auto" w:sz="6" w:space="0"/>
              <w:left w:val="single" w:color="auto" w:sz="6" w:space="0"/>
              <w:bottom w:val="single" w:color="auto" w:sz="6" w:space="0"/>
              <w:right w:val="single" w:color="auto" w:sz="6" w:space="0"/>
            </w:tcBorders>
          </w:tcPr>
          <w:p w14:paraId="3400ABE0">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Methane</w:t>
            </w:r>
          </w:p>
        </w:tc>
      </w:tr>
      <w:tr w14:paraId="37EB0D8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40" w:type="pct"/>
            <w:gridSpan w:val="3"/>
            <w:tcBorders>
              <w:top w:val="single" w:color="auto" w:sz="6" w:space="0"/>
              <w:left w:val="single" w:color="auto" w:sz="6" w:space="0"/>
              <w:bottom w:val="single" w:color="auto" w:sz="6" w:space="0"/>
              <w:right w:val="single" w:color="auto" w:sz="6" w:space="0"/>
            </w:tcBorders>
          </w:tcPr>
          <w:p w14:paraId="451386BB">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CAS号</w:t>
            </w:r>
          </w:p>
        </w:tc>
        <w:tc>
          <w:tcPr>
            <w:tcW w:w="1090" w:type="pct"/>
            <w:gridSpan w:val="2"/>
            <w:tcBorders>
              <w:top w:val="single" w:color="auto" w:sz="6" w:space="0"/>
              <w:left w:val="single" w:color="auto" w:sz="6" w:space="0"/>
              <w:bottom w:val="single" w:color="auto" w:sz="6" w:space="0"/>
              <w:right w:val="single" w:color="auto" w:sz="6" w:space="0"/>
            </w:tcBorders>
          </w:tcPr>
          <w:p w14:paraId="469ED615">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74-82-8</w:t>
            </w:r>
          </w:p>
        </w:tc>
        <w:tc>
          <w:tcPr>
            <w:tcW w:w="789" w:type="pct"/>
            <w:gridSpan w:val="3"/>
            <w:tcBorders>
              <w:top w:val="single" w:color="auto" w:sz="6" w:space="0"/>
              <w:left w:val="single" w:color="auto" w:sz="6" w:space="0"/>
              <w:bottom w:val="single" w:color="auto" w:sz="6" w:space="0"/>
              <w:right w:val="single" w:color="auto" w:sz="6" w:space="0"/>
            </w:tcBorders>
          </w:tcPr>
          <w:p w14:paraId="38CA272F">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分子式</w:t>
            </w:r>
          </w:p>
        </w:tc>
        <w:tc>
          <w:tcPr>
            <w:tcW w:w="2178" w:type="pct"/>
            <w:gridSpan w:val="2"/>
            <w:tcBorders>
              <w:top w:val="single" w:color="auto" w:sz="6" w:space="0"/>
              <w:left w:val="single" w:color="auto" w:sz="6" w:space="0"/>
              <w:bottom w:val="single" w:color="auto" w:sz="6" w:space="0"/>
              <w:right w:val="single" w:color="auto" w:sz="6" w:space="0"/>
            </w:tcBorders>
          </w:tcPr>
          <w:p w14:paraId="7D376F96">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CH</w:t>
            </w:r>
            <w:r>
              <w:rPr>
                <w:rFonts w:ascii="Times New Roman" w:hAnsi="Times New Roman" w:cs="Times New Roman"/>
                <w:color w:val="auto"/>
                <w:szCs w:val="21"/>
                <w:highlight w:val="none"/>
                <w:vertAlign w:val="subscript"/>
              </w:rPr>
              <w:t>4</w:t>
            </w:r>
          </w:p>
        </w:tc>
      </w:tr>
      <w:tr w14:paraId="70D171C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40" w:type="pct"/>
            <w:gridSpan w:val="3"/>
            <w:tcBorders>
              <w:top w:val="single" w:color="auto" w:sz="6" w:space="0"/>
              <w:left w:val="single" w:color="auto" w:sz="6" w:space="0"/>
              <w:bottom w:val="single" w:color="auto" w:sz="6" w:space="0"/>
              <w:right w:val="single" w:color="auto" w:sz="6" w:space="0"/>
            </w:tcBorders>
          </w:tcPr>
          <w:p w14:paraId="1FB60D3E">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危险货物编号</w:t>
            </w:r>
          </w:p>
        </w:tc>
        <w:tc>
          <w:tcPr>
            <w:tcW w:w="1090" w:type="pct"/>
            <w:gridSpan w:val="2"/>
            <w:tcBorders>
              <w:top w:val="single" w:color="auto" w:sz="6" w:space="0"/>
              <w:left w:val="single" w:color="auto" w:sz="6" w:space="0"/>
              <w:bottom w:val="single" w:color="auto" w:sz="6" w:space="0"/>
              <w:right w:val="single" w:color="auto" w:sz="6" w:space="0"/>
            </w:tcBorders>
          </w:tcPr>
          <w:p w14:paraId="1FBFD7B2">
            <w:pPr>
              <w:snapToGrid w:val="0"/>
              <w:spacing w:beforeLines="20" w:afterLines="20"/>
              <w:rPr>
                <w:rFonts w:ascii="Times New Roman" w:hAnsi="Times New Roman" w:cs="Times New Roman"/>
                <w:color w:val="auto"/>
                <w:highlight w:val="none"/>
              </w:rPr>
            </w:pPr>
            <w:r>
              <w:rPr>
                <w:rFonts w:ascii="Times New Roman" w:hAnsi="Times New Roman" w:cs="Times New Roman"/>
                <w:color w:val="auto"/>
                <w:highlight w:val="none"/>
              </w:rPr>
              <w:t>21007</w:t>
            </w:r>
          </w:p>
        </w:tc>
        <w:tc>
          <w:tcPr>
            <w:tcW w:w="789" w:type="pct"/>
            <w:gridSpan w:val="3"/>
            <w:tcBorders>
              <w:top w:val="single" w:color="auto" w:sz="6" w:space="0"/>
              <w:left w:val="single" w:color="auto" w:sz="6" w:space="0"/>
              <w:bottom w:val="single" w:color="auto" w:sz="6" w:space="0"/>
              <w:right w:val="single" w:color="auto" w:sz="6" w:space="0"/>
            </w:tcBorders>
          </w:tcPr>
          <w:p w14:paraId="509EB2A2">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危险性类别</w:t>
            </w:r>
          </w:p>
        </w:tc>
        <w:tc>
          <w:tcPr>
            <w:tcW w:w="2178" w:type="pct"/>
            <w:gridSpan w:val="2"/>
            <w:tcBorders>
              <w:top w:val="single" w:color="auto" w:sz="6" w:space="0"/>
              <w:left w:val="single" w:color="auto" w:sz="6" w:space="0"/>
              <w:bottom w:val="single" w:color="auto" w:sz="6" w:space="0"/>
              <w:right w:val="single" w:color="auto" w:sz="6" w:space="0"/>
            </w:tcBorders>
          </w:tcPr>
          <w:p w14:paraId="178D7D77">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第2.1类  易燃气体</w:t>
            </w:r>
          </w:p>
        </w:tc>
      </w:tr>
      <w:tr w14:paraId="4FF946F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40" w:type="pct"/>
            <w:gridSpan w:val="3"/>
            <w:tcBorders>
              <w:top w:val="single" w:color="auto" w:sz="6" w:space="0"/>
              <w:left w:val="single" w:color="auto" w:sz="6" w:space="0"/>
              <w:bottom w:val="single" w:color="auto" w:sz="6" w:space="0"/>
              <w:right w:val="single" w:color="auto" w:sz="6" w:space="0"/>
            </w:tcBorders>
          </w:tcPr>
          <w:p w14:paraId="074507A8">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包装标志</w:t>
            </w:r>
          </w:p>
        </w:tc>
        <w:tc>
          <w:tcPr>
            <w:tcW w:w="1090" w:type="pct"/>
            <w:gridSpan w:val="2"/>
            <w:tcBorders>
              <w:top w:val="single" w:color="auto" w:sz="6" w:space="0"/>
              <w:left w:val="single" w:color="auto" w:sz="6" w:space="0"/>
              <w:bottom w:val="single" w:color="auto" w:sz="6" w:space="0"/>
              <w:right w:val="single" w:color="auto" w:sz="6" w:space="0"/>
            </w:tcBorders>
          </w:tcPr>
          <w:p w14:paraId="6F94928C">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易燃气体</w:t>
            </w:r>
          </w:p>
        </w:tc>
        <w:tc>
          <w:tcPr>
            <w:tcW w:w="789" w:type="pct"/>
            <w:gridSpan w:val="3"/>
            <w:tcBorders>
              <w:top w:val="single" w:color="auto" w:sz="6" w:space="0"/>
              <w:left w:val="single" w:color="auto" w:sz="6" w:space="0"/>
              <w:bottom w:val="single" w:color="auto" w:sz="6" w:space="0"/>
              <w:right w:val="single" w:color="auto" w:sz="6" w:space="0"/>
            </w:tcBorders>
          </w:tcPr>
          <w:p w14:paraId="5FB5DED3">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UN编号</w:t>
            </w:r>
          </w:p>
        </w:tc>
        <w:tc>
          <w:tcPr>
            <w:tcW w:w="2178" w:type="pct"/>
            <w:gridSpan w:val="2"/>
            <w:tcBorders>
              <w:top w:val="single" w:color="auto" w:sz="6" w:space="0"/>
              <w:left w:val="single" w:color="auto" w:sz="6" w:space="0"/>
              <w:bottom w:val="single" w:color="auto" w:sz="6" w:space="0"/>
              <w:right w:val="single" w:color="auto" w:sz="6" w:space="0"/>
            </w:tcBorders>
          </w:tcPr>
          <w:p w14:paraId="01D43AA6">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1971</w:t>
            </w:r>
          </w:p>
        </w:tc>
      </w:tr>
      <w:tr w14:paraId="3918F89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tcPr>
          <w:p w14:paraId="06474D5E">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主要组成与性状</w:t>
            </w:r>
          </w:p>
        </w:tc>
      </w:tr>
      <w:tr w14:paraId="3C2FD19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0" w:hRule="atLeast"/>
          <w:jc w:val="center"/>
        </w:trPr>
        <w:tc>
          <w:tcPr>
            <w:tcW w:w="808" w:type="pct"/>
            <w:gridSpan w:val="2"/>
            <w:tcBorders>
              <w:top w:val="single" w:color="auto" w:sz="6" w:space="0"/>
              <w:left w:val="single" w:color="auto" w:sz="6" w:space="0"/>
              <w:bottom w:val="single" w:color="auto" w:sz="6" w:space="0"/>
              <w:right w:val="single" w:color="auto" w:sz="6" w:space="0"/>
            </w:tcBorders>
          </w:tcPr>
          <w:p w14:paraId="6202C533">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外观与性状</w:t>
            </w:r>
          </w:p>
        </w:tc>
        <w:tc>
          <w:tcPr>
            <w:tcW w:w="4191" w:type="pct"/>
            <w:gridSpan w:val="8"/>
            <w:tcBorders>
              <w:top w:val="single" w:color="auto" w:sz="6" w:space="0"/>
              <w:left w:val="single" w:color="auto" w:sz="6" w:space="0"/>
              <w:bottom w:val="single" w:color="auto" w:sz="6" w:space="0"/>
              <w:right w:val="single" w:color="auto" w:sz="6" w:space="0"/>
            </w:tcBorders>
          </w:tcPr>
          <w:p w14:paraId="0F60C7AD">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无色无臭气体。</w:t>
            </w:r>
          </w:p>
        </w:tc>
      </w:tr>
      <w:tr w14:paraId="2AE189E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tcPr>
          <w:p w14:paraId="0B4939D9">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健康危害</w:t>
            </w:r>
          </w:p>
        </w:tc>
      </w:tr>
      <w:tr w14:paraId="6EFE556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76" w:type="pct"/>
            <w:tcBorders>
              <w:top w:val="single" w:color="auto" w:sz="6" w:space="0"/>
              <w:left w:val="single" w:color="auto" w:sz="6" w:space="0"/>
              <w:bottom w:val="single" w:color="auto" w:sz="6" w:space="0"/>
              <w:right w:val="single" w:color="auto" w:sz="6" w:space="0"/>
            </w:tcBorders>
            <w:vAlign w:val="center"/>
          </w:tcPr>
          <w:p w14:paraId="5D0351D5">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侵入途径</w:t>
            </w:r>
          </w:p>
        </w:tc>
        <w:tc>
          <w:tcPr>
            <w:tcW w:w="4323" w:type="pct"/>
            <w:gridSpan w:val="9"/>
            <w:tcBorders>
              <w:top w:val="single" w:color="auto" w:sz="6" w:space="0"/>
              <w:left w:val="single" w:color="auto" w:sz="6" w:space="0"/>
              <w:bottom w:val="single" w:color="auto" w:sz="6" w:space="0"/>
              <w:right w:val="single" w:color="auto" w:sz="6" w:space="0"/>
            </w:tcBorders>
          </w:tcPr>
          <w:p w14:paraId="321EB993">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吸入</w:t>
            </w:r>
          </w:p>
        </w:tc>
      </w:tr>
      <w:tr w14:paraId="643857E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76" w:type="pct"/>
            <w:tcBorders>
              <w:top w:val="single" w:color="auto" w:sz="6" w:space="0"/>
              <w:left w:val="single" w:color="auto" w:sz="6" w:space="0"/>
              <w:bottom w:val="single" w:color="auto" w:sz="6" w:space="0"/>
              <w:right w:val="single" w:color="auto" w:sz="6" w:space="0"/>
            </w:tcBorders>
            <w:vAlign w:val="center"/>
          </w:tcPr>
          <w:p w14:paraId="3BBB08DF">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健康危害</w:t>
            </w:r>
          </w:p>
        </w:tc>
        <w:tc>
          <w:tcPr>
            <w:tcW w:w="4323" w:type="pct"/>
            <w:gridSpan w:val="9"/>
            <w:tcBorders>
              <w:top w:val="single" w:color="auto" w:sz="6" w:space="0"/>
              <w:left w:val="single" w:color="auto" w:sz="6" w:space="0"/>
              <w:bottom w:val="single" w:color="auto" w:sz="6" w:space="0"/>
              <w:right w:val="single" w:color="auto" w:sz="6" w:space="0"/>
            </w:tcBorders>
          </w:tcPr>
          <w:p w14:paraId="79F76D3E">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color w:val="auto"/>
                <w:highlight w:val="none"/>
              </w:rPr>
              <w:t>天然气对人基本无毒，但浓度过高时，使空气中氧含量明显降低，使人窒息。当空气中甲烷达25％～30％时，可引起头痛、头晕、乏力、注意力不集中、呼吸和心跳加速、共济失调。若不及时脱离，可致窒息死亡。皮肤接触液化本品，可致冻伤。</w:t>
            </w:r>
          </w:p>
        </w:tc>
      </w:tr>
      <w:tr w14:paraId="27DF51E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tcPr>
          <w:p w14:paraId="0ECFF554">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危险特性与消防措施</w:t>
            </w:r>
          </w:p>
        </w:tc>
      </w:tr>
      <w:tr w14:paraId="4A47541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76" w:type="pct"/>
            <w:tcBorders>
              <w:top w:val="single" w:color="auto" w:sz="6" w:space="0"/>
              <w:left w:val="single" w:color="auto" w:sz="6" w:space="0"/>
              <w:bottom w:val="single" w:color="auto" w:sz="6" w:space="0"/>
              <w:right w:val="single" w:color="auto" w:sz="6" w:space="0"/>
            </w:tcBorders>
            <w:vAlign w:val="center"/>
          </w:tcPr>
          <w:p w14:paraId="2B18ECDE">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危险特性</w:t>
            </w:r>
          </w:p>
        </w:tc>
        <w:tc>
          <w:tcPr>
            <w:tcW w:w="4323" w:type="pct"/>
            <w:gridSpan w:val="9"/>
            <w:tcBorders>
              <w:top w:val="single" w:color="auto" w:sz="6" w:space="0"/>
              <w:left w:val="single" w:color="auto" w:sz="6" w:space="0"/>
              <w:bottom w:val="single" w:color="auto" w:sz="6" w:space="0"/>
              <w:right w:val="single" w:color="auto" w:sz="6" w:space="0"/>
            </w:tcBorders>
          </w:tcPr>
          <w:p w14:paraId="2072D47B">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color w:val="auto"/>
                <w:highlight w:val="none"/>
              </w:rPr>
              <w:t>易燃，与空气混合能形成爆炸性混合物，遇热源和明火有燃烧爆炸的危险。与五氧化溴、氯气、次氯酸、三氟化氮、液氧、二氟化氧</w:t>
            </w:r>
            <w:r>
              <w:rPr>
                <w:rFonts w:hint="default" w:ascii="Times New Roman" w:hAnsi="Times New Roman" w:cs="Times New Roman"/>
                <w:color w:val="auto"/>
                <w:highlight w:val="none"/>
                <w:lang w:eastAsia="zh-CN"/>
              </w:rPr>
              <w:t>及其他</w:t>
            </w:r>
            <w:r>
              <w:rPr>
                <w:rFonts w:ascii="Times New Roman" w:hAnsi="Times New Roman" w:cs="Times New Roman"/>
                <w:color w:val="auto"/>
                <w:highlight w:val="none"/>
              </w:rPr>
              <w:t>强氧化剂接触剧烈反应。</w:t>
            </w:r>
          </w:p>
        </w:tc>
      </w:tr>
      <w:tr w14:paraId="3635E77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76" w:type="pct"/>
            <w:tcBorders>
              <w:top w:val="single" w:color="auto" w:sz="6" w:space="0"/>
              <w:left w:val="single" w:color="auto" w:sz="6" w:space="0"/>
              <w:bottom w:val="single" w:color="auto" w:sz="6" w:space="0"/>
              <w:right w:val="single" w:color="auto" w:sz="6" w:space="0"/>
            </w:tcBorders>
            <w:vAlign w:val="center"/>
          </w:tcPr>
          <w:p w14:paraId="5460D485">
            <w:pPr>
              <w:snapToGrid w:val="0"/>
              <w:spacing w:beforeLines="20" w:afterLines="20"/>
              <w:rPr>
                <w:rFonts w:ascii="Times New Roman" w:hAnsi="Times New Roman" w:cs="Times New Roman"/>
                <w:color w:val="auto"/>
                <w:szCs w:val="21"/>
                <w:highlight w:val="none"/>
              </w:rPr>
            </w:pPr>
            <w:r>
              <w:rPr>
                <w:rFonts w:ascii="Times New Roman" w:hAnsi="Times New Roman" w:cs="Times New Roman"/>
                <w:bCs/>
                <w:color w:val="auto"/>
                <w:szCs w:val="21"/>
                <w:highlight w:val="none"/>
              </w:rPr>
              <w:t>燃爆危险</w:t>
            </w:r>
          </w:p>
        </w:tc>
        <w:tc>
          <w:tcPr>
            <w:tcW w:w="4323" w:type="pct"/>
            <w:gridSpan w:val="9"/>
            <w:tcBorders>
              <w:top w:val="single" w:color="auto" w:sz="6" w:space="0"/>
              <w:left w:val="single" w:color="auto" w:sz="6" w:space="0"/>
              <w:bottom w:val="single" w:color="auto" w:sz="6" w:space="0"/>
              <w:right w:val="single" w:color="auto" w:sz="6" w:space="0"/>
            </w:tcBorders>
          </w:tcPr>
          <w:p w14:paraId="09D45EE5">
            <w:pPr>
              <w:snapToGrid w:val="0"/>
              <w:spacing w:beforeLines="20" w:afterLines="20"/>
              <w:rPr>
                <w:rFonts w:ascii="Times New Roman" w:hAnsi="Times New Roman" w:cs="Times New Roman"/>
                <w:bCs/>
                <w:color w:val="auto"/>
                <w:szCs w:val="21"/>
                <w:highlight w:val="none"/>
              </w:rPr>
            </w:pPr>
            <w:r>
              <w:rPr>
                <w:rFonts w:ascii="Times New Roman" w:hAnsi="Times New Roman" w:cs="Times New Roman"/>
                <w:color w:val="auto"/>
                <w:highlight w:val="none"/>
              </w:rPr>
              <w:t>本品易燃，具窒息性。</w:t>
            </w:r>
          </w:p>
        </w:tc>
      </w:tr>
      <w:tr w14:paraId="589A57D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76" w:type="pct"/>
            <w:tcBorders>
              <w:top w:val="single" w:color="auto" w:sz="6" w:space="0"/>
              <w:left w:val="single" w:color="auto" w:sz="6" w:space="0"/>
              <w:bottom w:val="single" w:color="auto" w:sz="6" w:space="0"/>
              <w:right w:val="single" w:color="auto" w:sz="6" w:space="0"/>
            </w:tcBorders>
            <w:vAlign w:val="center"/>
          </w:tcPr>
          <w:p w14:paraId="174A36FF">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灭火方法</w:t>
            </w:r>
          </w:p>
        </w:tc>
        <w:tc>
          <w:tcPr>
            <w:tcW w:w="4323" w:type="pct"/>
            <w:gridSpan w:val="9"/>
            <w:tcBorders>
              <w:top w:val="single" w:color="auto" w:sz="6" w:space="0"/>
              <w:left w:val="single" w:color="auto" w:sz="6" w:space="0"/>
              <w:bottom w:val="single" w:color="auto" w:sz="6" w:space="0"/>
              <w:right w:val="single" w:color="auto" w:sz="6" w:space="0"/>
            </w:tcBorders>
          </w:tcPr>
          <w:p w14:paraId="23E4FE08">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切断气源。若不能切断气源，则不允许熄灭泄漏处的火焰。喷水冷却容器，可能的话将容器从火场移至空旷处。灭火剂：雾状水、泡沫、二氧化碳、干粉。</w:t>
            </w:r>
          </w:p>
        </w:tc>
      </w:tr>
      <w:tr w14:paraId="4673798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76" w:type="pct"/>
            <w:tcBorders>
              <w:top w:val="single" w:color="auto" w:sz="6" w:space="0"/>
              <w:left w:val="single" w:color="auto" w:sz="6" w:space="0"/>
              <w:bottom w:val="single" w:color="auto" w:sz="6" w:space="0"/>
              <w:right w:val="single" w:color="auto" w:sz="6" w:space="0"/>
            </w:tcBorders>
            <w:vAlign w:val="center"/>
          </w:tcPr>
          <w:p w14:paraId="49D24C69">
            <w:pPr>
              <w:snapToGrid w:val="0"/>
              <w:spacing w:beforeLines="20" w:afterLines="20"/>
              <w:rPr>
                <w:rFonts w:ascii="Times New Roman" w:hAnsi="Times New Roman" w:cs="Times New Roman"/>
                <w:color w:val="auto"/>
                <w:szCs w:val="21"/>
                <w:highlight w:val="none"/>
              </w:rPr>
            </w:pPr>
            <w:r>
              <w:rPr>
                <w:rFonts w:ascii="Times New Roman" w:hAnsi="Times New Roman" w:cs="Times New Roman"/>
                <w:bCs/>
                <w:color w:val="auto"/>
                <w:szCs w:val="21"/>
                <w:highlight w:val="none"/>
              </w:rPr>
              <w:t>环境危害</w:t>
            </w:r>
          </w:p>
        </w:tc>
        <w:tc>
          <w:tcPr>
            <w:tcW w:w="4323" w:type="pct"/>
            <w:gridSpan w:val="9"/>
            <w:tcBorders>
              <w:top w:val="single" w:color="auto" w:sz="6" w:space="0"/>
              <w:left w:val="single" w:color="auto" w:sz="6" w:space="0"/>
              <w:bottom w:val="single" w:color="auto" w:sz="6" w:space="0"/>
              <w:right w:val="single" w:color="auto" w:sz="6" w:space="0"/>
            </w:tcBorders>
          </w:tcPr>
          <w:p w14:paraId="3B9DFDA8">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r>
      <w:tr w14:paraId="35D5998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808" w:type="pct"/>
            <w:gridSpan w:val="2"/>
            <w:tcBorders>
              <w:top w:val="single" w:color="auto" w:sz="6" w:space="0"/>
              <w:left w:val="single" w:color="auto" w:sz="6" w:space="0"/>
              <w:bottom w:val="single" w:color="auto" w:sz="6" w:space="0"/>
              <w:right w:val="single" w:color="auto" w:sz="6" w:space="0"/>
            </w:tcBorders>
            <w:vAlign w:val="center"/>
          </w:tcPr>
          <w:p w14:paraId="1DF3E149">
            <w:pPr>
              <w:snapToGrid w:val="0"/>
              <w:spacing w:beforeLines="20" w:afterLines="20"/>
              <w:rPr>
                <w:rFonts w:ascii="Times New Roman" w:hAnsi="Times New Roman" w:cs="Times New Roman"/>
                <w:bCs/>
                <w:color w:val="auto"/>
                <w:szCs w:val="21"/>
                <w:highlight w:val="none"/>
              </w:rPr>
            </w:pPr>
            <w:r>
              <w:rPr>
                <w:rFonts w:ascii="Times New Roman" w:hAnsi="Times New Roman" w:cs="Times New Roman"/>
                <w:color w:val="auto"/>
                <w:szCs w:val="21"/>
                <w:highlight w:val="none"/>
              </w:rPr>
              <w:t>有害燃烧产物</w:t>
            </w:r>
          </w:p>
        </w:tc>
        <w:tc>
          <w:tcPr>
            <w:tcW w:w="4191" w:type="pct"/>
            <w:gridSpan w:val="8"/>
            <w:tcBorders>
              <w:top w:val="single" w:color="auto" w:sz="6" w:space="0"/>
              <w:left w:val="single" w:color="auto" w:sz="6" w:space="0"/>
              <w:bottom w:val="single" w:color="auto" w:sz="6" w:space="0"/>
              <w:right w:val="single" w:color="auto" w:sz="6" w:space="0"/>
            </w:tcBorders>
            <w:vAlign w:val="center"/>
          </w:tcPr>
          <w:p w14:paraId="5E118CD7">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color w:val="auto"/>
                <w:highlight w:val="none"/>
              </w:rPr>
              <w:t>一氧化碳、二氧化碳。</w:t>
            </w:r>
          </w:p>
        </w:tc>
      </w:tr>
      <w:tr w14:paraId="0317EBA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vAlign w:val="center"/>
          </w:tcPr>
          <w:p w14:paraId="797DC8AD">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毒理学资料</w:t>
            </w:r>
          </w:p>
        </w:tc>
      </w:tr>
      <w:tr w14:paraId="622FDD2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76" w:type="pct"/>
            <w:tcBorders>
              <w:top w:val="single" w:color="auto" w:sz="6" w:space="0"/>
              <w:left w:val="single" w:color="auto" w:sz="6" w:space="0"/>
              <w:bottom w:val="single" w:color="auto" w:sz="6" w:space="0"/>
              <w:right w:val="single" w:color="auto" w:sz="6" w:space="0"/>
            </w:tcBorders>
            <w:vAlign w:val="center"/>
          </w:tcPr>
          <w:p w14:paraId="2351206D">
            <w:pPr>
              <w:snapToGrid w:val="0"/>
              <w:spacing w:beforeLines="20" w:afterLines="20"/>
              <w:rPr>
                <w:rFonts w:ascii="Times New Roman" w:hAnsi="Times New Roman" w:cs="Times New Roman"/>
                <w:bCs/>
                <w:color w:val="auto"/>
                <w:szCs w:val="21"/>
                <w:highlight w:val="none"/>
              </w:rPr>
            </w:pPr>
            <w:r>
              <w:rPr>
                <w:rFonts w:ascii="Times New Roman" w:hAnsi="Times New Roman" w:cs="Times New Roman"/>
                <w:bCs/>
                <w:color w:val="auto"/>
                <w:szCs w:val="21"/>
                <w:highlight w:val="none"/>
              </w:rPr>
              <w:t>急性毒性</w:t>
            </w:r>
          </w:p>
        </w:tc>
        <w:tc>
          <w:tcPr>
            <w:tcW w:w="4323" w:type="pct"/>
            <w:gridSpan w:val="9"/>
            <w:tcBorders>
              <w:top w:val="single" w:color="auto" w:sz="6" w:space="0"/>
              <w:left w:val="single" w:color="auto" w:sz="6" w:space="0"/>
              <w:bottom w:val="single" w:color="auto" w:sz="6" w:space="0"/>
              <w:right w:val="single" w:color="auto" w:sz="6" w:space="0"/>
            </w:tcBorders>
          </w:tcPr>
          <w:p w14:paraId="2964D93A">
            <w:pPr>
              <w:snapToGrid w:val="0"/>
              <w:spacing w:beforeLines="20" w:afterLines="20"/>
              <w:rPr>
                <w:rFonts w:ascii="Times New Roman" w:hAnsi="Times New Roman" w:cs="Times New Roman"/>
                <w:bCs/>
                <w:color w:val="auto"/>
                <w:szCs w:val="21"/>
                <w:highlight w:val="none"/>
              </w:rPr>
            </w:pPr>
            <w:r>
              <w:rPr>
                <w:rFonts w:ascii="Times New Roman" w:hAnsi="Times New Roman" w:cs="Times New Roman"/>
                <w:bCs/>
                <w:color w:val="auto"/>
                <w:szCs w:val="21"/>
                <w:highlight w:val="none"/>
              </w:rPr>
              <w:t>LD</w:t>
            </w:r>
            <w:r>
              <w:rPr>
                <w:rFonts w:ascii="Times New Roman" w:hAnsi="Times New Roman" w:cs="Times New Roman"/>
                <w:bCs/>
                <w:color w:val="auto"/>
                <w:szCs w:val="21"/>
                <w:highlight w:val="none"/>
                <w:vertAlign w:val="subscript"/>
              </w:rPr>
              <w:t>50</w:t>
            </w:r>
            <w:r>
              <w:rPr>
                <w:rFonts w:ascii="Times New Roman" w:hAnsi="Times New Roman" w:cs="Times New Roman"/>
                <w:bCs/>
                <w:color w:val="auto"/>
                <w:szCs w:val="21"/>
                <w:highlight w:val="none"/>
              </w:rPr>
              <w:t>：无资料；LC</w:t>
            </w:r>
            <w:r>
              <w:rPr>
                <w:rFonts w:ascii="Times New Roman" w:hAnsi="Times New Roman" w:cs="Times New Roman"/>
                <w:bCs/>
                <w:color w:val="auto"/>
                <w:szCs w:val="21"/>
                <w:highlight w:val="none"/>
                <w:vertAlign w:val="subscript"/>
              </w:rPr>
              <w:t>50</w:t>
            </w:r>
            <w:r>
              <w:rPr>
                <w:rFonts w:ascii="Times New Roman" w:hAnsi="Times New Roman" w:cs="Times New Roman"/>
                <w:bCs/>
                <w:color w:val="auto"/>
                <w:szCs w:val="21"/>
                <w:highlight w:val="none"/>
              </w:rPr>
              <w:t>：无资料</w:t>
            </w:r>
          </w:p>
        </w:tc>
      </w:tr>
      <w:tr w14:paraId="636FE68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76" w:type="pct"/>
            <w:tcBorders>
              <w:top w:val="single" w:color="auto" w:sz="6" w:space="0"/>
              <w:left w:val="single" w:color="auto" w:sz="6" w:space="0"/>
              <w:bottom w:val="single" w:color="auto" w:sz="6" w:space="0"/>
              <w:right w:val="single" w:color="auto" w:sz="6" w:space="0"/>
            </w:tcBorders>
            <w:vAlign w:val="center"/>
          </w:tcPr>
          <w:p w14:paraId="4153F746">
            <w:pPr>
              <w:snapToGrid w:val="0"/>
              <w:spacing w:beforeLines="20" w:afterLines="20"/>
              <w:rPr>
                <w:rFonts w:ascii="Times New Roman" w:hAnsi="Times New Roman" w:cs="Times New Roman"/>
                <w:bCs/>
                <w:color w:val="auto"/>
                <w:szCs w:val="21"/>
                <w:highlight w:val="none"/>
              </w:rPr>
            </w:pPr>
            <w:r>
              <w:rPr>
                <w:rFonts w:ascii="Times New Roman" w:hAnsi="Times New Roman" w:cs="Times New Roman"/>
                <w:bCs/>
                <w:color w:val="auto"/>
                <w:szCs w:val="21"/>
                <w:highlight w:val="none"/>
              </w:rPr>
              <w:t>刺激性</w:t>
            </w:r>
          </w:p>
        </w:tc>
        <w:tc>
          <w:tcPr>
            <w:tcW w:w="4323" w:type="pct"/>
            <w:gridSpan w:val="9"/>
            <w:tcBorders>
              <w:top w:val="single" w:color="auto" w:sz="6" w:space="0"/>
              <w:left w:val="single" w:color="auto" w:sz="6" w:space="0"/>
              <w:bottom w:val="single" w:color="auto" w:sz="6" w:space="0"/>
              <w:right w:val="single" w:color="auto" w:sz="6" w:space="0"/>
            </w:tcBorders>
          </w:tcPr>
          <w:p w14:paraId="20911184">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w:t>
            </w:r>
          </w:p>
        </w:tc>
      </w:tr>
      <w:tr w14:paraId="275E454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vAlign w:val="center"/>
          </w:tcPr>
          <w:p w14:paraId="0CE0ECA9">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生态学资料</w:t>
            </w:r>
          </w:p>
        </w:tc>
      </w:tr>
      <w:tr w14:paraId="425F1DB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808" w:type="pct"/>
            <w:gridSpan w:val="2"/>
            <w:tcBorders>
              <w:top w:val="single" w:color="auto" w:sz="6" w:space="0"/>
              <w:left w:val="single" w:color="auto" w:sz="6" w:space="0"/>
              <w:bottom w:val="single" w:color="auto" w:sz="6" w:space="0"/>
              <w:right w:val="single" w:color="auto" w:sz="6" w:space="0"/>
            </w:tcBorders>
            <w:vAlign w:val="center"/>
          </w:tcPr>
          <w:p w14:paraId="1141E50A">
            <w:pPr>
              <w:snapToGrid w:val="0"/>
              <w:spacing w:beforeLines="20" w:afterLines="20"/>
              <w:rPr>
                <w:rFonts w:ascii="Times New Roman" w:hAnsi="Times New Roman" w:cs="Times New Roman"/>
                <w:bCs/>
                <w:color w:val="auto"/>
                <w:szCs w:val="21"/>
                <w:highlight w:val="none"/>
              </w:rPr>
            </w:pPr>
            <w:r>
              <w:rPr>
                <w:rFonts w:ascii="Times New Roman" w:hAnsi="Times New Roman" w:cs="Times New Roman"/>
                <w:bCs/>
                <w:color w:val="auto"/>
                <w:szCs w:val="21"/>
                <w:highlight w:val="none"/>
              </w:rPr>
              <w:t>其它有害作用</w:t>
            </w:r>
          </w:p>
        </w:tc>
        <w:tc>
          <w:tcPr>
            <w:tcW w:w="4191" w:type="pct"/>
            <w:gridSpan w:val="8"/>
            <w:tcBorders>
              <w:top w:val="single" w:color="auto" w:sz="6" w:space="0"/>
              <w:left w:val="single" w:color="auto" w:sz="6" w:space="0"/>
              <w:bottom w:val="single" w:color="auto" w:sz="6" w:space="0"/>
              <w:right w:val="single" w:color="auto" w:sz="6" w:space="0"/>
            </w:tcBorders>
            <w:vAlign w:val="center"/>
          </w:tcPr>
          <w:p w14:paraId="2E6BEB09">
            <w:pPr>
              <w:snapToGrid w:val="0"/>
              <w:spacing w:beforeLines="20" w:afterLines="20"/>
              <w:rPr>
                <w:rFonts w:ascii="Times New Roman" w:hAnsi="Times New Roman" w:cs="Times New Roman"/>
                <w:bCs/>
                <w:color w:val="auto"/>
                <w:szCs w:val="21"/>
                <w:highlight w:val="none"/>
              </w:rPr>
            </w:pPr>
            <w:r>
              <w:rPr>
                <w:rFonts w:ascii="Times New Roman" w:hAnsi="Times New Roman" w:cs="Times New Roman"/>
                <w:color w:val="auto"/>
                <w:highlight w:val="none"/>
              </w:rPr>
              <w:t>该物质对环境可能有危害，对鱼类和水体要给予特别注意。还应特别注意对地表水、土壤、大气和饮用水的污染。</w:t>
            </w:r>
          </w:p>
        </w:tc>
      </w:tr>
      <w:tr w14:paraId="6497A20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tcPr>
          <w:p w14:paraId="0E211BBE">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接触控制</w:t>
            </w:r>
          </w:p>
        </w:tc>
      </w:tr>
      <w:tr w14:paraId="4178DD3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808" w:type="pct"/>
            <w:gridSpan w:val="2"/>
            <w:tcBorders>
              <w:top w:val="single" w:color="auto" w:sz="6" w:space="0"/>
              <w:left w:val="single" w:color="auto" w:sz="6" w:space="0"/>
              <w:bottom w:val="single" w:color="auto" w:sz="6" w:space="0"/>
              <w:right w:val="single" w:color="auto" w:sz="6" w:space="0"/>
            </w:tcBorders>
            <w:vAlign w:val="center"/>
          </w:tcPr>
          <w:p w14:paraId="08AE613D">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职业接触限值</w:t>
            </w:r>
          </w:p>
        </w:tc>
        <w:tc>
          <w:tcPr>
            <w:tcW w:w="4191" w:type="pct"/>
            <w:gridSpan w:val="8"/>
            <w:tcBorders>
              <w:top w:val="single" w:color="auto" w:sz="6" w:space="0"/>
              <w:left w:val="single" w:color="auto" w:sz="6" w:space="0"/>
              <w:bottom w:val="single" w:color="auto" w:sz="6" w:space="0"/>
              <w:right w:val="single" w:color="auto" w:sz="6" w:space="0"/>
            </w:tcBorders>
            <w:vAlign w:val="center"/>
          </w:tcPr>
          <w:p w14:paraId="730268C3">
            <w:pPr>
              <w:snapToGrid w:val="0"/>
              <w:spacing w:beforeLines="20" w:afterLines="20"/>
              <w:rPr>
                <w:rFonts w:ascii="Times New Roman" w:hAnsi="Times New Roman" w:cs="Times New Roman"/>
                <w:bCs/>
                <w:color w:val="auto"/>
                <w:szCs w:val="21"/>
                <w:highlight w:val="none"/>
              </w:rPr>
            </w:pPr>
            <w:r>
              <w:rPr>
                <w:rFonts w:ascii="Times New Roman" w:hAnsi="Times New Roman" w:cs="Times New Roman"/>
                <w:bCs/>
                <w:color w:val="auto"/>
                <w:szCs w:val="21"/>
                <w:highlight w:val="none"/>
              </w:rPr>
              <w:t>--</w:t>
            </w:r>
          </w:p>
        </w:tc>
      </w:tr>
      <w:tr w14:paraId="34BCCCC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808" w:type="pct"/>
            <w:gridSpan w:val="2"/>
            <w:tcBorders>
              <w:top w:val="single" w:color="auto" w:sz="6" w:space="0"/>
              <w:left w:val="single" w:color="auto" w:sz="6" w:space="0"/>
              <w:bottom w:val="single" w:color="auto" w:sz="6" w:space="0"/>
              <w:right w:val="single" w:color="auto" w:sz="6" w:space="0"/>
            </w:tcBorders>
            <w:vAlign w:val="center"/>
          </w:tcPr>
          <w:p w14:paraId="06FABEAB">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工程控制</w:t>
            </w:r>
          </w:p>
        </w:tc>
        <w:tc>
          <w:tcPr>
            <w:tcW w:w="4191" w:type="pct"/>
            <w:gridSpan w:val="8"/>
            <w:tcBorders>
              <w:top w:val="single" w:color="auto" w:sz="6" w:space="0"/>
              <w:left w:val="single" w:color="auto" w:sz="6" w:space="0"/>
              <w:bottom w:val="single" w:color="auto" w:sz="6" w:space="0"/>
              <w:right w:val="single" w:color="auto" w:sz="6" w:space="0"/>
            </w:tcBorders>
          </w:tcPr>
          <w:p w14:paraId="75332F2C">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color w:val="auto"/>
                <w:highlight w:val="none"/>
              </w:rPr>
              <w:t>生产过程密闭，全面通风。</w:t>
            </w:r>
          </w:p>
        </w:tc>
      </w:tr>
      <w:tr w14:paraId="68C800B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vAlign w:val="center"/>
          </w:tcPr>
          <w:p w14:paraId="509D32FD">
            <w:pPr>
              <w:snapToGrid w:val="0"/>
              <w:spacing w:beforeLines="20" w:afterLines="20"/>
              <w:rPr>
                <w:rFonts w:ascii="Times New Roman" w:hAnsi="Times New Roman" w:cs="Times New Roman"/>
                <w:b/>
                <w:color w:val="auto"/>
                <w:szCs w:val="21"/>
                <w:highlight w:val="none"/>
              </w:rPr>
            </w:pPr>
            <w:r>
              <w:rPr>
                <w:rFonts w:ascii="Times New Roman" w:hAnsi="Times New Roman" w:cs="Times New Roman"/>
                <w:b/>
                <w:color w:val="auto"/>
                <w:szCs w:val="21"/>
                <w:highlight w:val="none"/>
              </w:rPr>
              <w:t>防护措施</w:t>
            </w:r>
          </w:p>
        </w:tc>
      </w:tr>
      <w:tr w14:paraId="339B0C2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808" w:type="pct"/>
            <w:gridSpan w:val="2"/>
            <w:tcBorders>
              <w:top w:val="single" w:color="auto" w:sz="6" w:space="0"/>
              <w:left w:val="single" w:color="auto" w:sz="6" w:space="0"/>
              <w:bottom w:val="single" w:color="auto" w:sz="6" w:space="0"/>
              <w:right w:val="single" w:color="auto" w:sz="6" w:space="0"/>
            </w:tcBorders>
            <w:vAlign w:val="center"/>
          </w:tcPr>
          <w:p w14:paraId="573DB90C">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呼吸系统防护</w:t>
            </w:r>
          </w:p>
        </w:tc>
        <w:tc>
          <w:tcPr>
            <w:tcW w:w="4191" w:type="pct"/>
            <w:gridSpan w:val="8"/>
            <w:tcBorders>
              <w:top w:val="single" w:color="auto" w:sz="6" w:space="0"/>
              <w:left w:val="single" w:color="auto" w:sz="6" w:space="0"/>
              <w:bottom w:val="single" w:color="auto" w:sz="6" w:space="0"/>
              <w:right w:val="single" w:color="auto" w:sz="6" w:space="0"/>
            </w:tcBorders>
            <w:vAlign w:val="center"/>
          </w:tcPr>
          <w:p w14:paraId="6CAEF2A4">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color w:val="auto"/>
                <w:highlight w:val="none"/>
              </w:rPr>
              <w:t>一般不需要特殊防护，但建议特殊情况下，佩戴自吸过滤式防毒面具（半面罩）。</w:t>
            </w:r>
          </w:p>
        </w:tc>
      </w:tr>
      <w:tr w14:paraId="627ED5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76" w:type="pct"/>
            <w:tcBorders>
              <w:top w:val="single" w:color="auto" w:sz="6" w:space="0"/>
              <w:left w:val="single" w:color="auto" w:sz="6" w:space="0"/>
              <w:bottom w:val="single" w:color="auto" w:sz="6" w:space="0"/>
              <w:right w:val="single" w:color="auto" w:sz="6" w:space="0"/>
            </w:tcBorders>
          </w:tcPr>
          <w:p w14:paraId="0FB5B173">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眼睛防护</w:t>
            </w:r>
          </w:p>
        </w:tc>
        <w:tc>
          <w:tcPr>
            <w:tcW w:w="4323" w:type="pct"/>
            <w:gridSpan w:val="9"/>
            <w:tcBorders>
              <w:top w:val="single" w:color="auto" w:sz="6" w:space="0"/>
              <w:left w:val="single" w:color="auto" w:sz="6" w:space="0"/>
              <w:bottom w:val="single" w:color="auto" w:sz="6" w:space="0"/>
              <w:right w:val="single" w:color="auto" w:sz="6" w:space="0"/>
            </w:tcBorders>
          </w:tcPr>
          <w:p w14:paraId="1278E718">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一般不需要特殊防护，高浓度接触时可戴安全防护眼镜。</w:t>
            </w:r>
          </w:p>
        </w:tc>
      </w:tr>
      <w:tr w14:paraId="49E7C2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76" w:type="pct"/>
            <w:tcBorders>
              <w:top w:val="single" w:color="auto" w:sz="6" w:space="0"/>
              <w:left w:val="single" w:color="auto" w:sz="6" w:space="0"/>
              <w:bottom w:val="single" w:color="auto" w:sz="6" w:space="0"/>
              <w:right w:val="single" w:color="auto" w:sz="6" w:space="0"/>
            </w:tcBorders>
          </w:tcPr>
          <w:p w14:paraId="4D9BD3DD">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身体防护</w:t>
            </w:r>
          </w:p>
        </w:tc>
        <w:tc>
          <w:tcPr>
            <w:tcW w:w="4323" w:type="pct"/>
            <w:gridSpan w:val="9"/>
            <w:tcBorders>
              <w:top w:val="single" w:color="auto" w:sz="6" w:space="0"/>
              <w:left w:val="single" w:color="auto" w:sz="6" w:space="0"/>
              <w:bottom w:val="single" w:color="auto" w:sz="6" w:space="0"/>
              <w:right w:val="single" w:color="auto" w:sz="6" w:space="0"/>
            </w:tcBorders>
          </w:tcPr>
          <w:p w14:paraId="59F10940">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穿防静电工作服。</w:t>
            </w:r>
          </w:p>
        </w:tc>
      </w:tr>
      <w:tr w14:paraId="31BB792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76" w:type="pct"/>
            <w:tcBorders>
              <w:top w:val="single" w:color="auto" w:sz="6" w:space="0"/>
              <w:left w:val="single" w:color="auto" w:sz="6" w:space="0"/>
              <w:bottom w:val="single" w:color="auto" w:sz="6" w:space="0"/>
              <w:right w:val="single" w:color="auto" w:sz="6" w:space="0"/>
            </w:tcBorders>
          </w:tcPr>
          <w:p w14:paraId="1055F6E0">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手防护</w:t>
            </w:r>
          </w:p>
        </w:tc>
        <w:tc>
          <w:tcPr>
            <w:tcW w:w="4323" w:type="pct"/>
            <w:gridSpan w:val="9"/>
            <w:tcBorders>
              <w:top w:val="single" w:color="auto" w:sz="6" w:space="0"/>
              <w:left w:val="single" w:color="auto" w:sz="6" w:space="0"/>
              <w:bottom w:val="single" w:color="auto" w:sz="6" w:space="0"/>
              <w:right w:val="single" w:color="auto" w:sz="6" w:space="0"/>
            </w:tcBorders>
          </w:tcPr>
          <w:p w14:paraId="2E465DAC">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戴一般作业防护手套。</w:t>
            </w:r>
          </w:p>
        </w:tc>
      </w:tr>
      <w:tr w14:paraId="64F0A59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76" w:type="pct"/>
            <w:tcBorders>
              <w:top w:val="single" w:color="auto" w:sz="6" w:space="0"/>
              <w:left w:val="single" w:color="auto" w:sz="6" w:space="0"/>
              <w:bottom w:val="single" w:color="auto" w:sz="6" w:space="0"/>
              <w:right w:val="single" w:color="auto" w:sz="6" w:space="0"/>
            </w:tcBorders>
            <w:vAlign w:val="center"/>
          </w:tcPr>
          <w:p w14:paraId="275F32FD">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其它防护</w:t>
            </w:r>
          </w:p>
        </w:tc>
        <w:tc>
          <w:tcPr>
            <w:tcW w:w="4323" w:type="pct"/>
            <w:gridSpan w:val="9"/>
            <w:tcBorders>
              <w:top w:val="single" w:color="auto" w:sz="6" w:space="0"/>
              <w:left w:val="single" w:color="auto" w:sz="6" w:space="0"/>
              <w:bottom w:val="single" w:color="auto" w:sz="6" w:space="0"/>
              <w:right w:val="single" w:color="auto" w:sz="6" w:space="0"/>
            </w:tcBorders>
          </w:tcPr>
          <w:p w14:paraId="5F8B571E">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工作现场严禁吸烟。避免长期反复接触。进入罐、限制性空间</w:t>
            </w:r>
            <w:r>
              <w:rPr>
                <w:rFonts w:hint="default" w:ascii="Times New Roman" w:hAnsi="Times New Roman" w:cs="Times New Roman"/>
                <w:color w:val="auto"/>
                <w:highlight w:val="none"/>
                <w:lang w:eastAsia="zh-CN"/>
              </w:rPr>
              <w:t>或其他</w:t>
            </w:r>
            <w:r>
              <w:rPr>
                <w:rFonts w:ascii="Times New Roman" w:hAnsi="Times New Roman" w:cs="Times New Roman"/>
                <w:color w:val="auto"/>
                <w:highlight w:val="none"/>
              </w:rPr>
              <w:t>高浓度区作业，须有人监护。</w:t>
            </w:r>
          </w:p>
        </w:tc>
      </w:tr>
      <w:tr w14:paraId="33B0C19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vAlign w:val="center"/>
          </w:tcPr>
          <w:p w14:paraId="04E9770B">
            <w:pPr>
              <w:snapToGrid w:val="0"/>
              <w:spacing w:beforeLines="20" w:afterLines="20"/>
              <w:rPr>
                <w:rFonts w:ascii="Times New Roman" w:hAnsi="Times New Roman" w:cs="Times New Roman"/>
                <w:b/>
                <w:color w:val="auto"/>
                <w:szCs w:val="21"/>
                <w:highlight w:val="none"/>
              </w:rPr>
            </w:pPr>
            <w:r>
              <w:rPr>
                <w:rFonts w:ascii="Times New Roman" w:hAnsi="Times New Roman" w:cs="Times New Roman"/>
                <w:b/>
                <w:color w:val="auto"/>
                <w:szCs w:val="21"/>
                <w:highlight w:val="none"/>
              </w:rPr>
              <w:t>急救措施</w:t>
            </w:r>
          </w:p>
        </w:tc>
      </w:tr>
      <w:tr w14:paraId="3D3C2FE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76" w:type="pct"/>
            <w:tcBorders>
              <w:top w:val="single" w:color="auto" w:sz="6" w:space="0"/>
              <w:left w:val="single" w:color="auto" w:sz="6" w:space="0"/>
              <w:bottom w:val="single" w:color="auto" w:sz="6" w:space="0"/>
              <w:right w:val="single" w:color="auto" w:sz="6" w:space="0"/>
            </w:tcBorders>
            <w:vAlign w:val="center"/>
          </w:tcPr>
          <w:p w14:paraId="106AC6E3">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皮肤接触</w:t>
            </w:r>
          </w:p>
        </w:tc>
        <w:tc>
          <w:tcPr>
            <w:tcW w:w="4323" w:type="pct"/>
            <w:gridSpan w:val="9"/>
            <w:tcBorders>
              <w:top w:val="single" w:color="auto" w:sz="6" w:space="0"/>
              <w:left w:val="single" w:color="auto" w:sz="6" w:space="0"/>
              <w:bottom w:val="single" w:color="auto" w:sz="6" w:space="0"/>
              <w:right w:val="single" w:color="auto" w:sz="6" w:space="0"/>
            </w:tcBorders>
          </w:tcPr>
          <w:p w14:paraId="7BA618BD">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color w:val="auto"/>
                <w:highlight w:val="none"/>
              </w:rPr>
              <w:t>若有冻伤，就医治疗。</w:t>
            </w:r>
          </w:p>
        </w:tc>
      </w:tr>
      <w:tr w14:paraId="7BB3845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76" w:type="pct"/>
            <w:tcBorders>
              <w:top w:val="single" w:color="auto" w:sz="6" w:space="0"/>
              <w:left w:val="single" w:color="auto" w:sz="6" w:space="0"/>
              <w:bottom w:val="single" w:color="auto" w:sz="6" w:space="0"/>
              <w:right w:val="single" w:color="auto" w:sz="6" w:space="0"/>
            </w:tcBorders>
            <w:vAlign w:val="center"/>
          </w:tcPr>
          <w:p w14:paraId="4CA879C2">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眼睛接触</w:t>
            </w:r>
          </w:p>
        </w:tc>
        <w:tc>
          <w:tcPr>
            <w:tcW w:w="4323" w:type="pct"/>
            <w:gridSpan w:val="9"/>
            <w:tcBorders>
              <w:top w:val="single" w:color="auto" w:sz="6" w:space="0"/>
              <w:left w:val="single" w:color="auto" w:sz="6" w:space="0"/>
              <w:bottom w:val="single" w:color="auto" w:sz="6" w:space="0"/>
              <w:right w:val="single" w:color="auto" w:sz="6" w:space="0"/>
            </w:tcBorders>
          </w:tcPr>
          <w:p w14:paraId="3232C2DA">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r>
      <w:tr w14:paraId="31CDA19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76" w:type="pct"/>
            <w:tcBorders>
              <w:top w:val="single" w:color="auto" w:sz="6" w:space="0"/>
              <w:left w:val="single" w:color="auto" w:sz="6" w:space="0"/>
              <w:bottom w:val="single" w:color="auto" w:sz="6" w:space="0"/>
              <w:right w:val="single" w:color="auto" w:sz="6" w:space="0"/>
            </w:tcBorders>
            <w:vAlign w:val="center"/>
          </w:tcPr>
          <w:p w14:paraId="6A2596E9">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吸入</w:t>
            </w:r>
          </w:p>
        </w:tc>
        <w:tc>
          <w:tcPr>
            <w:tcW w:w="4323" w:type="pct"/>
            <w:gridSpan w:val="9"/>
            <w:tcBorders>
              <w:top w:val="single" w:color="auto" w:sz="6" w:space="0"/>
              <w:left w:val="single" w:color="auto" w:sz="6" w:space="0"/>
              <w:bottom w:val="single" w:color="auto" w:sz="6" w:space="0"/>
              <w:right w:val="single" w:color="auto" w:sz="6" w:space="0"/>
            </w:tcBorders>
          </w:tcPr>
          <w:p w14:paraId="2186D3BC">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迅速脱离现场至空气新鲜处。保持呼吸道通畅。如呼吸困难，给输氧。如呼吸停止，立即进行人工呼吸。就医。</w:t>
            </w:r>
          </w:p>
        </w:tc>
      </w:tr>
      <w:tr w14:paraId="0992C63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676" w:type="pct"/>
            <w:tcBorders>
              <w:top w:val="single" w:color="auto" w:sz="6" w:space="0"/>
              <w:left w:val="single" w:color="auto" w:sz="6" w:space="0"/>
              <w:bottom w:val="single" w:color="auto" w:sz="6" w:space="0"/>
              <w:right w:val="single" w:color="auto" w:sz="6" w:space="0"/>
            </w:tcBorders>
            <w:vAlign w:val="center"/>
          </w:tcPr>
          <w:p w14:paraId="5A8FC1C7">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食入</w:t>
            </w:r>
          </w:p>
        </w:tc>
        <w:tc>
          <w:tcPr>
            <w:tcW w:w="4323" w:type="pct"/>
            <w:gridSpan w:val="9"/>
            <w:tcBorders>
              <w:top w:val="single" w:color="auto" w:sz="6" w:space="0"/>
              <w:left w:val="single" w:color="auto" w:sz="6" w:space="0"/>
              <w:bottom w:val="single" w:color="auto" w:sz="6" w:space="0"/>
              <w:right w:val="single" w:color="auto" w:sz="6" w:space="0"/>
            </w:tcBorders>
          </w:tcPr>
          <w:p w14:paraId="4EDA9BD7">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r>
      <w:tr w14:paraId="44F734A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tcPr>
          <w:p w14:paraId="627845C3">
            <w:pPr>
              <w:snapToGrid w:val="0"/>
              <w:spacing w:beforeLines="20" w:afterLines="20"/>
              <w:rPr>
                <w:rFonts w:ascii="Times New Roman" w:hAnsi="Times New Roman" w:cs="Times New Roman"/>
                <w:b/>
                <w:color w:val="auto"/>
                <w:szCs w:val="21"/>
                <w:highlight w:val="none"/>
              </w:rPr>
            </w:pPr>
            <w:r>
              <w:rPr>
                <w:rFonts w:ascii="Times New Roman" w:hAnsi="Times New Roman" w:cs="Times New Roman"/>
                <w:b/>
                <w:color w:val="auto"/>
                <w:szCs w:val="21"/>
                <w:highlight w:val="none"/>
              </w:rPr>
              <w:t>理化性质</w:t>
            </w:r>
          </w:p>
        </w:tc>
      </w:tr>
      <w:tr w14:paraId="3A74F24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039" w:type="pct"/>
            <w:gridSpan w:val="4"/>
            <w:tcBorders>
              <w:top w:val="single" w:color="auto" w:sz="6" w:space="0"/>
              <w:left w:val="single" w:color="auto" w:sz="6" w:space="0"/>
              <w:bottom w:val="single" w:color="auto" w:sz="6" w:space="0"/>
              <w:right w:val="single" w:color="auto" w:sz="6" w:space="0"/>
            </w:tcBorders>
            <w:vAlign w:val="center"/>
          </w:tcPr>
          <w:p w14:paraId="709B15D4">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熔点（</w:t>
            </w:r>
            <w:r>
              <w:rPr>
                <w:rFonts w:hint="default" w:ascii="Times New Roman" w:hAnsi="Times New Roman" w:cs="Times New Roman"/>
                <w:color w:val="auto"/>
                <w:szCs w:val="21"/>
                <w:highlight w:val="none"/>
              </w:rPr>
              <w:t>℃</w:t>
            </w:r>
            <w:r>
              <w:rPr>
                <w:rFonts w:ascii="Times New Roman" w:hAnsi="Times New Roman" w:cs="Times New Roman"/>
                <w:color w:val="auto"/>
                <w:szCs w:val="21"/>
                <w:highlight w:val="none"/>
              </w:rPr>
              <w:t>）</w:t>
            </w:r>
          </w:p>
        </w:tc>
        <w:tc>
          <w:tcPr>
            <w:tcW w:w="1031" w:type="pct"/>
            <w:gridSpan w:val="2"/>
            <w:tcBorders>
              <w:top w:val="single" w:color="auto" w:sz="6" w:space="0"/>
              <w:left w:val="single" w:color="auto" w:sz="6" w:space="0"/>
              <w:bottom w:val="single" w:color="auto" w:sz="6" w:space="0"/>
              <w:right w:val="single" w:color="auto" w:sz="6" w:space="0"/>
            </w:tcBorders>
            <w:vAlign w:val="center"/>
          </w:tcPr>
          <w:p w14:paraId="23BC0A2D">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-182.5</w:t>
            </w:r>
          </w:p>
        </w:tc>
        <w:tc>
          <w:tcPr>
            <w:tcW w:w="1247" w:type="pct"/>
            <w:gridSpan w:val="3"/>
            <w:tcBorders>
              <w:top w:val="single" w:color="auto" w:sz="6" w:space="0"/>
              <w:left w:val="single" w:color="auto" w:sz="6" w:space="0"/>
              <w:bottom w:val="single" w:color="auto" w:sz="6" w:space="0"/>
              <w:right w:val="single" w:color="auto" w:sz="6" w:space="0"/>
            </w:tcBorders>
            <w:vAlign w:val="center"/>
          </w:tcPr>
          <w:p w14:paraId="6957D02F">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沸点（</w:t>
            </w:r>
            <w:r>
              <w:rPr>
                <w:rFonts w:hint="default" w:ascii="Times New Roman" w:hAnsi="Times New Roman" w:cs="Times New Roman"/>
                <w:color w:val="auto"/>
                <w:szCs w:val="21"/>
                <w:highlight w:val="none"/>
              </w:rPr>
              <w:t>℃</w:t>
            </w:r>
            <w:r>
              <w:rPr>
                <w:rFonts w:ascii="Times New Roman" w:hAnsi="Times New Roman" w:cs="Times New Roman"/>
                <w:color w:val="auto"/>
                <w:szCs w:val="21"/>
                <w:highlight w:val="none"/>
              </w:rPr>
              <w:t>）</w:t>
            </w:r>
          </w:p>
        </w:tc>
        <w:tc>
          <w:tcPr>
            <w:tcW w:w="1681" w:type="pct"/>
            <w:tcBorders>
              <w:top w:val="single" w:color="auto" w:sz="6" w:space="0"/>
              <w:left w:val="single" w:color="auto" w:sz="6" w:space="0"/>
              <w:bottom w:val="single" w:color="auto" w:sz="6" w:space="0"/>
              <w:right w:val="single" w:color="auto" w:sz="6" w:space="0"/>
            </w:tcBorders>
            <w:vAlign w:val="center"/>
          </w:tcPr>
          <w:p w14:paraId="2DD3191C">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-161.5</w:t>
            </w:r>
          </w:p>
        </w:tc>
      </w:tr>
      <w:tr w14:paraId="5B456B4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039" w:type="pct"/>
            <w:gridSpan w:val="4"/>
            <w:tcBorders>
              <w:top w:val="single" w:color="auto" w:sz="6" w:space="0"/>
              <w:left w:val="single" w:color="auto" w:sz="6" w:space="0"/>
              <w:bottom w:val="single" w:color="auto" w:sz="6" w:space="0"/>
              <w:right w:val="single" w:color="auto" w:sz="6" w:space="0"/>
            </w:tcBorders>
            <w:vAlign w:val="center"/>
          </w:tcPr>
          <w:p w14:paraId="473A853A">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闪点（</w:t>
            </w:r>
            <w:r>
              <w:rPr>
                <w:rFonts w:hint="default" w:ascii="Times New Roman" w:hAnsi="Times New Roman" w:cs="Times New Roman"/>
                <w:color w:val="auto"/>
                <w:szCs w:val="21"/>
                <w:highlight w:val="none"/>
              </w:rPr>
              <w:t>℃</w:t>
            </w:r>
            <w:r>
              <w:rPr>
                <w:rFonts w:ascii="Times New Roman" w:hAnsi="Times New Roman" w:cs="Times New Roman"/>
                <w:color w:val="auto"/>
                <w:szCs w:val="21"/>
                <w:highlight w:val="none"/>
              </w:rPr>
              <w:t>）</w:t>
            </w:r>
          </w:p>
        </w:tc>
        <w:tc>
          <w:tcPr>
            <w:tcW w:w="1031" w:type="pct"/>
            <w:gridSpan w:val="2"/>
            <w:tcBorders>
              <w:top w:val="single" w:color="auto" w:sz="6" w:space="0"/>
              <w:left w:val="single" w:color="auto" w:sz="6" w:space="0"/>
              <w:bottom w:val="single" w:color="auto" w:sz="6" w:space="0"/>
              <w:right w:val="single" w:color="auto" w:sz="6" w:space="0"/>
            </w:tcBorders>
            <w:vAlign w:val="center"/>
          </w:tcPr>
          <w:p w14:paraId="66C1ADE7">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-188</w:t>
            </w:r>
          </w:p>
        </w:tc>
        <w:tc>
          <w:tcPr>
            <w:tcW w:w="1247" w:type="pct"/>
            <w:gridSpan w:val="3"/>
            <w:tcBorders>
              <w:top w:val="single" w:color="auto" w:sz="6" w:space="0"/>
              <w:left w:val="single" w:color="auto" w:sz="6" w:space="0"/>
              <w:bottom w:val="single" w:color="auto" w:sz="6" w:space="0"/>
              <w:right w:val="single" w:color="auto" w:sz="6" w:space="0"/>
            </w:tcBorders>
            <w:vAlign w:val="center"/>
          </w:tcPr>
          <w:p w14:paraId="1108D461">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引燃温度（</w:t>
            </w:r>
            <w:r>
              <w:rPr>
                <w:rFonts w:hint="default" w:ascii="Times New Roman" w:hAnsi="Times New Roman" w:cs="Times New Roman"/>
                <w:color w:val="auto"/>
                <w:szCs w:val="21"/>
                <w:highlight w:val="none"/>
              </w:rPr>
              <w:t>℃</w:t>
            </w:r>
            <w:r>
              <w:rPr>
                <w:rFonts w:ascii="Times New Roman" w:hAnsi="Times New Roman" w:cs="Times New Roman"/>
                <w:color w:val="auto"/>
                <w:szCs w:val="21"/>
                <w:highlight w:val="none"/>
              </w:rPr>
              <w:t>）</w:t>
            </w:r>
          </w:p>
        </w:tc>
        <w:tc>
          <w:tcPr>
            <w:tcW w:w="1681" w:type="pct"/>
            <w:tcBorders>
              <w:top w:val="single" w:color="auto" w:sz="6" w:space="0"/>
              <w:left w:val="single" w:color="auto" w:sz="6" w:space="0"/>
              <w:bottom w:val="single" w:color="auto" w:sz="6" w:space="0"/>
              <w:right w:val="single" w:color="auto" w:sz="6" w:space="0"/>
            </w:tcBorders>
            <w:vAlign w:val="center"/>
          </w:tcPr>
          <w:p w14:paraId="7D4FFE53">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538</w:t>
            </w:r>
          </w:p>
        </w:tc>
      </w:tr>
      <w:tr w14:paraId="52FBC8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039" w:type="pct"/>
            <w:gridSpan w:val="4"/>
            <w:tcBorders>
              <w:top w:val="single" w:color="auto" w:sz="6" w:space="0"/>
              <w:left w:val="single" w:color="auto" w:sz="6" w:space="0"/>
              <w:bottom w:val="single" w:color="auto" w:sz="6" w:space="0"/>
              <w:right w:val="single" w:color="auto" w:sz="6" w:space="0"/>
            </w:tcBorders>
            <w:vAlign w:val="center"/>
          </w:tcPr>
          <w:p w14:paraId="0D52B6EB">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爆炸上限％（V/V）</w:t>
            </w:r>
          </w:p>
        </w:tc>
        <w:tc>
          <w:tcPr>
            <w:tcW w:w="1031" w:type="pct"/>
            <w:gridSpan w:val="2"/>
            <w:tcBorders>
              <w:top w:val="single" w:color="auto" w:sz="6" w:space="0"/>
              <w:left w:val="single" w:color="auto" w:sz="6" w:space="0"/>
              <w:bottom w:val="single" w:color="auto" w:sz="6" w:space="0"/>
              <w:right w:val="single" w:color="auto" w:sz="6" w:space="0"/>
            </w:tcBorders>
            <w:vAlign w:val="center"/>
          </w:tcPr>
          <w:p w14:paraId="09C75DF1">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15</w:t>
            </w:r>
          </w:p>
        </w:tc>
        <w:tc>
          <w:tcPr>
            <w:tcW w:w="1247" w:type="pct"/>
            <w:gridSpan w:val="3"/>
            <w:tcBorders>
              <w:top w:val="single" w:color="auto" w:sz="6" w:space="0"/>
              <w:left w:val="single" w:color="auto" w:sz="6" w:space="0"/>
              <w:bottom w:val="single" w:color="auto" w:sz="6" w:space="0"/>
              <w:right w:val="single" w:color="auto" w:sz="6" w:space="0"/>
            </w:tcBorders>
            <w:vAlign w:val="center"/>
          </w:tcPr>
          <w:p w14:paraId="34BD0DD9">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爆炸下限％（V/V）</w:t>
            </w:r>
          </w:p>
        </w:tc>
        <w:tc>
          <w:tcPr>
            <w:tcW w:w="1681" w:type="pct"/>
            <w:tcBorders>
              <w:top w:val="single" w:color="auto" w:sz="6" w:space="0"/>
              <w:left w:val="single" w:color="auto" w:sz="6" w:space="0"/>
              <w:bottom w:val="single" w:color="auto" w:sz="6" w:space="0"/>
              <w:right w:val="single" w:color="auto" w:sz="6" w:space="0"/>
            </w:tcBorders>
            <w:vAlign w:val="center"/>
          </w:tcPr>
          <w:p w14:paraId="1DD71D21">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5.3</w:t>
            </w:r>
          </w:p>
        </w:tc>
      </w:tr>
      <w:tr w14:paraId="285FAB2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039" w:type="pct"/>
            <w:gridSpan w:val="4"/>
            <w:tcBorders>
              <w:top w:val="single" w:color="auto" w:sz="6" w:space="0"/>
              <w:left w:val="single" w:color="auto" w:sz="6" w:space="0"/>
              <w:bottom w:val="single" w:color="auto" w:sz="6" w:space="0"/>
              <w:right w:val="single" w:color="auto" w:sz="6" w:space="0"/>
            </w:tcBorders>
            <w:vAlign w:val="center"/>
          </w:tcPr>
          <w:p w14:paraId="5981E415">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溶解性</w:t>
            </w:r>
          </w:p>
        </w:tc>
        <w:tc>
          <w:tcPr>
            <w:tcW w:w="3960" w:type="pct"/>
            <w:gridSpan w:val="6"/>
            <w:tcBorders>
              <w:top w:val="single" w:color="auto" w:sz="6" w:space="0"/>
              <w:left w:val="single" w:color="auto" w:sz="6" w:space="0"/>
              <w:bottom w:val="single" w:color="auto" w:sz="6" w:space="0"/>
              <w:right w:val="single" w:color="auto" w:sz="6" w:space="0"/>
            </w:tcBorders>
            <w:vAlign w:val="center"/>
          </w:tcPr>
          <w:p w14:paraId="40F5231A">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微溶于水，溶于醇、乙醚。</w:t>
            </w:r>
          </w:p>
        </w:tc>
      </w:tr>
      <w:tr w14:paraId="56DCA7A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039" w:type="pct"/>
            <w:gridSpan w:val="4"/>
            <w:tcBorders>
              <w:top w:val="single" w:color="auto" w:sz="6" w:space="0"/>
              <w:left w:val="single" w:color="auto" w:sz="6" w:space="0"/>
              <w:bottom w:val="single" w:color="auto" w:sz="6" w:space="0"/>
              <w:right w:val="single" w:color="auto" w:sz="6" w:space="0"/>
            </w:tcBorders>
            <w:vAlign w:val="center"/>
          </w:tcPr>
          <w:p w14:paraId="59533C96">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相对密度（空气=1）</w:t>
            </w:r>
          </w:p>
        </w:tc>
        <w:tc>
          <w:tcPr>
            <w:tcW w:w="1031" w:type="pct"/>
            <w:gridSpan w:val="2"/>
            <w:tcBorders>
              <w:top w:val="single" w:color="auto" w:sz="6" w:space="0"/>
              <w:left w:val="single" w:color="auto" w:sz="6" w:space="0"/>
              <w:bottom w:val="single" w:color="auto" w:sz="6" w:space="0"/>
              <w:right w:val="single" w:color="auto" w:sz="6" w:space="0"/>
            </w:tcBorders>
            <w:vAlign w:val="center"/>
          </w:tcPr>
          <w:p w14:paraId="29249222">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0.55</w:t>
            </w:r>
          </w:p>
        </w:tc>
        <w:tc>
          <w:tcPr>
            <w:tcW w:w="1247" w:type="pct"/>
            <w:gridSpan w:val="3"/>
            <w:tcBorders>
              <w:top w:val="single" w:color="auto" w:sz="6" w:space="0"/>
              <w:left w:val="single" w:color="auto" w:sz="6" w:space="0"/>
              <w:bottom w:val="single" w:color="auto" w:sz="6" w:space="0"/>
              <w:right w:val="single" w:color="auto" w:sz="6" w:space="0"/>
            </w:tcBorders>
            <w:vAlign w:val="center"/>
          </w:tcPr>
          <w:p w14:paraId="4181DD43">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相对密度（水=1）</w:t>
            </w:r>
          </w:p>
        </w:tc>
        <w:tc>
          <w:tcPr>
            <w:tcW w:w="1681" w:type="pct"/>
            <w:tcBorders>
              <w:top w:val="single" w:color="auto" w:sz="6" w:space="0"/>
              <w:left w:val="single" w:color="auto" w:sz="6" w:space="0"/>
              <w:bottom w:val="single" w:color="auto" w:sz="6" w:space="0"/>
              <w:right w:val="single" w:color="auto" w:sz="6" w:space="0"/>
            </w:tcBorders>
            <w:vAlign w:val="center"/>
          </w:tcPr>
          <w:p w14:paraId="6A2733D1">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0.42(-164</w:t>
            </w:r>
            <w:r>
              <w:rPr>
                <w:rFonts w:hint="default" w:ascii="Times New Roman" w:hAnsi="Times New Roman" w:cs="Times New Roman"/>
                <w:color w:val="auto"/>
                <w:highlight w:val="none"/>
              </w:rPr>
              <w:t>℃</w:t>
            </w:r>
            <w:r>
              <w:rPr>
                <w:rFonts w:ascii="Times New Roman" w:hAnsi="Times New Roman" w:cs="Times New Roman"/>
                <w:color w:val="auto"/>
                <w:highlight w:val="none"/>
              </w:rPr>
              <w:t>)</w:t>
            </w:r>
          </w:p>
        </w:tc>
      </w:tr>
      <w:tr w14:paraId="180BA71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039" w:type="pct"/>
            <w:gridSpan w:val="4"/>
            <w:tcBorders>
              <w:top w:val="single" w:color="auto" w:sz="6" w:space="0"/>
              <w:left w:val="single" w:color="auto" w:sz="6" w:space="0"/>
              <w:bottom w:val="single" w:color="auto" w:sz="6" w:space="0"/>
              <w:right w:val="single" w:color="auto" w:sz="6" w:space="0"/>
            </w:tcBorders>
            <w:vAlign w:val="center"/>
          </w:tcPr>
          <w:p w14:paraId="386CF30D">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燃烧热（kJ/mol）：</w:t>
            </w:r>
          </w:p>
        </w:tc>
        <w:tc>
          <w:tcPr>
            <w:tcW w:w="1031" w:type="pct"/>
            <w:gridSpan w:val="2"/>
            <w:tcBorders>
              <w:top w:val="single" w:color="auto" w:sz="6" w:space="0"/>
              <w:left w:val="single" w:color="auto" w:sz="6" w:space="0"/>
              <w:bottom w:val="single" w:color="auto" w:sz="6" w:space="0"/>
              <w:right w:val="single" w:color="auto" w:sz="6" w:space="0"/>
            </w:tcBorders>
            <w:vAlign w:val="center"/>
          </w:tcPr>
          <w:p w14:paraId="44CC8A98">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889.5</w:t>
            </w:r>
          </w:p>
        </w:tc>
        <w:tc>
          <w:tcPr>
            <w:tcW w:w="1247" w:type="pct"/>
            <w:gridSpan w:val="3"/>
            <w:tcBorders>
              <w:top w:val="single" w:color="auto" w:sz="6" w:space="0"/>
              <w:left w:val="single" w:color="auto" w:sz="6" w:space="0"/>
              <w:bottom w:val="single" w:color="auto" w:sz="6" w:space="0"/>
              <w:right w:val="single" w:color="auto" w:sz="6" w:space="0"/>
            </w:tcBorders>
            <w:vAlign w:val="center"/>
          </w:tcPr>
          <w:p w14:paraId="457116ED">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临界温度（</w:t>
            </w:r>
            <w:r>
              <w:rPr>
                <w:rFonts w:hint="default" w:ascii="Times New Roman" w:hAnsi="Times New Roman" w:cs="Times New Roman"/>
                <w:color w:val="auto"/>
                <w:szCs w:val="21"/>
                <w:highlight w:val="none"/>
              </w:rPr>
              <w:t>℃</w:t>
            </w:r>
            <w:r>
              <w:rPr>
                <w:rFonts w:ascii="Times New Roman" w:hAnsi="Times New Roman" w:cs="Times New Roman"/>
                <w:color w:val="auto"/>
                <w:szCs w:val="21"/>
                <w:highlight w:val="none"/>
              </w:rPr>
              <w:t>）：</w:t>
            </w:r>
          </w:p>
        </w:tc>
        <w:tc>
          <w:tcPr>
            <w:tcW w:w="1681" w:type="pct"/>
            <w:tcBorders>
              <w:top w:val="single" w:color="auto" w:sz="6" w:space="0"/>
              <w:left w:val="single" w:color="auto" w:sz="6" w:space="0"/>
              <w:bottom w:val="single" w:color="auto" w:sz="6" w:space="0"/>
              <w:right w:val="single" w:color="auto" w:sz="6" w:space="0"/>
            </w:tcBorders>
            <w:vAlign w:val="center"/>
          </w:tcPr>
          <w:p w14:paraId="716EE58C">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-82.6</w:t>
            </w:r>
          </w:p>
        </w:tc>
      </w:tr>
      <w:tr w14:paraId="304AC05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039" w:type="pct"/>
            <w:gridSpan w:val="4"/>
            <w:tcBorders>
              <w:top w:val="single" w:color="auto" w:sz="6" w:space="0"/>
              <w:left w:val="single" w:color="auto" w:sz="6" w:space="0"/>
              <w:bottom w:val="single" w:color="auto" w:sz="6" w:space="0"/>
              <w:right w:val="single" w:color="auto" w:sz="6" w:space="0"/>
            </w:tcBorders>
            <w:vAlign w:val="center"/>
          </w:tcPr>
          <w:p w14:paraId="392980B4">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主要用途</w:t>
            </w:r>
          </w:p>
        </w:tc>
        <w:tc>
          <w:tcPr>
            <w:tcW w:w="3960" w:type="pct"/>
            <w:gridSpan w:val="6"/>
            <w:tcBorders>
              <w:top w:val="single" w:color="auto" w:sz="6" w:space="0"/>
              <w:left w:val="single" w:color="auto" w:sz="6" w:space="0"/>
              <w:bottom w:val="single" w:color="auto" w:sz="6" w:space="0"/>
              <w:right w:val="single" w:color="auto" w:sz="6" w:space="0"/>
            </w:tcBorders>
            <w:vAlign w:val="center"/>
          </w:tcPr>
          <w:p w14:paraId="77782004">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用作燃料和用于炭黑、氢、乙炔、甲醛等的制造。</w:t>
            </w:r>
          </w:p>
        </w:tc>
      </w:tr>
      <w:tr w14:paraId="46BC0DB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tcPr>
          <w:p w14:paraId="75ACB5E0">
            <w:pPr>
              <w:snapToGrid w:val="0"/>
              <w:spacing w:beforeLines="20" w:afterLines="20"/>
              <w:rPr>
                <w:rFonts w:ascii="Times New Roman" w:hAnsi="Times New Roman" w:cs="Times New Roman"/>
                <w:b/>
                <w:color w:val="auto"/>
                <w:szCs w:val="21"/>
                <w:highlight w:val="none"/>
              </w:rPr>
            </w:pPr>
            <w:r>
              <w:rPr>
                <w:rFonts w:ascii="Times New Roman" w:hAnsi="Times New Roman" w:cs="Times New Roman"/>
                <w:b/>
                <w:color w:val="auto"/>
                <w:szCs w:val="21"/>
                <w:highlight w:val="none"/>
              </w:rPr>
              <w:t>稳定性和反应活性</w:t>
            </w:r>
          </w:p>
        </w:tc>
      </w:tr>
      <w:tr w14:paraId="675BE44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40" w:type="pct"/>
            <w:gridSpan w:val="3"/>
            <w:tcBorders>
              <w:top w:val="single" w:color="auto" w:sz="6" w:space="0"/>
              <w:left w:val="single" w:color="auto" w:sz="6" w:space="0"/>
              <w:bottom w:val="single" w:color="auto" w:sz="6" w:space="0"/>
              <w:right w:val="single" w:color="auto" w:sz="6" w:space="0"/>
            </w:tcBorders>
          </w:tcPr>
          <w:p w14:paraId="722E6E1A">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稳定性</w:t>
            </w:r>
          </w:p>
        </w:tc>
        <w:tc>
          <w:tcPr>
            <w:tcW w:w="1130" w:type="pct"/>
            <w:gridSpan w:val="3"/>
            <w:tcBorders>
              <w:top w:val="single" w:color="auto" w:sz="6" w:space="0"/>
              <w:left w:val="single" w:color="auto" w:sz="6" w:space="0"/>
              <w:bottom w:val="single" w:color="auto" w:sz="6" w:space="0"/>
              <w:right w:val="single" w:color="auto" w:sz="6" w:space="0"/>
            </w:tcBorders>
          </w:tcPr>
          <w:p w14:paraId="326099BF">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稳定</w:t>
            </w:r>
          </w:p>
        </w:tc>
        <w:tc>
          <w:tcPr>
            <w:tcW w:w="655" w:type="pct"/>
            <w:tcBorders>
              <w:top w:val="single" w:color="auto" w:sz="6" w:space="0"/>
              <w:left w:val="single" w:color="auto" w:sz="6" w:space="0"/>
              <w:bottom w:val="single" w:color="auto" w:sz="6" w:space="0"/>
              <w:right w:val="single" w:color="auto" w:sz="6" w:space="0"/>
            </w:tcBorders>
          </w:tcPr>
          <w:p w14:paraId="49217378">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聚合危害</w:t>
            </w:r>
          </w:p>
        </w:tc>
        <w:tc>
          <w:tcPr>
            <w:tcW w:w="2273" w:type="pct"/>
            <w:gridSpan w:val="3"/>
            <w:tcBorders>
              <w:top w:val="single" w:color="auto" w:sz="6" w:space="0"/>
              <w:left w:val="single" w:color="auto" w:sz="6" w:space="0"/>
              <w:bottom w:val="single" w:color="auto" w:sz="6" w:space="0"/>
              <w:right w:val="single" w:color="auto" w:sz="6" w:space="0"/>
            </w:tcBorders>
          </w:tcPr>
          <w:p w14:paraId="439A2269">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不聚合</w:t>
            </w:r>
          </w:p>
        </w:tc>
      </w:tr>
      <w:tr w14:paraId="7A82EC8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40" w:type="pct"/>
            <w:gridSpan w:val="3"/>
            <w:tcBorders>
              <w:top w:val="single" w:color="auto" w:sz="6" w:space="0"/>
              <w:left w:val="single" w:color="auto" w:sz="6" w:space="0"/>
              <w:bottom w:val="single" w:color="auto" w:sz="6" w:space="0"/>
              <w:right w:val="single" w:color="auto" w:sz="6" w:space="0"/>
            </w:tcBorders>
          </w:tcPr>
          <w:p w14:paraId="6EAE8F71">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禁忌物</w:t>
            </w:r>
          </w:p>
        </w:tc>
        <w:tc>
          <w:tcPr>
            <w:tcW w:w="4059" w:type="pct"/>
            <w:gridSpan w:val="7"/>
            <w:tcBorders>
              <w:top w:val="single" w:color="auto" w:sz="6" w:space="0"/>
              <w:left w:val="single" w:color="auto" w:sz="6" w:space="0"/>
              <w:bottom w:val="single" w:color="auto" w:sz="6" w:space="0"/>
              <w:right w:val="single" w:color="auto" w:sz="6" w:space="0"/>
            </w:tcBorders>
          </w:tcPr>
          <w:p w14:paraId="3DDD0259">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color w:val="auto"/>
                <w:highlight w:val="none"/>
              </w:rPr>
              <w:t>强氧化剂、氟、氯。</w:t>
            </w:r>
          </w:p>
        </w:tc>
      </w:tr>
      <w:tr w14:paraId="5C3FE8C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940" w:type="pct"/>
            <w:gridSpan w:val="3"/>
            <w:tcBorders>
              <w:top w:val="single" w:color="auto" w:sz="6" w:space="0"/>
              <w:left w:val="single" w:color="auto" w:sz="6" w:space="0"/>
              <w:bottom w:val="single" w:color="auto" w:sz="6" w:space="0"/>
              <w:right w:val="single" w:color="auto" w:sz="6" w:space="0"/>
            </w:tcBorders>
          </w:tcPr>
          <w:p w14:paraId="717F93CB">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避免接触的条件</w:t>
            </w:r>
          </w:p>
        </w:tc>
        <w:tc>
          <w:tcPr>
            <w:tcW w:w="4059" w:type="pct"/>
            <w:gridSpan w:val="7"/>
            <w:tcBorders>
              <w:top w:val="single" w:color="auto" w:sz="6" w:space="0"/>
              <w:left w:val="single" w:color="auto" w:sz="6" w:space="0"/>
              <w:bottom w:val="single" w:color="auto" w:sz="6" w:space="0"/>
              <w:right w:val="single" w:color="auto" w:sz="6" w:space="0"/>
            </w:tcBorders>
            <w:vAlign w:val="center"/>
          </w:tcPr>
          <w:p w14:paraId="61E157B1">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r>
      <w:tr w14:paraId="4836975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tcPr>
          <w:p w14:paraId="3CCC7A49">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操作处置注意事项</w:t>
            </w:r>
          </w:p>
        </w:tc>
      </w:tr>
      <w:tr w14:paraId="5CEA8B1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tcPr>
          <w:p w14:paraId="5BB4CDF4">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color w:val="auto"/>
                <w:highlight w:val="none"/>
              </w:rPr>
              <w:t>密闭操作，全面通风。操作人员必须经过专门培训，严格遵守操作规程。远离火种、热源，工作场所严禁吸烟。使用防爆型的通风系统和设备。防止气体泄漏到工作场所空气中。避免与氧化剂接触。在传送过程中，钢瓶和容器必须接地和跨接，防止产生静电。搬运时轻装轻卸，防止钢瓶及附件破损。配备相应品种和数量的消防器材及泄漏应急处理设备。</w:t>
            </w:r>
          </w:p>
        </w:tc>
      </w:tr>
      <w:tr w14:paraId="5BF66B5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tcPr>
          <w:p w14:paraId="189DB16F">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废弃处置方法</w:t>
            </w:r>
          </w:p>
        </w:tc>
      </w:tr>
      <w:tr w14:paraId="12A55F3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tcPr>
          <w:p w14:paraId="2675E008">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color w:val="auto"/>
                <w:highlight w:val="none"/>
              </w:rPr>
              <w:t>处置前应参阅国家和地方有关法规。建议用焚烧法处置。</w:t>
            </w:r>
          </w:p>
        </w:tc>
      </w:tr>
      <w:tr w14:paraId="3FD66D7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tcPr>
          <w:p w14:paraId="3A029157">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泄漏应急处理</w:t>
            </w:r>
          </w:p>
        </w:tc>
      </w:tr>
      <w:tr w14:paraId="742A8D8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tcPr>
          <w:p w14:paraId="0855DB90">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color w:val="auto"/>
                <w:highlight w:val="none"/>
              </w:rPr>
              <w:t>迅速撤离泄漏污染区人员至上风处，并进行隔离，严格限制出入。切断火源。建议应急处理人员戴自给正压式呼吸器，穿防静电工作服。尽可能切断泄漏源。合理通风，加速扩散。喷雾状水稀释、溶解。构筑围堤或挖坑收容产生的大量废水。如有可能，将漏出气用排风机送至空旷地方或装设适当喷头烧掉。也可以将漏气的容器移至空旷处，注意通风。漏气容器要妥善处理，修复、检验后再用。</w:t>
            </w:r>
          </w:p>
        </w:tc>
      </w:tr>
      <w:tr w14:paraId="069FAFC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tcPr>
          <w:p w14:paraId="2C8198EC">
            <w:pPr>
              <w:snapToGrid w:val="0"/>
              <w:spacing w:beforeLines="20" w:afterLines="20"/>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储存注意事项</w:t>
            </w:r>
          </w:p>
        </w:tc>
      </w:tr>
      <w:tr w14:paraId="59F255C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tcPr>
          <w:p w14:paraId="6A04DC91">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储存于阴凉、通风的</w:t>
            </w:r>
            <w:r>
              <w:rPr>
                <w:rFonts w:hint="default" w:ascii="Times New Roman" w:hAnsi="Times New Roman" w:cs="Times New Roman"/>
                <w:color w:val="auto"/>
                <w:highlight w:val="none"/>
                <w:lang w:eastAsia="zh-CN"/>
              </w:rPr>
              <w:t>仓库</w:t>
            </w:r>
            <w:r>
              <w:rPr>
                <w:rFonts w:ascii="Times New Roman" w:hAnsi="Times New Roman" w:cs="Times New Roman"/>
                <w:color w:val="auto"/>
                <w:highlight w:val="none"/>
              </w:rPr>
              <w:t>。远离火种、热源。库温不宜超过30</w:t>
            </w:r>
            <w:r>
              <w:rPr>
                <w:rFonts w:hint="default" w:ascii="Times New Roman" w:hAnsi="Times New Roman" w:cs="Times New Roman"/>
                <w:color w:val="auto"/>
                <w:highlight w:val="none"/>
              </w:rPr>
              <w:t>℃</w:t>
            </w:r>
            <w:r>
              <w:rPr>
                <w:rFonts w:ascii="Times New Roman" w:hAnsi="Times New Roman" w:cs="Times New Roman"/>
                <w:color w:val="auto"/>
                <w:highlight w:val="none"/>
              </w:rPr>
              <w:t>。应与氧化剂等分开存放，切忌混储。采用防爆型照明、通风设施。禁止使用易产生火花的机械设备和工具。储区应备有泄漏应急处理设备。</w:t>
            </w:r>
          </w:p>
        </w:tc>
      </w:tr>
      <w:tr w14:paraId="5324B87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tcPr>
          <w:p w14:paraId="550DEF9F">
            <w:pPr>
              <w:snapToGrid w:val="0"/>
              <w:spacing w:beforeLines="20" w:afterLines="20"/>
              <w:rPr>
                <w:rFonts w:ascii="Times New Roman" w:hAnsi="Times New Roman" w:cs="Times New Roman"/>
                <w:color w:val="auto"/>
                <w:szCs w:val="21"/>
                <w:highlight w:val="none"/>
              </w:rPr>
            </w:pPr>
            <w:r>
              <w:rPr>
                <w:rFonts w:ascii="Times New Roman" w:hAnsi="Times New Roman" w:cs="Times New Roman"/>
                <w:b/>
                <w:bCs/>
                <w:color w:val="auto"/>
                <w:szCs w:val="21"/>
                <w:highlight w:val="none"/>
              </w:rPr>
              <w:t>包装方法</w:t>
            </w:r>
          </w:p>
        </w:tc>
      </w:tr>
      <w:tr w14:paraId="439F86C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tcPr>
          <w:p w14:paraId="2B5E4B07">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钢质气瓶。</w:t>
            </w:r>
          </w:p>
        </w:tc>
      </w:tr>
      <w:tr w14:paraId="30918C7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tcPr>
          <w:p w14:paraId="4AF873B6">
            <w:pPr>
              <w:snapToGrid w:val="0"/>
              <w:spacing w:beforeLines="20" w:afterLines="20"/>
              <w:rPr>
                <w:rFonts w:ascii="Times New Roman" w:hAnsi="Times New Roman" w:cs="Times New Roman"/>
                <w:color w:val="auto"/>
                <w:szCs w:val="21"/>
                <w:highlight w:val="none"/>
              </w:rPr>
            </w:pPr>
            <w:r>
              <w:rPr>
                <w:rFonts w:ascii="Times New Roman" w:hAnsi="Times New Roman" w:cs="Times New Roman"/>
                <w:b/>
                <w:bCs/>
                <w:color w:val="auto"/>
                <w:szCs w:val="21"/>
                <w:highlight w:val="none"/>
              </w:rPr>
              <w:t>运输注意事项</w:t>
            </w:r>
          </w:p>
        </w:tc>
      </w:tr>
      <w:tr w14:paraId="45036FA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5000" w:type="pct"/>
            <w:gridSpan w:val="10"/>
            <w:tcBorders>
              <w:top w:val="single" w:color="auto" w:sz="6" w:space="0"/>
              <w:left w:val="single" w:color="auto" w:sz="6" w:space="0"/>
              <w:bottom w:val="single" w:color="auto" w:sz="6" w:space="0"/>
              <w:right w:val="single" w:color="auto" w:sz="6" w:space="0"/>
            </w:tcBorders>
          </w:tcPr>
          <w:p w14:paraId="0269B35C">
            <w:pPr>
              <w:snapToGrid w:val="0"/>
              <w:spacing w:beforeLines="20" w:afterLines="20"/>
              <w:rPr>
                <w:rFonts w:ascii="Times New Roman" w:hAnsi="Times New Roman" w:cs="Times New Roman"/>
                <w:color w:val="auto"/>
                <w:szCs w:val="21"/>
                <w:highlight w:val="none"/>
              </w:rPr>
            </w:pPr>
            <w:r>
              <w:rPr>
                <w:rFonts w:ascii="Times New Roman" w:hAnsi="Times New Roman" w:cs="Times New Roman"/>
                <w:color w:val="auto"/>
                <w:highlight w:val="none"/>
              </w:rPr>
              <w:t>采用钢瓶运输时必须戴好钢瓶上的安全帽和防震圈。钢瓶一般平放，并应将瓶口朝同一方向，不可交叉；高度不得超过车辆的防护栏板，并用三角木垫卡牢，防止滚动。运输时运输车辆应配备相应品种和数量的消防器材。装运该物品的车辆排气管必须配备阻火装置，禁止使用易产生火花的机械设备和工具装卸。严禁与氧化剂等混装混运。夏季应早晚运输，防止日光</w:t>
            </w:r>
            <w:r>
              <w:rPr>
                <w:rFonts w:hint="default" w:ascii="Times New Roman" w:hAnsi="Times New Roman" w:cs="Times New Roman"/>
                <w:color w:val="auto"/>
                <w:highlight w:val="none"/>
                <w:lang w:eastAsia="zh-CN"/>
              </w:rPr>
              <w:t>暴晒</w:t>
            </w:r>
            <w:r>
              <w:rPr>
                <w:rFonts w:ascii="Times New Roman" w:hAnsi="Times New Roman" w:cs="Times New Roman"/>
                <w:color w:val="auto"/>
                <w:highlight w:val="none"/>
              </w:rPr>
              <w:t>。中途停留时应远离火种、热源。公路运输时要按规定路线行驶，勿在居民区和人口稠密区停留。铁路运输时要禁止溜放。</w:t>
            </w:r>
          </w:p>
        </w:tc>
      </w:tr>
    </w:tbl>
    <w:p w14:paraId="4C86E08C">
      <w:pPr>
        <w:spacing w:line="360" w:lineRule="auto"/>
        <w:jc w:val="center"/>
        <w:rPr>
          <w:rFonts w:hint="default" w:ascii="Times New Roman" w:hAnsi="Times New Roman" w:eastAsia="宋体" w:cs="Times New Roman"/>
          <w:b/>
          <w:bCs/>
          <w:color w:val="auto"/>
          <w:sz w:val="24"/>
          <w:szCs w:val="22"/>
          <w:highlight w:val="none"/>
        </w:rPr>
      </w:pPr>
      <w:r>
        <w:rPr>
          <w:rFonts w:hint="default" w:ascii="Times New Roman" w:hAnsi="Times New Roman" w:eastAsia="宋体" w:cs="Times New Roman"/>
          <w:b/>
          <w:bCs/>
          <w:color w:val="auto"/>
          <w:sz w:val="24"/>
          <w:szCs w:val="22"/>
          <w:highlight w:val="none"/>
        </w:rPr>
        <w:t xml:space="preserve">表 </w:t>
      </w:r>
      <w:r>
        <w:rPr>
          <w:rFonts w:hint="default" w:ascii="Times New Roman" w:hAnsi="Times New Roman" w:cs="Times New Roman"/>
          <w:b/>
          <w:bCs/>
          <w:color w:val="auto"/>
          <w:sz w:val="24"/>
          <w:szCs w:val="22"/>
          <w:highlight w:val="none"/>
          <w:lang w:eastAsia="zh-CN"/>
        </w:rPr>
        <w:t>2.1-</w:t>
      </w:r>
      <w:r>
        <w:rPr>
          <w:rFonts w:hint="default" w:ascii="Times New Roman" w:hAnsi="Times New Roman" w:eastAsia="宋体" w:cs="Times New Roman"/>
          <w:b/>
          <w:bCs/>
          <w:color w:val="auto"/>
          <w:sz w:val="24"/>
          <w:szCs w:val="22"/>
          <w:highlight w:val="none"/>
          <w:lang w:val="en-US" w:eastAsia="zh-CN"/>
        </w:rPr>
        <w:t>3</w:t>
      </w:r>
      <w:r>
        <w:rPr>
          <w:rFonts w:hint="default" w:ascii="Times New Roman" w:hAnsi="Times New Roman" w:eastAsia="宋体" w:cs="Times New Roman"/>
          <w:b/>
          <w:bCs/>
          <w:color w:val="auto"/>
          <w:sz w:val="24"/>
          <w:szCs w:val="22"/>
          <w:highlight w:val="none"/>
        </w:rPr>
        <w:t xml:space="preserve"> </w:t>
      </w:r>
      <w:r>
        <w:rPr>
          <w:rFonts w:hint="default" w:ascii="Times New Roman" w:hAnsi="Times New Roman" w:cs="Times New Roman"/>
          <w:b/>
          <w:bCs/>
          <w:color w:val="auto"/>
          <w:sz w:val="24"/>
          <w:szCs w:val="22"/>
          <w:highlight w:val="none"/>
          <w:lang w:eastAsia="zh-CN"/>
        </w:rPr>
        <w:t>硫酸铵</w:t>
      </w:r>
      <w:r>
        <w:rPr>
          <w:rFonts w:hint="default" w:ascii="Times New Roman" w:hAnsi="Times New Roman" w:eastAsia="宋体" w:cs="Times New Roman"/>
          <w:b/>
          <w:bCs/>
          <w:color w:val="auto"/>
          <w:sz w:val="24"/>
          <w:szCs w:val="22"/>
          <w:highlight w:val="none"/>
        </w:rPr>
        <w:t>理化性质表</w:t>
      </w:r>
    </w:p>
    <w:tbl>
      <w:tblPr>
        <w:tblStyle w:val="81"/>
        <w:tblW w:w="9191"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010"/>
        <w:gridCol w:w="8181"/>
      </w:tblGrid>
      <w:tr w14:paraId="5861317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010" w:type="dxa"/>
            <w:tcBorders>
              <w:top w:val="single" w:color="auto" w:sz="6" w:space="0"/>
              <w:left w:val="single" w:color="auto" w:sz="6" w:space="0"/>
              <w:bottom w:val="single" w:color="auto" w:sz="6" w:space="0"/>
              <w:right w:val="single" w:color="auto" w:sz="6" w:space="0"/>
            </w:tcBorders>
            <w:vAlign w:val="center"/>
          </w:tcPr>
          <w:p w14:paraId="5A0A7FE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物质名称</w:t>
            </w:r>
          </w:p>
        </w:tc>
        <w:tc>
          <w:tcPr>
            <w:tcW w:w="8181" w:type="dxa"/>
            <w:tcBorders>
              <w:top w:val="single" w:color="auto" w:sz="6" w:space="0"/>
              <w:left w:val="single" w:color="auto" w:sz="6" w:space="0"/>
              <w:bottom w:val="single" w:color="auto" w:sz="6" w:space="0"/>
              <w:right w:val="single" w:color="auto" w:sz="6" w:space="0"/>
            </w:tcBorders>
            <w:vAlign w:val="center"/>
          </w:tcPr>
          <w:p w14:paraId="61DD213D">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化学品中文名称</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硫酸铵</w:t>
            </w:r>
            <w:r>
              <w:rPr>
                <w:rFonts w:hint="default" w:ascii="Times New Roman" w:hAnsi="Times New Roman"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化学品英文名称</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Ammonium sulfate</w:t>
            </w:r>
          </w:p>
          <w:p w14:paraId="2504C465">
            <w:pPr>
              <w:keepNext w:val="0"/>
              <w:keepLines w:val="0"/>
              <w:pageBreakBefore w:val="0"/>
              <w:widowControl w:val="0"/>
              <w:kinsoku/>
              <w:wordWrap/>
              <w:overflowPunct/>
              <w:topLinePunct w:val="0"/>
              <w:autoSpaceDE/>
              <w:autoSpaceDN/>
              <w:bidi w:val="0"/>
              <w:adjustRightInd w:val="0"/>
              <w:snapToGrid w:val="0"/>
              <w:jc w:val="left"/>
              <w:textAlignment w:val="auto"/>
              <w:rPr>
                <w:rFonts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CAS No.</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7783-20-2</w:t>
            </w:r>
            <w:r>
              <w:rPr>
                <w:rFonts w:hint="default" w:ascii="Times New Roman" w:hAnsi="Times New Roman"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分子式</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4</w:t>
            </w:r>
            <w:r>
              <w:rPr>
                <w:rFonts w:hint="eastAsia" w:cs="Times New Roman"/>
                <w:color w:val="auto"/>
                <w:sz w:val="21"/>
                <w:szCs w:val="21"/>
                <w:highlight w:val="none"/>
                <w:vertAlign w:val="subscript"/>
                <w:lang w:eastAsia="zh-CN"/>
              </w:rPr>
              <w:t>）</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4</w:t>
            </w:r>
            <w:r>
              <w:rPr>
                <w:rFonts w:hint="default" w:ascii="Times New Roman" w:hAnsi="Times New Roman"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分子量</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132.14</w:t>
            </w:r>
          </w:p>
        </w:tc>
      </w:tr>
      <w:tr w14:paraId="60A7E02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010" w:type="dxa"/>
            <w:tcBorders>
              <w:top w:val="single" w:color="auto" w:sz="6" w:space="0"/>
              <w:left w:val="single" w:color="auto" w:sz="6" w:space="0"/>
              <w:bottom w:val="single" w:color="auto" w:sz="6" w:space="0"/>
              <w:right w:val="single" w:color="auto" w:sz="6" w:space="0"/>
            </w:tcBorders>
            <w:vAlign w:val="center"/>
          </w:tcPr>
          <w:p w14:paraId="27AB19F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理化性质</w:t>
            </w:r>
          </w:p>
        </w:tc>
        <w:tc>
          <w:tcPr>
            <w:tcW w:w="8181" w:type="dxa"/>
            <w:tcBorders>
              <w:top w:val="single" w:color="auto" w:sz="6" w:space="0"/>
              <w:left w:val="single" w:color="auto" w:sz="6" w:space="0"/>
              <w:bottom w:val="single" w:color="auto" w:sz="6" w:space="0"/>
              <w:right w:val="single" w:color="auto" w:sz="6" w:space="0"/>
            </w:tcBorders>
            <w:vAlign w:val="center"/>
          </w:tcPr>
          <w:p w14:paraId="227962AF">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外观与性状</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纯品为无色斜方晶体，工业品为</w:t>
            </w:r>
            <w:r>
              <w:rPr>
                <w:rFonts w:hint="default" w:ascii="Times New Roman" w:hAnsi="Times New Roman" w:cs="Times New Roman"/>
                <w:color w:val="auto"/>
                <w:sz w:val="21"/>
                <w:szCs w:val="21"/>
                <w:highlight w:val="none"/>
                <w:lang w:eastAsia="zh-CN"/>
              </w:rPr>
              <w:t>白色</w:t>
            </w:r>
            <w:r>
              <w:rPr>
                <w:rFonts w:hint="default" w:ascii="Times New Roman" w:hAnsi="Times New Roman" w:cs="Times New Roman"/>
                <w:color w:val="auto"/>
                <w:sz w:val="21"/>
                <w:szCs w:val="21"/>
                <w:highlight w:val="none"/>
              </w:rPr>
              <w:t>至淡黄色结晶体。</w:t>
            </w:r>
          </w:p>
          <w:p w14:paraId="25165800">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熔点</w:t>
            </w: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140</w:t>
            </w:r>
            <w:r>
              <w:rPr>
                <w:rFonts w:hint="default" w:ascii="Times New Roman" w:hAnsi="Times New Roman"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沸点</w:t>
            </w: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无资料</w:t>
            </w:r>
          </w:p>
          <w:p w14:paraId="48C903CA">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相对密度(水=1)</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1.77</w:t>
            </w:r>
            <w:r>
              <w:rPr>
                <w:rFonts w:hint="default" w:ascii="Times New Roman" w:hAnsi="Times New Roman"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相对蒸气密度(空气=1)</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无资料</w:t>
            </w:r>
          </w:p>
          <w:p w14:paraId="3E076C16">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饱和蒸气压</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kPa</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无资料</w:t>
            </w:r>
            <w:r>
              <w:rPr>
                <w:rFonts w:hint="default" w:ascii="Times New Roman" w:hAnsi="Times New Roman"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临界温度</w:t>
            </w: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无资料</w:t>
            </w:r>
          </w:p>
          <w:p w14:paraId="0A18D1AE">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临界压力</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MPa</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无资料</w:t>
            </w:r>
            <w:r>
              <w:rPr>
                <w:rFonts w:hint="default" w:ascii="Times New Roman" w:hAnsi="Times New Roman"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闪点</w:t>
            </w: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无意义</w:t>
            </w:r>
          </w:p>
          <w:p w14:paraId="5784AB8D">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引燃温度</w:t>
            </w: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无意义</w:t>
            </w:r>
            <w:r>
              <w:rPr>
                <w:rFonts w:hint="default" w:ascii="Times New Roman" w:hAnsi="Times New Roman"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爆炸下限</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无意义</w:t>
            </w:r>
          </w:p>
          <w:p w14:paraId="3BB27F2E">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爆炸.上限</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无意义</w:t>
            </w:r>
          </w:p>
          <w:p w14:paraId="762D11F7">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溶解性</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水中溶解度0</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时70.6g，100</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时 103.8g</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不溶于乙醇和丙酮。</w:t>
            </w:r>
          </w:p>
          <w:p w14:paraId="31BE6CDF">
            <w:pPr>
              <w:keepNext w:val="0"/>
              <w:keepLines w:val="0"/>
              <w:pageBreakBefore w:val="0"/>
              <w:widowControl w:val="0"/>
              <w:kinsoku/>
              <w:wordWrap/>
              <w:overflowPunct/>
              <w:topLinePunct w:val="0"/>
              <w:autoSpaceDE/>
              <w:autoSpaceDN/>
              <w:bidi w:val="0"/>
              <w:adjustRightInd w:val="0"/>
              <w:snapToGrid w:val="0"/>
              <w:jc w:val="both"/>
              <w:textAlignment w:val="auto"/>
              <w:rPr>
                <w:rFonts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用途</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主要用作肥料，适用于各种土壤和作物。还可用于纺织、皮革、医药等方面。</w:t>
            </w:r>
          </w:p>
        </w:tc>
      </w:tr>
      <w:tr w14:paraId="0CCA69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010" w:type="dxa"/>
            <w:tcBorders>
              <w:top w:val="single" w:color="auto" w:sz="6" w:space="0"/>
              <w:left w:val="single" w:color="auto" w:sz="6" w:space="0"/>
              <w:bottom w:val="single" w:color="auto" w:sz="6" w:space="0"/>
              <w:right w:val="single" w:color="auto" w:sz="6" w:space="0"/>
            </w:tcBorders>
            <w:vAlign w:val="center"/>
          </w:tcPr>
          <w:p w14:paraId="0065989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稳定性和反应活性</w:t>
            </w:r>
          </w:p>
        </w:tc>
        <w:tc>
          <w:tcPr>
            <w:tcW w:w="8181" w:type="dxa"/>
            <w:tcBorders>
              <w:top w:val="single" w:color="auto" w:sz="6" w:space="0"/>
              <w:left w:val="single" w:color="auto" w:sz="6" w:space="0"/>
              <w:bottom w:val="single" w:color="auto" w:sz="6" w:space="0"/>
              <w:right w:val="single" w:color="auto" w:sz="6" w:space="0"/>
            </w:tcBorders>
            <w:vAlign w:val="center"/>
          </w:tcPr>
          <w:p w14:paraId="479A3812">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稳定性</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/，聚合危害</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1</w:t>
            </w:r>
          </w:p>
          <w:p w14:paraId="2709E013">
            <w:pPr>
              <w:keepNext w:val="0"/>
              <w:keepLines w:val="0"/>
              <w:pageBreakBefore w:val="0"/>
              <w:widowControl w:val="0"/>
              <w:kinsoku/>
              <w:wordWrap/>
              <w:overflowPunct/>
              <w:topLinePunct w:val="0"/>
              <w:autoSpaceDE/>
              <w:autoSpaceDN/>
              <w:bidi w:val="0"/>
              <w:adjustRightInd w:val="0"/>
              <w:snapToGrid w:val="0"/>
              <w:jc w:val="both"/>
              <w:textAlignment w:val="auto"/>
              <w:rPr>
                <w:rFonts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禁忌物</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强酸、强碱。</w:t>
            </w:r>
          </w:p>
        </w:tc>
      </w:tr>
      <w:tr w14:paraId="5BD769E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010" w:type="dxa"/>
            <w:tcBorders>
              <w:top w:val="single" w:color="auto" w:sz="6" w:space="0"/>
              <w:left w:val="single" w:color="auto" w:sz="6" w:space="0"/>
              <w:bottom w:val="single" w:color="auto" w:sz="6" w:space="0"/>
              <w:right w:val="single" w:color="auto" w:sz="6" w:space="0"/>
            </w:tcBorders>
            <w:vAlign w:val="center"/>
          </w:tcPr>
          <w:p w14:paraId="3CF4B1F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操作处置与储存</w:t>
            </w:r>
          </w:p>
        </w:tc>
        <w:tc>
          <w:tcPr>
            <w:tcW w:w="8181" w:type="dxa"/>
            <w:tcBorders>
              <w:top w:val="single" w:color="auto" w:sz="6" w:space="0"/>
              <w:left w:val="single" w:color="auto" w:sz="6" w:space="0"/>
              <w:bottom w:val="single" w:color="auto" w:sz="6" w:space="0"/>
              <w:right w:val="single" w:color="auto" w:sz="6" w:space="0"/>
            </w:tcBorders>
            <w:vAlign w:val="center"/>
          </w:tcPr>
          <w:p w14:paraId="0BED5C08">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密闭操作，局部排风。操作人员必须经过专门培训，严格遵守操作规程。建议操作人员佩戴自吸过滤式防尘口罩，戴化学安全防护眼镜，穿防毒物渗透工作服，戴橡胶手套。避免产生粉尘。避免与酸类、碱类接触。搬运时要轻装轻卸，防止包装及容器损坏。配备泄漏应急处理设备。倒空的容器可能残留有害物。</w:t>
            </w:r>
          </w:p>
          <w:p w14:paraId="69122DEF">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储存于阴凉、通风的</w:t>
            </w:r>
            <w:r>
              <w:rPr>
                <w:rFonts w:hint="default" w:ascii="Times New Roman" w:hAnsi="Times New Roman" w:cs="Times New Roman"/>
                <w:color w:val="auto"/>
                <w:sz w:val="21"/>
                <w:szCs w:val="21"/>
                <w:highlight w:val="none"/>
                <w:lang w:eastAsia="zh-CN"/>
              </w:rPr>
              <w:t>仓库</w:t>
            </w:r>
            <w:r>
              <w:rPr>
                <w:rFonts w:hint="default" w:ascii="Times New Roman" w:hAnsi="Times New Roman" w:cs="Times New Roman"/>
                <w:color w:val="auto"/>
                <w:sz w:val="21"/>
                <w:szCs w:val="21"/>
                <w:highlight w:val="none"/>
              </w:rPr>
              <w:t>。远离火种、热源。应与酸类、碱类分开存放，切忌混储。</w:t>
            </w:r>
          </w:p>
          <w:p w14:paraId="5EE79C4D">
            <w:pPr>
              <w:keepNext w:val="0"/>
              <w:keepLines w:val="0"/>
              <w:pageBreakBefore w:val="0"/>
              <w:widowControl w:val="0"/>
              <w:kinsoku/>
              <w:wordWrap/>
              <w:overflowPunct/>
              <w:topLinePunct w:val="0"/>
              <w:autoSpaceDE/>
              <w:autoSpaceDN/>
              <w:bidi w:val="0"/>
              <w:adjustRightInd w:val="0"/>
              <w:snapToGrid w:val="0"/>
              <w:jc w:val="both"/>
              <w:textAlignment w:val="auto"/>
              <w:rPr>
                <w:rFonts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储区应备有合适的材料收容泄漏物。</w:t>
            </w:r>
          </w:p>
        </w:tc>
      </w:tr>
      <w:tr w14:paraId="7EE109B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010" w:type="dxa"/>
            <w:tcBorders>
              <w:top w:val="single" w:color="auto" w:sz="6" w:space="0"/>
              <w:left w:val="single" w:color="auto" w:sz="6" w:space="0"/>
              <w:bottom w:val="single" w:color="auto" w:sz="6" w:space="0"/>
              <w:right w:val="single" w:color="auto" w:sz="6" w:space="0"/>
            </w:tcBorders>
            <w:vAlign w:val="center"/>
          </w:tcPr>
          <w:p w14:paraId="6687CDB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毒理性及危险性概述</w:t>
            </w:r>
          </w:p>
        </w:tc>
        <w:tc>
          <w:tcPr>
            <w:tcW w:w="8181" w:type="dxa"/>
            <w:tcBorders>
              <w:top w:val="single" w:color="auto" w:sz="6" w:space="0"/>
              <w:left w:val="single" w:color="auto" w:sz="6" w:space="0"/>
              <w:bottom w:val="single" w:color="auto" w:sz="6" w:space="0"/>
              <w:right w:val="single" w:color="auto" w:sz="6" w:space="0"/>
            </w:tcBorders>
            <w:vAlign w:val="center"/>
          </w:tcPr>
          <w:p w14:paraId="57284755">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LDso</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无资料，LCso</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无资料</w:t>
            </w:r>
          </w:p>
          <w:p w14:paraId="1447A955">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危险性特性</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本品不燃，具刺激性。</w:t>
            </w:r>
          </w:p>
          <w:p w14:paraId="74F89D25">
            <w:pPr>
              <w:keepNext w:val="0"/>
              <w:keepLines w:val="0"/>
              <w:pageBreakBefore w:val="0"/>
              <w:widowControl w:val="0"/>
              <w:kinsoku/>
              <w:wordWrap/>
              <w:overflowPunct/>
              <w:topLinePunct w:val="0"/>
              <w:autoSpaceDE/>
              <w:autoSpaceDN/>
              <w:bidi w:val="0"/>
              <w:adjustRightInd w:val="0"/>
              <w:snapToGrid w:val="0"/>
              <w:jc w:val="both"/>
              <w:textAlignment w:val="auto"/>
              <w:rPr>
                <w:rFonts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健康危害</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对眼睛、粘膜和皮肤有刺激作用。</w:t>
            </w:r>
          </w:p>
        </w:tc>
      </w:tr>
      <w:tr w14:paraId="7122205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010" w:type="dxa"/>
            <w:tcBorders>
              <w:top w:val="single" w:color="auto" w:sz="6" w:space="0"/>
              <w:left w:val="single" w:color="auto" w:sz="6" w:space="0"/>
              <w:bottom w:val="single" w:color="auto" w:sz="6" w:space="0"/>
              <w:right w:val="single" w:color="auto" w:sz="6" w:space="0"/>
            </w:tcBorders>
            <w:vAlign w:val="center"/>
          </w:tcPr>
          <w:p w14:paraId="09B99E7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泄漏应急处理</w:t>
            </w:r>
          </w:p>
        </w:tc>
        <w:tc>
          <w:tcPr>
            <w:tcW w:w="8181" w:type="dxa"/>
            <w:tcBorders>
              <w:top w:val="single" w:color="auto" w:sz="6" w:space="0"/>
              <w:left w:val="single" w:color="auto" w:sz="6" w:space="0"/>
              <w:bottom w:val="single" w:color="auto" w:sz="6" w:space="0"/>
              <w:right w:val="single" w:color="auto" w:sz="6" w:space="0"/>
            </w:tcBorders>
            <w:vAlign w:val="center"/>
          </w:tcPr>
          <w:p w14:paraId="60D55914">
            <w:pPr>
              <w:keepNext w:val="0"/>
              <w:keepLines w:val="0"/>
              <w:pageBreakBefore w:val="0"/>
              <w:widowControl w:val="0"/>
              <w:kinsoku/>
              <w:wordWrap/>
              <w:overflowPunct/>
              <w:topLinePunct w:val="0"/>
              <w:autoSpaceDE/>
              <w:autoSpaceDN/>
              <w:bidi w:val="0"/>
              <w:adjustRightInd w:val="0"/>
              <w:snapToGrid w:val="0"/>
              <w:jc w:val="both"/>
              <w:textAlignment w:val="auto"/>
              <w:rPr>
                <w:rFonts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隔离泄漏污染区，限制出入。建议应急处理人员戴防尘面具</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全面罩</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，穿防毒服。用洁净的铲子收集于干燥、洁净、有盖的容器中，转移至安全场所。若大量泄漏，收集回收或运至废物处理场所处置。</w:t>
            </w:r>
          </w:p>
        </w:tc>
      </w:tr>
      <w:tr w14:paraId="07F7E62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010" w:type="dxa"/>
            <w:tcBorders>
              <w:top w:val="single" w:color="auto" w:sz="6" w:space="0"/>
              <w:left w:val="single" w:color="auto" w:sz="6" w:space="0"/>
              <w:bottom w:val="single" w:color="auto" w:sz="6" w:space="0"/>
              <w:right w:val="single" w:color="auto" w:sz="6" w:space="0"/>
            </w:tcBorders>
            <w:vAlign w:val="center"/>
          </w:tcPr>
          <w:p w14:paraId="7E941E1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急救措施</w:t>
            </w:r>
          </w:p>
        </w:tc>
        <w:tc>
          <w:tcPr>
            <w:tcW w:w="8181" w:type="dxa"/>
            <w:tcBorders>
              <w:top w:val="single" w:color="auto" w:sz="6" w:space="0"/>
              <w:left w:val="single" w:color="auto" w:sz="6" w:space="0"/>
              <w:bottom w:val="single" w:color="auto" w:sz="6" w:space="0"/>
              <w:right w:val="single" w:color="auto" w:sz="6" w:space="0"/>
            </w:tcBorders>
            <w:vAlign w:val="center"/>
          </w:tcPr>
          <w:p w14:paraId="1B7EF407">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皮肤接触</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脱去污染的衣着，用大量流动清水冲洗。</w:t>
            </w:r>
          </w:p>
          <w:p w14:paraId="16A40165">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眼睛接触</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提起眼睑，用流动清水或生理盐水冲洗。就医。</w:t>
            </w:r>
          </w:p>
          <w:p w14:paraId="64E4EEBE">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吸入</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脱离现场至空气新鲜处。如呼吸困难，给输氧。就医。</w:t>
            </w:r>
          </w:p>
          <w:p w14:paraId="121C75EE">
            <w:pPr>
              <w:keepNext w:val="0"/>
              <w:keepLines w:val="0"/>
              <w:pageBreakBefore w:val="0"/>
              <w:widowControl w:val="0"/>
              <w:kinsoku/>
              <w:wordWrap/>
              <w:overflowPunct/>
              <w:topLinePunct w:val="0"/>
              <w:autoSpaceDE/>
              <w:autoSpaceDN/>
              <w:bidi w:val="0"/>
              <w:adjustRightInd w:val="0"/>
              <w:snapToGrid w:val="0"/>
              <w:jc w:val="both"/>
              <w:textAlignment w:val="auto"/>
              <w:rPr>
                <w:rFonts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食入</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饮足量温水，催吐。就医。</w:t>
            </w:r>
          </w:p>
        </w:tc>
      </w:tr>
      <w:tr w14:paraId="1B25C6C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010" w:type="dxa"/>
            <w:tcBorders>
              <w:top w:val="single" w:color="auto" w:sz="6" w:space="0"/>
              <w:left w:val="single" w:color="auto" w:sz="6" w:space="0"/>
              <w:bottom w:val="single" w:color="auto" w:sz="6" w:space="0"/>
              <w:right w:val="single" w:color="auto" w:sz="6" w:space="0"/>
            </w:tcBorders>
            <w:vAlign w:val="center"/>
          </w:tcPr>
          <w:p w14:paraId="30FB7D6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消防措施</w:t>
            </w:r>
          </w:p>
        </w:tc>
        <w:tc>
          <w:tcPr>
            <w:tcW w:w="8181" w:type="dxa"/>
            <w:tcBorders>
              <w:top w:val="single" w:color="auto" w:sz="6" w:space="0"/>
              <w:left w:val="single" w:color="auto" w:sz="6" w:space="0"/>
              <w:bottom w:val="single" w:color="auto" w:sz="6" w:space="0"/>
              <w:right w:val="single" w:color="auto" w:sz="6" w:space="0"/>
            </w:tcBorders>
            <w:vAlign w:val="center"/>
          </w:tcPr>
          <w:p w14:paraId="1FFD8FC7">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危险特性</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受热分解产生有毒的烟气。</w:t>
            </w:r>
          </w:p>
          <w:p w14:paraId="553997B0">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有害燃烧产物</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氮氧化物、硫化物。</w:t>
            </w:r>
          </w:p>
          <w:p w14:paraId="5A92C17D">
            <w:pPr>
              <w:keepNext w:val="0"/>
              <w:keepLines w:val="0"/>
              <w:pageBreakBefore w:val="0"/>
              <w:widowControl w:val="0"/>
              <w:kinsoku/>
              <w:wordWrap/>
              <w:overflowPunct/>
              <w:topLinePunct w:val="0"/>
              <w:autoSpaceDE/>
              <w:autoSpaceDN/>
              <w:bidi w:val="0"/>
              <w:adjustRightInd w:val="0"/>
              <w:snapToGrid w:val="0"/>
              <w:jc w:val="both"/>
              <w:textAlignment w:val="auto"/>
              <w:rPr>
                <w:rFonts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灭火方法</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消防人员必须穿全身防火防毒服，在.上风向灭火。灭火时尽可能将容器从火场移至空旷处。</w:t>
            </w:r>
          </w:p>
        </w:tc>
      </w:tr>
      <w:tr w14:paraId="6EF05F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010" w:type="dxa"/>
            <w:tcBorders>
              <w:top w:val="single" w:color="auto" w:sz="6" w:space="0"/>
              <w:left w:val="single" w:color="auto" w:sz="6" w:space="0"/>
              <w:bottom w:val="single" w:color="auto" w:sz="6" w:space="0"/>
              <w:right w:val="single" w:color="auto" w:sz="6" w:space="0"/>
            </w:tcBorders>
            <w:vAlign w:val="center"/>
          </w:tcPr>
          <w:p w14:paraId="3AB911E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接触控制/个体防护</w:t>
            </w:r>
          </w:p>
        </w:tc>
        <w:tc>
          <w:tcPr>
            <w:tcW w:w="8181" w:type="dxa"/>
            <w:tcBorders>
              <w:top w:val="single" w:color="auto" w:sz="6" w:space="0"/>
              <w:left w:val="single" w:color="auto" w:sz="6" w:space="0"/>
              <w:bottom w:val="single" w:color="auto" w:sz="6" w:space="0"/>
              <w:right w:val="single" w:color="auto" w:sz="6" w:space="0"/>
            </w:tcBorders>
            <w:vAlign w:val="center"/>
          </w:tcPr>
          <w:p w14:paraId="0A814388">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工程控制</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密闭操作，局部排风。</w:t>
            </w:r>
          </w:p>
          <w:p w14:paraId="5FB97710">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呼吸系统防护</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空气中粉尘浓度超标时，必须佩戴自吸过滤式防尘口罩。紧急事态抢救或撤离时，应该佩戴空气呼吸器</w:t>
            </w:r>
            <w:r>
              <w:rPr>
                <w:rFonts w:hint="default" w:ascii="Times New Roman" w:hAnsi="Times New Roman" w:cs="Times New Roman"/>
                <w:color w:val="auto"/>
                <w:sz w:val="21"/>
                <w:szCs w:val="21"/>
                <w:highlight w:val="none"/>
                <w:lang w:eastAsia="zh-CN"/>
              </w:rPr>
              <w:t>。</w:t>
            </w:r>
          </w:p>
          <w:p w14:paraId="3F26A7C1">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眼睛防护</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戴化学安全防护眼镜。</w:t>
            </w:r>
          </w:p>
          <w:p w14:paraId="4AE36019">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身体防护</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穿防毒物渗透工作服。</w:t>
            </w:r>
          </w:p>
          <w:p w14:paraId="33625983">
            <w:pPr>
              <w:keepNext w:val="0"/>
              <w:keepLines w:val="0"/>
              <w:pageBreakBefore w:val="0"/>
              <w:widowControl w:val="0"/>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手防护</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戴橡胶手套。</w:t>
            </w:r>
          </w:p>
          <w:p w14:paraId="43101238">
            <w:pPr>
              <w:keepNext w:val="0"/>
              <w:keepLines w:val="0"/>
              <w:pageBreakBefore w:val="0"/>
              <w:widowControl w:val="0"/>
              <w:kinsoku/>
              <w:wordWrap/>
              <w:overflowPunct/>
              <w:topLinePunct w:val="0"/>
              <w:autoSpaceDE/>
              <w:autoSpaceDN/>
              <w:bidi w:val="0"/>
              <w:adjustRightInd w:val="0"/>
              <w:snapToGrid w:val="0"/>
              <w:jc w:val="both"/>
              <w:textAlignment w:val="auto"/>
              <w:rPr>
                <w:rFonts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其他防护</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工作完毕，淋浴更衣。保持良好的卫生习惯。</w:t>
            </w:r>
          </w:p>
        </w:tc>
      </w:tr>
      <w:tr w14:paraId="456A2D2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010" w:type="dxa"/>
            <w:tcBorders>
              <w:top w:val="single" w:color="auto" w:sz="6" w:space="0"/>
              <w:left w:val="single" w:color="auto" w:sz="6" w:space="0"/>
              <w:bottom w:val="single" w:color="auto" w:sz="6" w:space="0"/>
              <w:right w:val="single" w:color="auto" w:sz="6" w:space="0"/>
            </w:tcBorders>
            <w:vAlign w:val="center"/>
          </w:tcPr>
          <w:p w14:paraId="46A8F64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运输注意事项</w:t>
            </w:r>
          </w:p>
        </w:tc>
        <w:tc>
          <w:tcPr>
            <w:tcW w:w="8181" w:type="dxa"/>
            <w:tcBorders>
              <w:top w:val="single" w:color="auto" w:sz="6" w:space="0"/>
              <w:left w:val="single" w:color="auto" w:sz="6" w:space="0"/>
              <w:bottom w:val="single" w:color="auto" w:sz="6" w:space="0"/>
              <w:right w:val="single" w:color="auto" w:sz="6" w:space="0"/>
            </w:tcBorders>
            <w:vAlign w:val="center"/>
          </w:tcPr>
          <w:p w14:paraId="434D3EC0">
            <w:pPr>
              <w:keepNext w:val="0"/>
              <w:keepLines w:val="0"/>
              <w:pageBreakBefore w:val="0"/>
              <w:widowControl w:val="0"/>
              <w:kinsoku/>
              <w:wordWrap/>
              <w:overflowPunct/>
              <w:topLinePunct w:val="0"/>
              <w:autoSpaceDE/>
              <w:autoSpaceDN/>
              <w:bidi w:val="0"/>
              <w:adjustRightInd w:val="0"/>
              <w:snapToGrid w:val="0"/>
              <w:jc w:val="both"/>
              <w:textAlignment w:val="auto"/>
              <w:rPr>
                <w:rFonts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起运时包装要完整，装载应稳妥。运输过程中要确保容器不泄漏、不倒塌、不坠落、不损坏。严禁与酸类、碱类、食用化学品等混装混运。运输途中应防</w:t>
            </w:r>
            <w:r>
              <w:rPr>
                <w:rFonts w:hint="default" w:ascii="Times New Roman" w:hAnsi="Times New Roman" w:cs="Times New Roman"/>
                <w:color w:val="auto"/>
                <w:sz w:val="21"/>
                <w:szCs w:val="21"/>
                <w:highlight w:val="none"/>
                <w:lang w:eastAsia="zh-CN"/>
              </w:rPr>
              <w:t>暴晒</w:t>
            </w:r>
            <w:r>
              <w:rPr>
                <w:rFonts w:hint="default" w:ascii="Times New Roman" w:hAnsi="Times New Roman" w:cs="Times New Roman"/>
                <w:color w:val="auto"/>
                <w:sz w:val="21"/>
                <w:szCs w:val="21"/>
                <w:highlight w:val="none"/>
              </w:rPr>
              <w:t>、雨淋，防高温。车辆运输完毕应进行彻底清扫。</w:t>
            </w:r>
          </w:p>
        </w:tc>
      </w:tr>
    </w:tbl>
    <w:p w14:paraId="0CD6AA05">
      <w:pPr>
        <w:spacing w:line="360" w:lineRule="auto"/>
        <w:jc w:val="center"/>
        <w:rPr>
          <w:rFonts w:hint="default" w:ascii="Times New Roman" w:hAnsi="Times New Roman" w:eastAsia="宋体" w:cs="Times New Roman"/>
          <w:b/>
          <w:bCs/>
          <w:color w:val="auto"/>
          <w:sz w:val="24"/>
          <w:szCs w:val="22"/>
          <w:highlight w:val="none"/>
        </w:rPr>
      </w:pPr>
      <w:r>
        <w:rPr>
          <w:rFonts w:hint="default" w:ascii="Times New Roman" w:hAnsi="Times New Roman" w:eastAsia="宋体" w:cs="Times New Roman"/>
          <w:b/>
          <w:bCs/>
          <w:color w:val="auto"/>
          <w:sz w:val="24"/>
          <w:szCs w:val="22"/>
          <w:highlight w:val="none"/>
        </w:rPr>
        <w:t xml:space="preserve">表 </w:t>
      </w:r>
      <w:r>
        <w:rPr>
          <w:rFonts w:hint="default" w:ascii="Times New Roman" w:hAnsi="Times New Roman" w:cs="Times New Roman"/>
          <w:b/>
          <w:bCs/>
          <w:color w:val="auto"/>
          <w:sz w:val="24"/>
          <w:szCs w:val="22"/>
          <w:highlight w:val="none"/>
          <w:lang w:eastAsia="zh-CN"/>
        </w:rPr>
        <w:t>2.1-</w:t>
      </w:r>
      <w:r>
        <w:rPr>
          <w:rFonts w:hint="default" w:ascii="Times New Roman" w:hAnsi="Times New Roman" w:eastAsia="宋体" w:cs="Times New Roman"/>
          <w:b/>
          <w:bCs/>
          <w:color w:val="auto"/>
          <w:sz w:val="24"/>
          <w:szCs w:val="22"/>
          <w:highlight w:val="none"/>
          <w:lang w:val="en-US" w:eastAsia="zh-CN"/>
        </w:rPr>
        <w:t>4</w:t>
      </w:r>
      <w:r>
        <w:rPr>
          <w:rFonts w:hint="default" w:ascii="Times New Roman" w:hAnsi="Times New Roman" w:eastAsia="宋体" w:cs="Times New Roman"/>
          <w:b/>
          <w:bCs/>
          <w:color w:val="auto"/>
          <w:sz w:val="24"/>
          <w:szCs w:val="22"/>
          <w:highlight w:val="none"/>
        </w:rPr>
        <w:t xml:space="preserve"> </w:t>
      </w:r>
      <w:r>
        <w:rPr>
          <w:rFonts w:hint="default" w:ascii="Times New Roman" w:hAnsi="Times New Roman" w:cs="Times New Roman"/>
          <w:b/>
          <w:bCs/>
          <w:color w:val="auto"/>
          <w:sz w:val="24"/>
          <w:szCs w:val="22"/>
          <w:highlight w:val="none"/>
          <w:lang w:val="en-US" w:eastAsia="zh-CN"/>
        </w:rPr>
        <w:t>矿物油</w:t>
      </w:r>
      <w:r>
        <w:rPr>
          <w:rFonts w:hint="default" w:ascii="Times New Roman" w:hAnsi="Times New Roman" w:eastAsia="宋体" w:cs="Times New Roman"/>
          <w:b/>
          <w:bCs/>
          <w:color w:val="auto"/>
          <w:sz w:val="24"/>
          <w:szCs w:val="22"/>
          <w:highlight w:val="none"/>
        </w:rPr>
        <w:t>理化性质表</w:t>
      </w:r>
    </w:p>
    <w:tbl>
      <w:tblPr>
        <w:tblStyle w:val="81"/>
        <w:tblW w:w="4998" w:type="pct"/>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autofit"/>
        <w:tblCellMar>
          <w:top w:w="0" w:type="dxa"/>
          <w:left w:w="108" w:type="dxa"/>
          <w:bottom w:w="0" w:type="dxa"/>
          <w:right w:w="108" w:type="dxa"/>
        </w:tblCellMar>
      </w:tblPr>
      <w:tblGrid>
        <w:gridCol w:w="514"/>
        <w:gridCol w:w="1564"/>
        <w:gridCol w:w="1720"/>
        <w:gridCol w:w="958"/>
        <w:gridCol w:w="1077"/>
        <w:gridCol w:w="869"/>
        <w:gridCol w:w="329"/>
        <w:gridCol w:w="997"/>
        <w:gridCol w:w="1255"/>
      </w:tblGrid>
      <w:tr w14:paraId="79361F61">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277" w:type="pct"/>
            <w:vMerge w:val="restart"/>
            <w:tcBorders>
              <w:top w:val="single" w:color="auto" w:sz="6" w:space="0"/>
              <w:left w:val="single" w:color="auto" w:sz="6" w:space="0"/>
              <w:bottom w:val="single" w:color="auto" w:sz="6" w:space="0"/>
              <w:right w:val="single" w:color="auto" w:sz="6" w:space="0"/>
            </w:tcBorders>
            <w:noWrap w:val="0"/>
            <w:vAlign w:val="center"/>
          </w:tcPr>
          <w:p w14:paraId="36AF06B5">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标识</w:t>
            </w:r>
          </w:p>
        </w:tc>
        <w:tc>
          <w:tcPr>
            <w:tcW w:w="4722" w:type="pct"/>
            <w:gridSpan w:val="8"/>
            <w:tcBorders>
              <w:top w:val="single" w:color="auto" w:sz="6" w:space="0"/>
              <w:left w:val="single" w:color="auto" w:sz="6" w:space="0"/>
              <w:bottom w:val="single" w:color="auto" w:sz="6" w:space="0"/>
              <w:right w:val="single" w:color="auto" w:sz="6" w:space="0"/>
            </w:tcBorders>
            <w:noWrap w:val="0"/>
            <w:vAlign w:val="center"/>
          </w:tcPr>
          <w:p w14:paraId="79597601">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中文名：矿物油</w:t>
            </w:r>
          </w:p>
        </w:tc>
      </w:tr>
      <w:tr w14:paraId="79AC4E32">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277" w:type="pct"/>
            <w:vMerge w:val="continue"/>
            <w:tcBorders>
              <w:top w:val="single" w:color="auto" w:sz="6" w:space="0"/>
              <w:left w:val="single" w:color="auto" w:sz="6" w:space="0"/>
              <w:bottom w:val="single" w:color="auto" w:sz="6" w:space="0"/>
              <w:right w:val="single" w:color="auto" w:sz="6" w:space="0"/>
            </w:tcBorders>
            <w:noWrap w:val="0"/>
            <w:vAlign w:val="center"/>
          </w:tcPr>
          <w:p w14:paraId="6659CF6B">
            <w:pPr>
              <w:adjustRightInd w:val="0"/>
              <w:snapToGrid w:val="0"/>
              <w:jc w:val="center"/>
              <w:rPr>
                <w:rFonts w:ascii="Times New Roman" w:hAnsi="Times New Roman" w:cs="Times New Roman"/>
                <w:color w:val="auto"/>
                <w:spacing w:val="10"/>
                <w:szCs w:val="21"/>
              </w:rPr>
            </w:pPr>
          </w:p>
        </w:tc>
        <w:tc>
          <w:tcPr>
            <w:tcW w:w="4722" w:type="pct"/>
            <w:gridSpan w:val="8"/>
            <w:tcBorders>
              <w:top w:val="single" w:color="auto" w:sz="6" w:space="0"/>
              <w:left w:val="single" w:color="auto" w:sz="6" w:space="0"/>
              <w:bottom w:val="single" w:color="auto" w:sz="6" w:space="0"/>
              <w:right w:val="single" w:color="auto" w:sz="6" w:space="0"/>
            </w:tcBorders>
            <w:noWrap w:val="0"/>
            <w:vAlign w:val="center"/>
          </w:tcPr>
          <w:p w14:paraId="3452204F">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英文名</w:t>
            </w:r>
            <w:r>
              <w:rPr>
                <w:rFonts w:ascii="Times New Roman" w:hAnsi="Times New Roman" w:cs="Times New Roman"/>
                <w:color w:val="auto"/>
                <w:spacing w:val="10"/>
                <w:szCs w:val="21"/>
                <w:lang w:val="en-GB"/>
              </w:rPr>
              <w:t>：</w:t>
            </w:r>
            <w:r>
              <w:rPr>
                <w:rFonts w:ascii="Times New Roman" w:hAnsi="Times New Roman" w:cs="Times New Roman"/>
                <w:color w:val="auto"/>
                <w:spacing w:val="10"/>
                <w:szCs w:val="21"/>
              </w:rPr>
              <w:t>lubricating</w:t>
            </w:r>
          </w:p>
        </w:tc>
      </w:tr>
      <w:tr w14:paraId="2FF2BDC6">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277" w:type="pct"/>
            <w:vMerge w:val="restart"/>
            <w:tcBorders>
              <w:top w:val="single" w:color="auto" w:sz="6" w:space="0"/>
              <w:left w:val="single" w:color="auto" w:sz="6" w:space="0"/>
              <w:bottom w:val="single" w:color="auto" w:sz="6" w:space="0"/>
              <w:right w:val="single" w:color="auto" w:sz="6" w:space="0"/>
            </w:tcBorders>
            <w:noWrap w:val="0"/>
            <w:vAlign w:val="center"/>
          </w:tcPr>
          <w:p w14:paraId="290B97D1">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理化性质</w:t>
            </w:r>
          </w:p>
        </w:tc>
        <w:tc>
          <w:tcPr>
            <w:tcW w:w="842" w:type="pct"/>
            <w:tcBorders>
              <w:top w:val="single" w:color="auto" w:sz="6" w:space="0"/>
              <w:left w:val="single" w:color="auto" w:sz="6" w:space="0"/>
              <w:bottom w:val="single" w:color="auto" w:sz="6" w:space="0"/>
              <w:right w:val="single" w:color="auto" w:sz="6" w:space="0"/>
            </w:tcBorders>
            <w:noWrap w:val="0"/>
            <w:vAlign w:val="center"/>
          </w:tcPr>
          <w:p w14:paraId="14CA8167">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外观与性状</w:t>
            </w:r>
          </w:p>
        </w:tc>
        <w:tc>
          <w:tcPr>
            <w:tcW w:w="3880" w:type="pct"/>
            <w:gridSpan w:val="7"/>
            <w:tcBorders>
              <w:top w:val="single" w:color="auto" w:sz="6" w:space="0"/>
              <w:left w:val="single" w:color="auto" w:sz="6" w:space="0"/>
              <w:bottom w:val="single" w:color="auto" w:sz="6" w:space="0"/>
              <w:right w:val="single" w:color="auto" w:sz="6" w:space="0"/>
            </w:tcBorders>
            <w:noWrap w:val="0"/>
            <w:vAlign w:val="center"/>
          </w:tcPr>
          <w:p w14:paraId="12428D0C">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油状液体。</w:t>
            </w:r>
          </w:p>
        </w:tc>
      </w:tr>
      <w:tr w14:paraId="536ADA14">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277" w:type="pct"/>
            <w:vMerge w:val="continue"/>
            <w:tcBorders>
              <w:top w:val="single" w:color="auto" w:sz="6" w:space="0"/>
              <w:left w:val="single" w:color="auto" w:sz="6" w:space="0"/>
              <w:bottom w:val="single" w:color="auto" w:sz="6" w:space="0"/>
              <w:right w:val="single" w:color="auto" w:sz="6" w:space="0"/>
            </w:tcBorders>
            <w:noWrap w:val="0"/>
            <w:vAlign w:val="center"/>
          </w:tcPr>
          <w:p w14:paraId="10C73B40">
            <w:pPr>
              <w:adjustRightInd w:val="0"/>
              <w:snapToGrid w:val="0"/>
              <w:jc w:val="center"/>
              <w:rPr>
                <w:rFonts w:ascii="Times New Roman" w:hAnsi="Times New Roman" w:cs="Times New Roman"/>
                <w:color w:val="auto"/>
                <w:spacing w:val="10"/>
                <w:szCs w:val="21"/>
              </w:rPr>
            </w:pPr>
          </w:p>
        </w:tc>
        <w:tc>
          <w:tcPr>
            <w:tcW w:w="842" w:type="pct"/>
            <w:tcBorders>
              <w:top w:val="single" w:color="auto" w:sz="6" w:space="0"/>
              <w:left w:val="single" w:color="auto" w:sz="6" w:space="0"/>
              <w:bottom w:val="single" w:color="auto" w:sz="6" w:space="0"/>
              <w:right w:val="single" w:color="auto" w:sz="6" w:space="0"/>
            </w:tcBorders>
            <w:noWrap w:val="0"/>
            <w:vAlign w:val="center"/>
          </w:tcPr>
          <w:p w14:paraId="31FCDB83">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自燃点（℃）</w:t>
            </w:r>
          </w:p>
        </w:tc>
        <w:tc>
          <w:tcPr>
            <w:tcW w:w="926" w:type="pct"/>
            <w:tcBorders>
              <w:top w:val="single" w:color="auto" w:sz="6" w:space="0"/>
              <w:left w:val="single" w:color="auto" w:sz="6" w:space="0"/>
              <w:bottom w:val="single" w:color="auto" w:sz="6" w:space="0"/>
              <w:right w:val="single" w:color="auto" w:sz="6" w:space="0"/>
            </w:tcBorders>
            <w:noWrap w:val="0"/>
            <w:vAlign w:val="center"/>
          </w:tcPr>
          <w:p w14:paraId="013A2FFB">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zCs w:val="21"/>
              </w:rPr>
              <w:t>300~350</w:t>
            </w:r>
          </w:p>
        </w:tc>
        <w:tc>
          <w:tcPr>
            <w:tcW w:w="1096" w:type="pct"/>
            <w:gridSpan w:val="2"/>
            <w:tcBorders>
              <w:top w:val="single" w:color="auto" w:sz="6" w:space="0"/>
              <w:left w:val="single" w:color="auto" w:sz="6" w:space="0"/>
              <w:bottom w:val="single" w:color="auto" w:sz="6" w:space="0"/>
              <w:right w:val="single" w:color="auto" w:sz="6" w:space="0"/>
            </w:tcBorders>
            <w:noWrap w:val="0"/>
            <w:vAlign w:val="center"/>
          </w:tcPr>
          <w:p w14:paraId="5198739D">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相对密度（水=1）</w:t>
            </w:r>
          </w:p>
        </w:tc>
        <w:tc>
          <w:tcPr>
            <w:tcW w:w="468" w:type="pct"/>
            <w:tcBorders>
              <w:top w:val="single" w:color="auto" w:sz="6" w:space="0"/>
              <w:left w:val="single" w:color="auto" w:sz="6" w:space="0"/>
              <w:bottom w:val="single" w:color="auto" w:sz="6" w:space="0"/>
              <w:right w:val="single" w:color="auto" w:sz="6" w:space="0"/>
            </w:tcBorders>
            <w:noWrap w:val="0"/>
            <w:vAlign w:val="center"/>
          </w:tcPr>
          <w:p w14:paraId="2BFE0ADE">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zCs w:val="21"/>
              </w:rPr>
              <w:t>0.85</w:t>
            </w:r>
          </w:p>
        </w:tc>
        <w:tc>
          <w:tcPr>
            <w:tcW w:w="714" w:type="pct"/>
            <w:gridSpan w:val="2"/>
            <w:tcBorders>
              <w:top w:val="single" w:color="auto" w:sz="6" w:space="0"/>
              <w:left w:val="single" w:color="auto" w:sz="6" w:space="0"/>
              <w:bottom w:val="single" w:color="auto" w:sz="6" w:space="0"/>
              <w:right w:val="single" w:color="auto" w:sz="6" w:space="0"/>
            </w:tcBorders>
            <w:noWrap w:val="0"/>
            <w:vAlign w:val="center"/>
          </w:tcPr>
          <w:p w14:paraId="123130D2">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相对密度（空气=1）</w:t>
            </w:r>
          </w:p>
        </w:tc>
        <w:tc>
          <w:tcPr>
            <w:tcW w:w="676" w:type="pct"/>
            <w:tcBorders>
              <w:top w:val="single" w:color="auto" w:sz="6" w:space="0"/>
              <w:left w:val="single" w:color="auto" w:sz="6" w:space="0"/>
              <w:bottom w:val="single" w:color="auto" w:sz="6" w:space="0"/>
              <w:right w:val="single" w:color="auto" w:sz="6" w:space="0"/>
            </w:tcBorders>
            <w:noWrap w:val="0"/>
            <w:vAlign w:val="center"/>
          </w:tcPr>
          <w:p w14:paraId="60EFAFE7">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0.875</w:t>
            </w:r>
          </w:p>
        </w:tc>
      </w:tr>
      <w:tr w14:paraId="34E8ACB0">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277" w:type="pct"/>
            <w:vMerge w:val="continue"/>
            <w:tcBorders>
              <w:top w:val="single" w:color="auto" w:sz="6" w:space="0"/>
              <w:left w:val="single" w:color="auto" w:sz="6" w:space="0"/>
              <w:bottom w:val="single" w:color="auto" w:sz="6" w:space="0"/>
              <w:right w:val="single" w:color="auto" w:sz="6" w:space="0"/>
            </w:tcBorders>
            <w:noWrap w:val="0"/>
            <w:vAlign w:val="center"/>
          </w:tcPr>
          <w:p w14:paraId="0BC82A48">
            <w:pPr>
              <w:adjustRightInd w:val="0"/>
              <w:snapToGrid w:val="0"/>
              <w:jc w:val="center"/>
              <w:rPr>
                <w:rFonts w:ascii="Times New Roman" w:hAnsi="Times New Roman" w:cs="Times New Roman"/>
                <w:color w:val="auto"/>
                <w:spacing w:val="10"/>
                <w:szCs w:val="21"/>
              </w:rPr>
            </w:pPr>
          </w:p>
        </w:tc>
        <w:tc>
          <w:tcPr>
            <w:tcW w:w="842" w:type="pct"/>
            <w:tcBorders>
              <w:top w:val="single" w:color="auto" w:sz="6" w:space="0"/>
              <w:left w:val="single" w:color="auto" w:sz="6" w:space="0"/>
              <w:bottom w:val="single" w:color="auto" w:sz="6" w:space="0"/>
              <w:right w:val="single" w:color="auto" w:sz="6" w:space="0"/>
            </w:tcBorders>
            <w:noWrap w:val="0"/>
            <w:vAlign w:val="center"/>
          </w:tcPr>
          <w:p w14:paraId="11A44460">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沸点（℃）</w:t>
            </w:r>
          </w:p>
        </w:tc>
        <w:tc>
          <w:tcPr>
            <w:tcW w:w="926" w:type="pct"/>
            <w:tcBorders>
              <w:top w:val="single" w:color="auto" w:sz="6" w:space="0"/>
              <w:left w:val="single" w:color="auto" w:sz="6" w:space="0"/>
              <w:bottom w:val="single" w:color="auto" w:sz="6" w:space="0"/>
              <w:right w:val="single" w:color="auto" w:sz="6" w:space="0"/>
            </w:tcBorders>
            <w:noWrap w:val="0"/>
            <w:vAlign w:val="center"/>
          </w:tcPr>
          <w:p w14:paraId="5CEEF155">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-252.8</w:t>
            </w:r>
          </w:p>
        </w:tc>
        <w:tc>
          <w:tcPr>
            <w:tcW w:w="1564" w:type="pct"/>
            <w:gridSpan w:val="3"/>
            <w:tcBorders>
              <w:top w:val="single" w:color="auto" w:sz="6" w:space="0"/>
              <w:left w:val="single" w:color="auto" w:sz="6" w:space="0"/>
              <w:bottom w:val="single" w:color="auto" w:sz="6" w:space="0"/>
              <w:right w:val="single" w:color="auto" w:sz="6" w:space="0"/>
            </w:tcBorders>
            <w:noWrap w:val="0"/>
            <w:vAlign w:val="center"/>
          </w:tcPr>
          <w:p w14:paraId="15926CC3">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饱和蒸气压（kPa）</w:t>
            </w:r>
          </w:p>
        </w:tc>
        <w:tc>
          <w:tcPr>
            <w:tcW w:w="1390" w:type="pct"/>
            <w:gridSpan w:val="3"/>
            <w:tcBorders>
              <w:top w:val="single" w:color="auto" w:sz="6" w:space="0"/>
              <w:left w:val="single" w:color="auto" w:sz="6" w:space="0"/>
              <w:bottom w:val="single" w:color="auto" w:sz="6" w:space="0"/>
              <w:right w:val="single" w:color="auto" w:sz="6" w:space="0"/>
            </w:tcBorders>
            <w:noWrap w:val="0"/>
            <w:vAlign w:val="center"/>
          </w:tcPr>
          <w:p w14:paraId="0EE027BC">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0.13/145.8℃</w:t>
            </w:r>
          </w:p>
        </w:tc>
      </w:tr>
      <w:tr w14:paraId="368DFA71">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277" w:type="pct"/>
            <w:vMerge w:val="continue"/>
            <w:tcBorders>
              <w:top w:val="single" w:color="auto" w:sz="6" w:space="0"/>
              <w:left w:val="single" w:color="auto" w:sz="6" w:space="0"/>
              <w:bottom w:val="single" w:color="auto" w:sz="6" w:space="0"/>
              <w:right w:val="single" w:color="auto" w:sz="6" w:space="0"/>
            </w:tcBorders>
            <w:noWrap w:val="0"/>
            <w:vAlign w:val="center"/>
          </w:tcPr>
          <w:p w14:paraId="6E9088F0">
            <w:pPr>
              <w:adjustRightInd w:val="0"/>
              <w:snapToGrid w:val="0"/>
              <w:jc w:val="center"/>
              <w:rPr>
                <w:rFonts w:ascii="Times New Roman" w:hAnsi="Times New Roman" w:cs="Times New Roman"/>
                <w:color w:val="auto"/>
                <w:spacing w:val="10"/>
                <w:szCs w:val="21"/>
              </w:rPr>
            </w:pPr>
          </w:p>
        </w:tc>
        <w:tc>
          <w:tcPr>
            <w:tcW w:w="842" w:type="pct"/>
            <w:tcBorders>
              <w:top w:val="single" w:color="auto" w:sz="6" w:space="0"/>
              <w:left w:val="single" w:color="auto" w:sz="6" w:space="0"/>
              <w:bottom w:val="single" w:color="auto" w:sz="6" w:space="0"/>
              <w:right w:val="single" w:color="auto" w:sz="6" w:space="0"/>
            </w:tcBorders>
            <w:noWrap w:val="0"/>
            <w:vAlign w:val="center"/>
          </w:tcPr>
          <w:p w14:paraId="2D4AF76F">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溶解性</w:t>
            </w:r>
          </w:p>
        </w:tc>
        <w:tc>
          <w:tcPr>
            <w:tcW w:w="3880" w:type="pct"/>
            <w:gridSpan w:val="7"/>
            <w:tcBorders>
              <w:top w:val="single" w:color="auto" w:sz="6" w:space="0"/>
              <w:left w:val="single" w:color="auto" w:sz="6" w:space="0"/>
              <w:bottom w:val="single" w:color="auto" w:sz="6" w:space="0"/>
              <w:right w:val="single" w:color="auto" w:sz="6" w:space="0"/>
            </w:tcBorders>
            <w:noWrap w:val="0"/>
            <w:vAlign w:val="center"/>
          </w:tcPr>
          <w:p w14:paraId="5A68E179">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zCs w:val="21"/>
              </w:rPr>
              <w:t>溶于苯、乙醇、乙醚、氯仿、丙酮等多数有机溶剂。</w:t>
            </w:r>
          </w:p>
        </w:tc>
      </w:tr>
      <w:tr w14:paraId="061E2F8D">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277" w:type="pct"/>
            <w:vMerge w:val="restart"/>
            <w:tcBorders>
              <w:top w:val="single" w:color="auto" w:sz="6" w:space="0"/>
              <w:left w:val="single" w:color="auto" w:sz="6" w:space="0"/>
              <w:right w:val="single" w:color="auto" w:sz="6" w:space="0"/>
            </w:tcBorders>
            <w:noWrap w:val="0"/>
            <w:vAlign w:val="center"/>
          </w:tcPr>
          <w:p w14:paraId="13E484D8">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燃烧</w:t>
            </w:r>
          </w:p>
          <w:p w14:paraId="63817E85">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爆炸</w:t>
            </w:r>
          </w:p>
          <w:p w14:paraId="55D02D83">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危险</w:t>
            </w:r>
          </w:p>
        </w:tc>
        <w:tc>
          <w:tcPr>
            <w:tcW w:w="842" w:type="pct"/>
            <w:tcBorders>
              <w:top w:val="single" w:color="auto" w:sz="6" w:space="0"/>
              <w:left w:val="single" w:color="auto" w:sz="6" w:space="0"/>
              <w:bottom w:val="single" w:color="auto" w:sz="4" w:space="0"/>
              <w:right w:val="single" w:color="auto" w:sz="6" w:space="0"/>
            </w:tcBorders>
            <w:noWrap w:val="0"/>
            <w:vAlign w:val="center"/>
          </w:tcPr>
          <w:p w14:paraId="1EDF966F">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危险特性</w:t>
            </w:r>
          </w:p>
        </w:tc>
        <w:tc>
          <w:tcPr>
            <w:tcW w:w="1442" w:type="pct"/>
            <w:gridSpan w:val="2"/>
            <w:tcBorders>
              <w:top w:val="single" w:color="auto" w:sz="6" w:space="0"/>
              <w:left w:val="single" w:color="auto" w:sz="6" w:space="0"/>
              <w:bottom w:val="single" w:color="auto" w:sz="4" w:space="0"/>
              <w:right w:val="single" w:color="auto" w:sz="4" w:space="0"/>
            </w:tcBorders>
            <w:noWrap w:val="0"/>
            <w:vAlign w:val="center"/>
          </w:tcPr>
          <w:p w14:paraId="370C2F3E">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可燃液体，火灾危险性为丙B类；遇明火、高热可燃</w:t>
            </w:r>
          </w:p>
        </w:tc>
        <w:tc>
          <w:tcPr>
            <w:tcW w:w="1225" w:type="pct"/>
            <w:gridSpan w:val="3"/>
            <w:tcBorders>
              <w:top w:val="single" w:color="auto" w:sz="6" w:space="0"/>
              <w:left w:val="single" w:color="auto" w:sz="4" w:space="0"/>
              <w:bottom w:val="single" w:color="auto" w:sz="4" w:space="0"/>
              <w:right w:val="single" w:color="auto" w:sz="4" w:space="0"/>
            </w:tcBorders>
            <w:noWrap w:val="0"/>
            <w:vAlign w:val="center"/>
          </w:tcPr>
          <w:p w14:paraId="767CACE1">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燃烧分解产物</w:t>
            </w:r>
          </w:p>
        </w:tc>
        <w:tc>
          <w:tcPr>
            <w:tcW w:w="1213" w:type="pct"/>
            <w:gridSpan w:val="2"/>
            <w:tcBorders>
              <w:top w:val="single" w:color="auto" w:sz="6" w:space="0"/>
              <w:left w:val="single" w:color="auto" w:sz="4" w:space="0"/>
              <w:bottom w:val="single" w:color="auto" w:sz="4" w:space="0"/>
              <w:right w:val="single" w:color="auto" w:sz="4" w:space="0"/>
            </w:tcBorders>
            <w:noWrap w:val="0"/>
            <w:vAlign w:val="center"/>
          </w:tcPr>
          <w:p w14:paraId="4C4866B2">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CO、CO</w:t>
            </w:r>
            <w:r>
              <w:rPr>
                <w:rFonts w:ascii="Times New Roman" w:hAnsi="Times New Roman" w:cs="Times New Roman"/>
                <w:color w:val="auto"/>
                <w:spacing w:val="10"/>
                <w:szCs w:val="21"/>
                <w:vertAlign w:val="subscript"/>
              </w:rPr>
              <w:t>2</w:t>
            </w:r>
            <w:r>
              <w:rPr>
                <w:rFonts w:ascii="Times New Roman" w:hAnsi="Times New Roman" w:cs="Times New Roman"/>
                <w:color w:val="auto"/>
                <w:spacing w:val="10"/>
                <w:szCs w:val="21"/>
              </w:rPr>
              <w:t>等有毒有害气体</w:t>
            </w:r>
          </w:p>
        </w:tc>
      </w:tr>
      <w:tr w14:paraId="75307E4F">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277" w:type="pct"/>
            <w:vMerge w:val="continue"/>
            <w:tcBorders>
              <w:left w:val="single" w:color="auto" w:sz="6" w:space="0"/>
              <w:right w:val="single" w:color="auto" w:sz="6" w:space="0"/>
            </w:tcBorders>
            <w:noWrap w:val="0"/>
            <w:vAlign w:val="center"/>
          </w:tcPr>
          <w:p w14:paraId="1AEBBACF">
            <w:pPr>
              <w:adjustRightInd w:val="0"/>
              <w:snapToGrid w:val="0"/>
              <w:jc w:val="center"/>
              <w:rPr>
                <w:rFonts w:ascii="Times New Roman" w:hAnsi="Times New Roman" w:cs="Times New Roman"/>
                <w:color w:val="auto"/>
                <w:spacing w:val="10"/>
                <w:szCs w:val="21"/>
              </w:rPr>
            </w:pPr>
          </w:p>
        </w:tc>
        <w:tc>
          <w:tcPr>
            <w:tcW w:w="842" w:type="pct"/>
            <w:tcBorders>
              <w:top w:val="single" w:color="auto" w:sz="4" w:space="0"/>
              <w:left w:val="single" w:color="auto" w:sz="6" w:space="0"/>
              <w:bottom w:val="single" w:color="auto" w:sz="4" w:space="0"/>
              <w:right w:val="single" w:color="auto" w:sz="6" w:space="0"/>
            </w:tcBorders>
            <w:noWrap w:val="0"/>
            <w:vAlign w:val="center"/>
          </w:tcPr>
          <w:p w14:paraId="4A4D2291">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稳定性</w:t>
            </w:r>
          </w:p>
        </w:tc>
        <w:tc>
          <w:tcPr>
            <w:tcW w:w="1442" w:type="pct"/>
            <w:gridSpan w:val="2"/>
            <w:tcBorders>
              <w:top w:val="single" w:color="auto" w:sz="4" w:space="0"/>
              <w:left w:val="single" w:color="auto" w:sz="6" w:space="0"/>
              <w:bottom w:val="single" w:color="auto" w:sz="4" w:space="0"/>
              <w:right w:val="single" w:color="auto" w:sz="4" w:space="0"/>
            </w:tcBorders>
            <w:noWrap w:val="0"/>
            <w:vAlign w:val="center"/>
          </w:tcPr>
          <w:p w14:paraId="3FC647A2">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稳定</w:t>
            </w:r>
          </w:p>
        </w:tc>
        <w:tc>
          <w:tcPr>
            <w:tcW w:w="1225" w:type="pct"/>
            <w:gridSpan w:val="3"/>
            <w:tcBorders>
              <w:top w:val="single" w:color="auto" w:sz="4" w:space="0"/>
              <w:left w:val="single" w:color="auto" w:sz="4" w:space="0"/>
              <w:bottom w:val="single" w:color="auto" w:sz="4" w:space="0"/>
              <w:right w:val="single" w:color="auto" w:sz="4" w:space="0"/>
            </w:tcBorders>
            <w:noWrap w:val="0"/>
            <w:vAlign w:val="center"/>
          </w:tcPr>
          <w:p w14:paraId="7197EE13">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禁忌物</w:t>
            </w:r>
          </w:p>
        </w:tc>
        <w:tc>
          <w:tcPr>
            <w:tcW w:w="1213" w:type="pct"/>
            <w:gridSpan w:val="2"/>
            <w:tcBorders>
              <w:top w:val="single" w:color="auto" w:sz="4" w:space="0"/>
              <w:left w:val="single" w:color="auto" w:sz="4" w:space="0"/>
              <w:bottom w:val="single" w:color="auto" w:sz="4" w:space="0"/>
              <w:right w:val="single" w:color="auto" w:sz="4" w:space="0"/>
            </w:tcBorders>
            <w:noWrap w:val="0"/>
            <w:vAlign w:val="center"/>
          </w:tcPr>
          <w:p w14:paraId="6AC3A7FC">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硝酸等强氧化剂</w:t>
            </w:r>
          </w:p>
        </w:tc>
      </w:tr>
      <w:tr w14:paraId="4E574B5C">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277" w:type="pct"/>
            <w:vMerge w:val="continue"/>
            <w:tcBorders>
              <w:left w:val="single" w:color="auto" w:sz="6" w:space="0"/>
              <w:right w:val="single" w:color="auto" w:sz="6" w:space="0"/>
            </w:tcBorders>
            <w:noWrap w:val="0"/>
            <w:vAlign w:val="center"/>
          </w:tcPr>
          <w:p w14:paraId="4C684BA7">
            <w:pPr>
              <w:adjustRightInd w:val="0"/>
              <w:snapToGrid w:val="0"/>
              <w:jc w:val="center"/>
              <w:rPr>
                <w:rFonts w:ascii="Times New Roman" w:hAnsi="Times New Roman" w:cs="Times New Roman"/>
                <w:color w:val="auto"/>
                <w:spacing w:val="10"/>
                <w:szCs w:val="21"/>
              </w:rPr>
            </w:pPr>
          </w:p>
        </w:tc>
        <w:tc>
          <w:tcPr>
            <w:tcW w:w="842" w:type="pct"/>
            <w:tcBorders>
              <w:top w:val="single" w:color="auto" w:sz="4" w:space="0"/>
              <w:left w:val="single" w:color="auto" w:sz="6" w:space="0"/>
              <w:right w:val="single" w:color="auto" w:sz="6" w:space="0"/>
            </w:tcBorders>
            <w:noWrap w:val="0"/>
            <w:vAlign w:val="center"/>
          </w:tcPr>
          <w:p w14:paraId="7644A102">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灭火方法</w:t>
            </w:r>
          </w:p>
        </w:tc>
        <w:tc>
          <w:tcPr>
            <w:tcW w:w="3880" w:type="pct"/>
            <w:gridSpan w:val="7"/>
            <w:tcBorders>
              <w:top w:val="single" w:color="auto" w:sz="4" w:space="0"/>
              <w:left w:val="single" w:color="auto" w:sz="6" w:space="0"/>
              <w:bottom w:val="single" w:color="auto" w:sz="6" w:space="0"/>
              <w:right w:val="single" w:color="auto" w:sz="4" w:space="0"/>
            </w:tcBorders>
            <w:noWrap w:val="0"/>
            <w:vAlign w:val="center"/>
          </w:tcPr>
          <w:p w14:paraId="6CDE83A3">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消防人员须佩戴防毒面具、穿全身消防服，在上风向灭火。尽可能将容器从火场移至空旷处。喷水保持火场容器冷却，直至灭火结束。处在火场中的容器若已变色或从安全泄压装置中产生声音，必须立即撤离。灭火剂：雾状水、泡沫、干粉、二氧化碳、沙土。</w:t>
            </w:r>
          </w:p>
        </w:tc>
      </w:tr>
      <w:tr w14:paraId="7A74B755">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277" w:type="pct"/>
            <w:tcBorders>
              <w:top w:val="single" w:color="auto" w:sz="6" w:space="0"/>
              <w:left w:val="single" w:color="auto" w:sz="6" w:space="0"/>
              <w:bottom w:val="single" w:color="auto" w:sz="6" w:space="0"/>
              <w:right w:val="single" w:color="auto" w:sz="6" w:space="0"/>
            </w:tcBorders>
            <w:noWrap w:val="0"/>
            <w:vAlign w:val="center"/>
          </w:tcPr>
          <w:p w14:paraId="1DA0F480">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健康危害</w:t>
            </w:r>
          </w:p>
        </w:tc>
        <w:tc>
          <w:tcPr>
            <w:tcW w:w="4722" w:type="pct"/>
            <w:gridSpan w:val="8"/>
            <w:tcBorders>
              <w:top w:val="single" w:color="auto" w:sz="6" w:space="0"/>
              <w:left w:val="single" w:color="auto" w:sz="6" w:space="0"/>
              <w:right w:val="single" w:color="auto" w:sz="6" w:space="0"/>
            </w:tcBorders>
            <w:noWrap w:val="0"/>
            <w:vAlign w:val="center"/>
          </w:tcPr>
          <w:p w14:paraId="0F5EB75C">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急性吸入，可出现乏力、头晕、头痛、恶心，严重者可引起油脂性肺炎。慢性接触者，暴露部位可发生油性痤疮和</w:t>
            </w:r>
            <w:r>
              <w:rPr>
                <w:rFonts w:hint="default" w:ascii="Times New Roman" w:hAnsi="Times New Roman" w:cs="Times New Roman"/>
                <w:color w:val="auto"/>
                <w:spacing w:val="10"/>
                <w:szCs w:val="21"/>
                <w:lang w:eastAsia="zh-CN"/>
              </w:rPr>
              <w:t>接触性皮炎</w:t>
            </w:r>
            <w:r>
              <w:rPr>
                <w:rFonts w:ascii="Times New Roman" w:hAnsi="Times New Roman" w:cs="Times New Roman"/>
                <w:color w:val="auto"/>
                <w:spacing w:val="10"/>
                <w:szCs w:val="21"/>
              </w:rPr>
              <w:t>。可引发神经衰弱综合症，呼吸道和眼刺激症状及慢性油脂性肺炎。</w:t>
            </w:r>
          </w:p>
        </w:tc>
      </w:tr>
      <w:tr w14:paraId="0C44897D">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277" w:type="pct"/>
            <w:tcBorders>
              <w:top w:val="single" w:color="auto" w:sz="6" w:space="0"/>
              <w:left w:val="single" w:color="auto" w:sz="6" w:space="0"/>
              <w:bottom w:val="single" w:color="auto" w:sz="6" w:space="0"/>
              <w:right w:val="single" w:color="auto" w:sz="6" w:space="0"/>
            </w:tcBorders>
            <w:noWrap w:val="0"/>
            <w:vAlign w:val="center"/>
          </w:tcPr>
          <w:p w14:paraId="2C3324C0">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急救措施</w:t>
            </w:r>
          </w:p>
        </w:tc>
        <w:tc>
          <w:tcPr>
            <w:tcW w:w="4722" w:type="pct"/>
            <w:gridSpan w:val="8"/>
            <w:tcBorders>
              <w:top w:val="single" w:color="auto" w:sz="6" w:space="0"/>
              <w:left w:val="single" w:color="auto" w:sz="6" w:space="0"/>
              <w:bottom w:val="single" w:color="auto" w:sz="6" w:space="0"/>
              <w:right w:val="single" w:color="auto" w:sz="6" w:space="0"/>
            </w:tcBorders>
            <w:noWrap w:val="0"/>
            <w:vAlign w:val="center"/>
          </w:tcPr>
          <w:p w14:paraId="10E215EA">
            <w:pPr>
              <w:adjustRightInd w:val="0"/>
              <w:snapToGrid w:val="0"/>
              <w:jc w:val="left"/>
              <w:rPr>
                <w:rFonts w:ascii="Times New Roman" w:hAnsi="Times New Roman" w:cs="Times New Roman"/>
                <w:color w:val="auto"/>
                <w:spacing w:val="10"/>
                <w:szCs w:val="21"/>
              </w:rPr>
            </w:pPr>
            <w:r>
              <w:rPr>
                <w:rFonts w:ascii="Times New Roman" w:hAnsi="Times New Roman" w:cs="Times New Roman"/>
                <w:color w:val="auto"/>
                <w:spacing w:val="10"/>
                <w:szCs w:val="21"/>
              </w:rPr>
              <w:t>皮肤接触：脱去污染的衣着，用大量流动清水清洗。就医。</w:t>
            </w:r>
          </w:p>
          <w:p w14:paraId="42BAE7AB">
            <w:pPr>
              <w:adjustRightInd w:val="0"/>
              <w:snapToGrid w:val="0"/>
              <w:jc w:val="left"/>
              <w:rPr>
                <w:rFonts w:ascii="Times New Roman" w:hAnsi="Times New Roman" w:cs="Times New Roman"/>
                <w:color w:val="auto"/>
                <w:spacing w:val="10"/>
                <w:szCs w:val="21"/>
              </w:rPr>
            </w:pPr>
            <w:r>
              <w:rPr>
                <w:rFonts w:ascii="Times New Roman" w:hAnsi="Times New Roman" w:cs="Times New Roman"/>
                <w:color w:val="auto"/>
                <w:spacing w:val="10"/>
                <w:szCs w:val="21"/>
              </w:rPr>
              <w:t>眼接触：提起眼睑，用流动清水或生理盐水冲洗。就医。</w:t>
            </w:r>
          </w:p>
          <w:p w14:paraId="6F27384A">
            <w:pPr>
              <w:adjustRightInd w:val="0"/>
              <w:snapToGrid w:val="0"/>
              <w:jc w:val="left"/>
              <w:rPr>
                <w:rFonts w:ascii="Times New Roman" w:hAnsi="Times New Roman" w:cs="Times New Roman"/>
                <w:color w:val="auto"/>
                <w:spacing w:val="10"/>
                <w:szCs w:val="21"/>
              </w:rPr>
            </w:pPr>
            <w:r>
              <w:rPr>
                <w:rFonts w:ascii="Times New Roman" w:hAnsi="Times New Roman" w:cs="Times New Roman"/>
                <w:color w:val="auto"/>
                <w:spacing w:val="10"/>
                <w:szCs w:val="21"/>
              </w:rPr>
              <w:t>吸入：迅速脱离现场至空气新鲜处，保持呼吸畅通。如呼吸困难，给输氧。如呼吸</w:t>
            </w:r>
          </w:p>
          <w:p w14:paraId="4E17495A">
            <w:pPr>
              <w:adjustRightInd w:val="0"/>
              <w:snapToGrid w:val="0"/>
              <w:jc w:val="left"/>
              <w:rPr>
                <w:rFonts w:ascii="Times New Roman" w:hAnsi="Times New Roman" w:cs="Times New Roman"/>
                <w:color w:val="auto"/>
                <w:spacing w:val="10"/>
                <w:szCs w:val="21"/>
              </w:rPr>
            </w:pPr>
            <w:r>
              <w:rPr>
                <w:rFonts w:ascii="Times New Roman" w:hAnsi="Times New Roman" w:cs="Times New Roman"/>
                <w:color w:val="auto"/>
                <w:spacing w:val="10"/>
                <w:szCs w:val="21"/>
              </w:rPr>
              <w:t>停止，立即进行人工呼吸。就医。</w:t>
            </w:r>
          </w:p>
          <w:p w14:paraId="19444594">
            <w:pPr>
              <w:adjustRightInd w:val="0"/>
              <w:snapToGrid w:val="0"/>
              <w:jc w:val="left"/>
              <w:rPr>
                <w:rFonts w:ascii="Times New Roman" w:hAnsi="Times New Roman" w:cs="Times New Roman"/>
                <w:color w:val="auto"/>
                <w:szCs w:val="21"/>
              </w:rPr>
            </w:pPr>
            <w:r>
              <w:rPr>
                <w:rFonts w:ascii="Times New Roman" w:hAnsi="Times New Roman" w:cs="Times New Roman"/>
                <w:color w:val="auto"/>
                <w:spacing w:val="10"/>
                <w:szCs w:val="21"/>
              </w:rPr>
              <w:t>食用：饮适量温水，催吐。就医。</w:t>
            </w:r>
          </w:p>
        </w:tc>
      </w:tr>
      <w:tr w14:paraId="32E3BD9B">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277" w:type="pct"/>
            <w:tcBorders>
              <w:top w:val="single" w:color="auto" w:sz="6" w:space="0"/>
              <w:left w:val="single" w:color="auto" w:sz="6" w:space="0"/>
              <w:bottom w:val="single" w:color="auto" w:sz="6" w:space="0"/>
              <w:right w:val="single" w:color="auto" w:sz="6" w:space="0"/>
            </w:tcBorders>
            <w:noWrap w:val="0"/>
            <w:vAlign w:val="center"/>
          </w:tcPr>
          <w:p w14:paraId="05594D23">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防护</w:t>
            </w:r>
          </w:p>
          <w:p w14:paraId="49676D45">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处理</w:t>
            </w:r>
          </w:p>
        </w:tc>
        <w:tc>
          <w:tcPr>
            <w:tcW w:w="4722" w:type="pct"/>
            <w:gridSpan w:val="8"/>
            <w:tcBorders>
              <w:top w:val="single" w:color="auto" w:sz="6" w:space="0"/>
              <w:left w:val="single" w:color="auto" w:sz="6" w:space="0"/>
              <w:bottom w:val="single" w:color="auto" w:sz="6" w:space="0"/>
              <w:right w:val="single" w:color="auto" w:sz="6" w:space="0"/>
            </w:tcBorders>
            <w:noWrap w:val="0"/>
            <w:vAlign w:val="center"/>
          </w:tcPr>
          <w:p w14:paraId="1D279F85">
            <w:pPr>
              <w:adjustRightInd w:val="0"/>
              <w:snapToGrid w:val="0"/>
              <w:jc w:val="left"/>
              <w:rPr>
                <w:rFonts w:ascii="Times New Roman" w:hAnsi="Times New Roman" w:cs="Times New Roman"/>
                <w:color w:val="auto"/>
                <w:szCs w:val="21"/>
              </w:rPr>
            </w:pPr>
            <w:r>
              <w:rPr>
                <w:rFonts w:ascii="Times New Roman" w:hAnsi="Times New Roman" w:cs="Times New Roman"/>
                <w:color w:val="auto"/>
                <w:szCs w:val="21"/>
              </w:rPr>
              <w:t>呼吸系统防护：空气中浓度超标时，必须佩戴自吸过滤式防毒面具（半面罩）；紧急事态抢救或撤离时，应佩戴空气呼吸器。</w:t>
            </w:r>
          </w:p>
          <w:p w14:paraId="4A709F7B">
            <w:pPr>
              <w:adjustRightInd w:val="0"/>
              <w:snapToGrid w:val="0"/>
              <w:jc w:val="left"/>
              <w:rPr>
                <w:rFonts w:ascii="Times New Roman" w:hAnsi="Times New Roman" w:cs="Times New Roman"/>
                <w:color w:val="auto"/>
                <w:szCs w:val="21"/>
              </w:rPr>
            </w:pPr>
            <w:r>
              <w:rPr>
                <w:rFonts w:ascii="Times New Roman" w:hAnsi="Times New Roman" w:cs="Times New Roman"/>
                <w:color w:val="auto"/>
                <w:szCs w:val="21"/>
              </w:rPr>
              <w:t>眼睛防护：戴化学安全防护眼镜。</w:t>
            </w:r>
          </w:p>
          <w:p w14:paraId="5718DA10">
            <w:pPr>
              <w:adjustRightInd w:val="0"/>
              <w:snapToGrid w:val="0"/>
              <w:jc w:val="left"/>
              <w:rPr>
                <w:rFonts w:ascii="Times New Roman" w:hAnsi="Times New Roman" w:cs="Times New Roman"/>
                <w:color w:val="auto"/>
                <w:szCs w:val="21"/>
              </w:rPr>
            </w:pPr>
            <w:r>
              <w:rPr>
                <w:rFonts w:ascii="Times New Roman" w:hAnsi="Times New Roman" w:cs="Times New Roman"/>
                <w:color w:val="auto"/>
                <w:szCs w:val="21"/>
              </w:rPr>
              <w:t>身体防护：穿防毒渗透工作服。</w:t>
            </w:r>
          </w:p>
          <w:p w14:paraId="7AA745D6">
            <w:pPr>
              <w:adjustRightInd w:val="0"/>
              <w:snapToGrid w:val="0"/>
              <w:jc w:val="left"/>
              <w:rPr>
                <w:rFonts w:ascii="Times New Roman" w:hAnsi="Times New Roman" w:cs="Times New Roman"/>
                <w:color w:val="auto"/>
                <w:szCs w:val="21"/>
              </w:rPr>
            </w:pPr>
            <w:r>
              <w:rPr>
                <w:rFonts w:ascii="Times New Roman" w:hAnsi="Times New Roman" w:cs="Times New Roman"/>
                <w:color w:val="auto"/>
                <w:szCs w:val="21"/>
              </w:rPr>
              <w:t>手防护：戴橡胶耐油手套。</w:t>
            </w:r>
          </w:p>
          <w:p w14:paraId="285029FD">
            <w:pPr>
              <w:adjustRightInd w:val="0"/>
              <w:snapToGrid w:val="0"/>
              <w:jc w:val="left"/>
              <w:rPr>
                <w:rFonts w:ascii="Times New Roman" w:hAnsi="Times New Roman" w:cs="Times New Roman"/>
                <w:color w:val="auto"/>
                <w:szCs w:val="21"/>
              </w:rPr>
            </w:pPr>
            <w:r>
              <w:rPr>
                <w:rFonts w:ascii="Times New Roman" w:hAnsi="Times New Roman" w:cs="Times New Roman"/>
                <w:color w:val="auto"/>
                <w:szCs w:val="21"/>
              </w:rPr>
              <w:t>其他：工作现场严禁吸烟，避免长期反复接触。</w:t>
            </w:r>
          </w:p>
        </w:tc>
      </w:tr>
      <w:tr w14:paraId="6EA7846F">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277" w:type="pct"/>
            <w:tcBorders>
              <w:top w:val="single" w:color="auto" w:sz="6" w:space="0"/>
              <w:left w:val="single" w:color="auto" w:sz="6" w:space="0"/>
              <w:bottom w:val="single" w:color="auto" w:sz="6" w:space="0"/>
              <w:right w:val="single" w:color="auto" w:sz="6" w:space="0"/>
            </w:tcBorders>
            <w:noWrap w:val="0"/>
            <w:vAlign w:val="center"/>
          </w:tcPr>
          <w:p w14:paraId="3CC47FCF">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泄漏</w:t>
            </w:r>
          </w:p>
          <w:p w14:paraId="367140B7">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处理</w:t>
            </w:r>
          </w:p>
        </w:tc>
        <w:tc>
          <w:tcPr>
            <w:tcW w:w="4722" w:type="pct"/>
            <w:gridSpan w:val="8"/>
            <w:tcBorders>
              <w:top w:val="single" w:color="auto" w:sz="6" w:space="0"/>
              <w:left w:val="single" w:color="auto" w:sz="6" w:space="0"/>
              <w:bottom w:val="single" w:color="auto" w:sz="6" w:space="0"/>
              <w:right w:val="single" w:color="auto" w:sz="6" w:space="0"/>
            </w:tcBorders>
            <w:noWrap w:val="0"/>
            <w:vAlign w:val="center"/>
          </w:tcPr>
          <w:p w14:paraId="408A0F15">
            <w:pPr>
              <w:adjustRightInd w:val="0"/>
              <w:snapToGrid w:val="0"/>
              <w:jc w:val="left"/>
              <w:rPr>
                <w:rFonts w:ascii="Times New Roman" w:hAnsi="Times New Roman" w:cs="Times New Roman"/>
                <w:color w:val="auto"/>
                <w:szCs w:val="21"/>
              </w:rPr>
            </w:pPr>
            <w:r>
              <w:rPr>
                <w:rFonts w:ascii="Times New Roman" w:hAnsi="Times New Roman" w:cs="Times New Roman"/>
                <w:color w:val="auto"/>
                <w:szCs w:val="21"/>
              </w:rPr>
              <w:t>迅速撤离泄漏污染区人员至安全区，并进行隔离，严格限制出入。切断火源。建议应急处理人员戴自给正式呼吸器，穿防毒服。尽可能切断泄漏源。防止流入下水道、排洪沟等限制性空间。</w:t>
            </w:r>
          </w:p>
          <w:p w14:paraId="3D29C90E">
            <w:pPr>
              <w:adjustRightInd w:val="0"/>
              <w:snapToGrid w:val="0"/>
              <w:jc w:val="left"/>
              <w:rPr>
                <w:rFonts w:ascii="Times New Roman" w:hAnsi="Times New Roman" w:cs="Times New Roman"/>
                <w:color w:val="auto"/>
                <w:szCs w:val="21"/>
              </w:rPr>
            </w:pPr>
            <w:r>
              <w:rPr>
                <w:rFonts w:ascii="Times New Roman" w:hAnsi="Times New Roman" w:cs="Times New Roman"/>
                <w:color w:val="auto"/>
                <w:szCs w:val="21"/>
              </w:rPr>
              <w:t>小量泄漏：用砂土或其他不燃材料吸附或吸收，减少挥发。</w:t>
            </w:r>
          </w:p>
          <w:p w14:paraId="782CF0CC">
            <w:pPr>
              <w:adjustRightInd w:val="0"/>
              <w:snapToGrid w:val="0"/>
              <w:jc w:val="left"/>
              <w:rPr>
                <w:rFonts w:ascii="Times New Roman" w:hAnsi="Times New Roman" w:cs="Times New Roman"/>
                <w:color w:val="auto"/>
                <w:szCs w:val="21"/>
              </w:rPr>
            </w:pPr>
            <w:r>
              <w:rPr>
                <w:rFonts w:ascii="Times New Roman" w:hAnsi="Times New Roman" w:cs="Times New Roman"/>
                <w:color w:val="auto"/>
                <w:szCs w:val="21"/>
              </w:rPr>
              <w:t>大量泄漏：构筑围堤或挖坑收容。用泵转移至槽车或专用收集器内，回收或运至废物处理场所处置。</w:t>
            </w:r>
          </w:p>
        </w:tc>
      </w:tr>
      <w:tr w14:paraId="432726E6">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277" w:type="pct"/>
            <w:tcBorders>
              <w:top w:val="single" w:color="auto" w:sz="6" w:space="0"/>
              <w:left w:val="single" w:color="auto" w:sz="6" w:space="0"/>
              <w:bottom w:val="single" w:color="auto" w:sz="6" w:space="0"/>
              <w:right w:val="single" w:color="auto" w:sz="6" w:space="0"/>
            </w:tcBorders>
            <w:noWrap w:val="0"/>
            <w:vAlign w:val="center"/>
          </w:tcPr>
          <w:p w14:paraId="2D730032">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储存</w:t>
            </w:r>
          </w:p>
          <w:p w14:paraId="54DC7EC9">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要求</w:t>
            </w:r>
          </w:p>
        </w:tc>
        <w:tc>
          <w:tcPr>
            <w:tcW w:w="4722" w:type="pct"/>
            <w:gridSpan w:val="8"/>
            <w:tcBorders>
              <w:top w:val="single" w:color="auto" w:sz="6" w:space="0"/>
              <w:left w:val="single" w:color="auto" w:sz="6" w:space="0"/>
              <w:bottom w:val="single" w:color="auto" w:sz="6" w:space="0"/>
              <w:right w:val="single" w:color="auto" w:sz="6" w:space="0"/>
            </w:tcBorders>
            <w:noWrap w:val="0"/>
            <w:vAlign w:val="center"/>
          </w:tcPr>
          <w:p w14:paraId="1814021B">
            <w:pPr>
              <w:adjustRightInd w:val="0"/>
              <w:snapToGrid w:val="0"/>
              <w:jc w:val="left"/>
              <w:rPr>
                <w:rFonts w:ascii="Times New Roman" w:hAnsi="Times New Roman" w:cs="Times New Roman"/>
                <w:color w:val="auto"/>
                <w:szCs w:val="21"/>
              </w:rPr>
            </w:pPr>
            <w:r>
              <w:rPr>
                <w:rFonts w:ascii="Times New Roman" w:hAnsi="Times New Roman" w:cs="Times New Roman"/>
                <w:color w:val="auto"/>
                <w:szCs w:val="21"/>
              </w:rPr>
              <w:t>储存于阴凉、通风的</w:t>
            </w:r>
            <w:r>
              <w:rPr>
                <w:rFonts w:hint="default" w:ascii="Times New Roman" w:hAnsi="Times New Roman" w:cs="Times New Roman"/>
                <w:color w:val="auto"/>
                <w:szCs w:val="21"/>
                <w:lang w:eastAsia="zh-CN"/>
              </w:rPr>
              <w:t>仓库</w:t>
            </w:r>
            <w:r>
              <w:rPr>
                <w:rFonts w:ascii="Times New Roman" w:hAnsi="Times New Roman" w:cs="Times New Roman"/>
                <w:color w:val="auto"/>
                <w:szCs w:val="21"/>
              </w:rPr>
              <w:t>。远离火种、热源。应与氧化剂分开存放，切忌混储。配备相应品种和数量的消防器材。储区应备有泄漏应急处理设备和合适的收容材料。</w:t>
            </w:r>
          </w:p>
        </w:tc>
      </w:tr>
      <w:tr w14:paraId="115E4AAB">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277" w:type="pct"/>
            <w:tcBorders>
              <w:top w:val="single" w:color="auto" w:sz="6" w:space="0"/>
              <w:left w:val="single" w:color="auto" w:sz="6" w:space="0"/>
              <w:bottom w:val="single" w:color="auto" w:sz="6" w:space="0"/>
              <w:right w:val="single" w:color="auto" w:sz="6" w:space="0"/>
            </w:tcBorders>
            <w:noWrap w:val="0"/>
            <w:vAlign w:val="center"/>
          </w:tcPr>
          <w:p w14:paraId="3A05DEEC">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运输</w:t>
            </w:r>
          </w:p>
          <w:p w14:paraId="7655B814">
            <w:pPr>
              <w:adjustRightInd w:val="0"/>
              <w:snapToGrid w:val="0"/>
              <w:jc w:val="center"/>
              <w:rPr>
                <w:rFonts w:ascii="Times New Roman" w:hAnsi="Times New Roman" w:cs="Times New Roman"/>
                <w:color w:val="auto"/>
                <w:spacing w:val="10"/>
                <w:szCs w:val="21"/>
              </w:rPr>
            </w:pPr>
            <w:r>
              <w:rPr>
                <w:rFonts w:ascii="Times New Roman" w:hAnsi="Times New Roman" w:cs="Times New Roman"/>
                <w:color w:val="auto"/>
                <w:spacing w:val="10"/>
                <w:szCs w:val="21"/>
              </w:rPr>
              <w:t>要求</w:t>
            </w:r>
          </w:p>
        </w:tc>
        <w:tc>
          <w:tcPr>
            <w:tcW w:w="4722" w:type="pct"/>
            <w:gridSpan w:val="8"/>
            <w:tcBorders>
              <w:top w:val="single" w:color="auto" w:sz="6" w:space="0"/>
              <w:left w:val="single" w:color="auto" w:sz="6" w:space="0"/>
              <w:bottom w:val="single" w:color="auto" w:sz="6" w:space="0"/>
              <w:right w:val="single" w:color="auto" w:sz="6" w:space="0"/>
            </w:tcBorders>
            <w:noWrap w:val="0"/>
            <w:vAlign w:val="center"/>
          </w:tcPr>
          <w:p w14:paraId="0559C6C9">
            <w:pPr>
              <w:adjustRightInd w:val="0"/>
              <w:snapToGrid w:val="0"/>
              <w:jc w:val="left"/>
              <w:rPr>
                <w:rFonts w:ascii="Times New Roman" w:hAnsi="Times New Roman" w:cs="Times New Roman"/>
                <w:color w:val="auto"/>
                <w:szCs w:val="21"/>
              </w:rPr>
            </w:pPr>
            <w:r>
              <w:rPr>
                <w:rFonts w:ascii="Times New Roman" w:hAnsi="Times New Roman" w:cs="Times New Roman"/>
                <w:color w:val="auto"/>
                <w:szCs w:val="21"/>
              </w:rPr>
              <w:t>用油罐、油罐车、油船、铁桶、塑料桶等盛装，盛装时切不可装满，要留出必要的安全空间。运输前应先检查包装容器是否完整、密封，运输过程中要确保容器不泄露、不倒塌、不坠落、不损坏。严禁与氧化剂、食用化学品等混装混运。运输车船必须彻底清洗、消毒，否则不得装运其它物品。船运时，配装位置应远离卧室、厨房，并与机舱、电源、火源等部位隔离。公路运输时要按规定路线行驶</w:t>
            </w:r>
          </w:p>
        </w:tc>
      </w:tr>
    </w:tbl>
    <w:p w14:paraId="5E9FC9C0">
      <w:pPr>
        <w:jc w:val="center"/>
        <w:rPr>
          <w:rFonts w:hint="default" w:ascii="Times New Roman" w:hAnsi="Times New Roman" w:eastAsia="宋体" w:cs="Times New Roman"/>
          <w:color w:val="auto"/>
        </w:rPr>
      </w:pPr>
    </w:p>
    <w:p w14:paraId="610175EC">
      <w:pPr>
        <w:jc w:val="center"/>
        <w:rPr>
          <w:rFonts w:hint="default" w:ascii="Times New Roman" w:hAnsi="Times New Roman" w:eastAsia="宋体" w:cs="Times New Roman"/>
          <w:color w:val="auto"/>
        </w:rPr>
      </w:pPr>
    </w:p>
    <w:p w14:paraId="7D19CE2E">
      <w:pPr>
        <w:jc w:val="center"/>
        <w:rPr>
          <w:rFonts w:hint="default" w:ascii="Times New Roman" w:hAnsi="Times New Roman" w:eastAsia="宋体" w:cs="Times New Roman"/>
          <w:color w:val="auto"/>
        </w:rPr>
      </w:pPr>
    </w:p>
    <w:p w14:paraId="5FEFE339">
      <w:pPr>
        <w:jc w:val="center"/>
        <w:rPr>
          <w:rFonts w:hint="default" w:ascii="Times New Roman" w:hAnsi="Times New Roman" w:eastAsia="宋体" w:cs="Times New Roman"/>
          <w:color w:val="auto"/>
        </w:rPr>
        <w:sectPr>
          <w:footerReference r:id="rId8" w:type="default"/>
          <w:pgSz w:w="11906" w:h="16838"/>
          <w:pgMar w:top="1418" w:right="1276" w:bottom="1418" w:left="1559" w:header="851" w:footer="680" w:gutter="0"/>
          <w:pgNumType w:fmt="decimal" w:chapStyle="1"/>
          <w:cols w:space="720" w:num="1"/>
          <w:docGrid w:linePitch="326" w:charSpace="0"/>
        </w:sectPr>
      </w:pPr>
    </w:p>
    <w:p w14:paraId="0D082E8E">
      <w:pPr>
        <w:jc w:val="center"/>
        <w:rPr>
          <w:rFonts w:hint="default" w:ascii="Times New Roman" w:hAnsi="Times New Roman" w:eastAsia="宋体" w:cs="Times New Roman"/>
          <w:color w:val="auto"/>
          <w:highlight w:val="none"/>
        </w:rPr>
      </w:pPr>
      <w:r>
        <w:rPr>
          <w:rFonts w:ascii="Times New Roman" w:hAnsi="Times New Roman" w:cs="Times New Roman"/>
          <w:color w:val="auto"/>
          <w:highlight w:val="none"/>
        </w:rPr>
        <w:drawing>
          <wp:anchor distT="0" distB="0" distL="114300" distR="114300" simplePos="0" relativeHeight="251668480" behindDoc="0" locked="0" layoutInCell="1" allowOverlap="1">
            <wp:simplePos x="0" y="0"/>
            <wp:positionH relativeFrom="column">
              <wp:posOffset>253365</wp:posOffset>
            </wp:positionH>
            <wp:positionV relativeFrom="paragraph">
              <wp:posOffset>26670</wp:posOffset>
            </wp:positionV>
            <wp:extent cx="946150" cy="865505"/>
            <wp:effectExtent l="0" t="0" r="6350" b="10795"/>
            <wp:wrapNone/>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46150" cy="865505"/>
                    </a:xfrm>
                    <a:prstGeom prst="rect">
                      <a:avLst/>
                    </a:prstGeom>
                  </pic:spPr>
                </pic:pic>
              </a:graphicData>
            </a:graphic>
          </wp:anchor>
        </w:drawing>
      </w:r>
      <w:r>
        <w:rPr>
          <w:rFonts w:ascii="Times New Roman" w:hAnsi="Times New Roman" w:cs="Times New Roman"/>
          <w:color w:val="auto"/>
        </w:rPr>
        <w:object>
          <v:shape id="_x0000_i1031" o:spt="75" alt="" type="#_x0000_t75" style="height:339.2pt;width:735.2pt;" o:ole="t" filled="f" o:preferrelative="t" stroked="t" coordsize="21600,21600">
            <v:path/>
            <v:fill on="f" focussize="0,0"/>
            <v:stroke color="#000000 [3213]"/>
            <v:imagedata r:id="rId25" o:title=""/>
            <o:lock v:ext="edit" aspectratio="f"/>
            <w10:wrap type="none"/>
            <w10:anchorlock/>
          </v:shape>
          <o:OLEObject Type="Embed" ProgID="Visio.Drawing.15" ShapeID="_x0000_i1031" DrawAspect="Content" ObjectID="_1468075728" r:id="rId24">
            <o:LockedField>false</o:LockedField>
          </o:OLEObject>
        </w:object>
      </w:r>
    </w:p>
    <w:p w14:paraId="1AF7EBA7">
      <w:pPr>
        <w:pStyle w:val="80"/>
        <w:jc w:val="center"/>
        <w:rPr>
          <w:rFonts w:hint="default" w:ascii="Times New Roman" w:hAnsi="Times New Roman" w:cs="Times New Roman"/>
          <w:b/>
          <w:bCs/>
          <w:color w:val="auto"/>
          <w:lang w:eastAsia="zh-CN"/>
        </w:rPr>
      </w:pPr>
      <w:r>
        <w:rPr>
          <w:rFonts w:hint="default" w:ascii="Times New Roman" w:hAnsi="Times New Roman" w:eastAsia="宋体" w:cs="Times New Roman"/>
          <w:b/>
          <w:bCs/>
          <w:color w:val="auto"/>
          <w:sz w:val="24"/>
          <w:szCs w:val="32"/>
          <w:highlight w:val="none"/>
          <w:lang w:val="en-US" w:eastAsia="zh-CN"/>
        </w:rPr>
        <w:t>图</w:t>
      </w:r>
      <w:r>
        <w:rPr>
          <w:rFonts w:hint="default" w:ascii="Times New Roman" w:hAnsi="Times New Roman" w:cs="Times New Roman"/>
          <w:b/>
          <w:bCs/>
          <w:color w:val="auto"/>
          <w:sz w:val="24"/>
          <w:szCs w:val="32"/>
          <w:highlight w:val="none"/>
          <w:lang w:val="en-US" w:eastAsia="zh-CN"/>
        </w:rPr>
        <w:t>2.1-</w:t>
      </w:r>
      <w:r>
        <w:rPr>
          <w:rFonts w:hint="default" w:ascii="Times New Roman" w:hAnsi="Times New Roman" w:eastAsia="宋体" w:cs="Times New Roman"/>
          <w:b/>
          <w:bCs/>
          <w:color w:val="auto"/>
          <w:sz w:val="24"/>
          <w:szCs w:val="32"/>
          <w:highlight w:val="none"/>
          <w:lang w:val="en-US" w:eastAsia="zh-CN"/>
        </w:rPr>
        <w:t>1 本项目危险单元分布图</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红色区域为危险单元分布区</w:t>
      </w:r>
      <w:r>
        <w:rPr>
          <w:rFonts w:hint="default" w:ascii="Times New Roman" w:hAnsi="Times New Roman" w:cs="Times New Roman"/>
          <w:b/>
          <w:bCs/>
          <w:color w:val="auto"/>
          <w:highlight w:val="none"/>
          <w:lang w:eastAsia="zh-CN"/>
        </w:rPr>
        <w:t>）</w:t>
      </w:r>
    </w:p>
    <w:p w14:paraId="56CA8136">
      <w:pPr>
        <w:rPr>
          <w:rFonts w:hint="default" w:ascii="Times New Roman" w:hAnsi="Times New Roman" w:cs="Times New Roman"/>
          <w:b/>
          <w:bCs/>
          <w:color w:val="auto"/>
          <w:lang w:eastAsia="zh-CN"/>
        </w:rPr>
      </w:pPr>
    </w:p>
    <w:p w14:paraId="774657B7">
      <w:pPr>
        <w:pStyle w:val="80"/>
        <w:rPr>
          <w:rFonts w:hint="default" w:ascii="Times New Roman" w:hAnsi="Times New Roman" w:cs="Times New Roman"/>
          <w:b/>
          <w:bCs/>
          <w:color w:val="auto"/>
          <w:lang w:eastAsia="zh-CN"/>
        </w:rPr>
      </w:pPr>
    </w:p>
    <w:p w14:paraId="1B1E5E31">
      <w:pPr>
        <w:rPr>
          <w:rFonts w:hint="default" w:ascii="Times New Roman" w:hAnsi="Times New Roman" w:cs="Times New Roman"/>
          <w:color w:val="auto"/>
          <w:lang w:val="en-US" w:eastAsia="zh-CN"/>
        </w:rPr>
        <w:sectPr>
          <w:pgSz w:w="16838" w:h="11906" w:orient="landscape"/>
          <w:pgMar w:top="1559" w:right="1417" w:bottom="1276" w:left="1417" w:header="851" w:footer="680" w:gutter="0"/>
          <w:pgNumType w:fmt="decimal" w:chapStyle="1"/>
          <w:cols w:space="0" w:num="1"/>
          <w:rtlGutter w:val="0"/>
          <w:docGrid w:linePitch="326" w:charSpace="0"/>
        </w:sectPr>
      </w:pPr>
    </w:p>
    <w:p w14:paraId="57CF122F">
      <w:pPr>
        <w:keepNext/>
        <w:keepLines/>
        <w:pageBreakBefore w:val="0"/>
        <w:widowControl/>
        <w:kinsoku/>
        <w:wordWrap/>
        <w:overflowPunct/>
        <w:topLinePunct w:val="0"/>
        <w:autoSpaceDE/>
        <w:autoSpaceDN/>
        <w:bidi w:val="0"/>
        <w:adjustRightInd w:val="0"/>
        <w:snapToGrid w:val="0"/>
        <w:spacing w:line="360" w:lineRule="auto"/>
        <w:jc w:val="left"/>
        <w:textAlignment w:val="auto"/>
        <w:outlineLvl w:val="1"/>
        <w:rPr>
          <w:rFonts w:hint="default" w:ascii="Times New Roman" w:hAnsi="Times New Roman" w:eastAsia="宋体" w:cs="Times New Roman"/>
          <w:b/>
          <w:bCs/>
          <w:color w:val="auto"/>
          <w:kern w:val="0"/>
          <w:sz w:val="30"/>
          <w:szCs w:val="30"/>
          <w:lang w:eastAsia="zh-CN"/>
        </w:rPr>
      </w:pPr>
      <w:bookmarkStart w:id="41" w:name="_Toc6145"/>
      <w:r>
        <w:rPr>
          <w:rFonts w:hint="default" w:ascii="Times New Roman" w:hAnsi="Times New Roman" w:eastAsia="宋体" w:cs="Times New Roman"/>
          <w:b/>
          <w:bCs/>
          <w:color w:val="auto"/>
          <w:kern w:val="0"/>
          <w:sz w:val="30"/>
          <w:szCs w:val="30"/>
          <w:lang w:eastAsia="zh-CN"/>
        </w:rPr>
        <w:t>2.2 环境敏感目标调查</w:t>
      </w:r>
      <w:bookmarkEnd w:id="41"/>
    </w:p>
    <w:p w14:paraId="7D4A567C">
      <w:pPr>
        <w:spacing w:line="360" w:lineRule="auto"/>
        <w:ind w:firstLine="480" w:firstLineChars="200"/>
        <w:rPr>
          <w:rFonts w:hint="default" w:ascii="Times New Roman" w:hAnsi="Times New Roman" w:eastAsia="宋体" w:cs="Times New Roman"/>
          <w:color w:val="auto"/>
          <w:kern w:val="0"/>
          <w:sz w:val="28"/>
          <w:szCs w:val="28"/>
        </w:rPr>
      </w:pPr>
      <w:r>
        <w:rPr>
          <w:rFonts w:hint="default" w:ascii="Times New Roman" w:hAnsi="Times New Roman" w:eastAsia="宋体" w:cs="Times New Roman"/>
          <w:color w:val="auto"/>
          <w:kern w:val="0"/>
          <w:sz w:val="24"/>
        </w:rPr>
        <w:t>本次环评根据现场调查以及收集的有关资料，</w:t>
      </w:r>
      <w:r>
        <w:rPr>
          <w:rFonts w:hint="default" w:ascii="Times New Roman" w:hAnsi="Times New Roman" w:eastAsia="宋体" w:cs="Times New Roman"/>
          <w:color w:val="auto"/>
          <w:sz w:val="24"/>
          <w:szCs w:val="21"/>
          <w:lang w:val="zh-CN"/>
        </w:rPr>
        <w:t>本项目位于</w:t>
      </w:r>
      <w:r>
        <w:rPr>
          <w:rFonts w:hint="default" w:ascii="Times New Roman" w:hAnsi="Times New Roman" w:cs="Times New Roman"/>
          <w:color w:val="auto"/>
          <w:sz w:val="24"/>
          <w:szCs w:val="21"/>
          <w:lang w:val="zh-CN"/>
        </w:rPr>
        <w:t>山东省淄博市淄川区双杨镇赵瓦村102省道与张博路交叉口东北200米</w:t>
      </w:r>
      <w:r>
        <w:rPr>
          <w:rFonts w:hint="default" w:ascii="Times New Roman" w:hAnsi="Times New Roman" w:eastAsia="宋体" w:cs="Times New Roman"/>
          <w:color w:val="auto"/>
          <w:sz w:val="24"/>
          <w:szCs w:val="21"/>
          <w:lang w:val="zh-CN"/>
        </w:rPr>
        <w:t>，占地类型为</w:t>
      </w:r>
      <w:r>
        <w:rPr>
          <w:rFonts w:hint="default" w:ascii="Times New Roman" w:hAnsi="Times New Roman" w:cs="Times New Roman"/>
          <w:color w:val="auto"/>
          <w:sz w:val="24"/>
          <w:szCs w:val="21"/>
          <w:lang w:val="en-US" w:eastAsia="zh-CN"/>
        </w:rPr>
        <w:t>一类</w:t>
      </w:r>
      <w:r>
        <w:rPr>
          <w:rFonts w:hint="default" w:ascii="Times New Roman" w:hAnsi="Times New Roman" w:eastAsia="宋体" w:cs="Times New Roman"/>
          <w:color w:val="auto"/>
          <w:sz w:val="24"/>
          <w:szCs w:val="21"/>
          <w:lang w:val="zh-CN"/>
        </w:rPr>
        <w:t>工业用地，符合土地利用总体规划要求</w:t>
      </w:r>
      <w:r>
        <w:rPr>
          <w:rFonts w:hint="default" w:ascii="Times New Roman" w:hAnsi="Times New Roman" w:eastAsia="宋体" w:cs="Times New Roman"/>
          <w:color w:val="auto"/>
          <w:kern w:val="0"/>
          <w:sz w:val="24"/>
        </w:rPr>
        <w:t>。环境风险评价范围内的环境敏感目标主要是厂址周围村庄、地表水以及地下水，具体分布情况见表</w:t>
      </w:r>
      <w:r>
        <w:rPr>
          <w:rFonts w:hint="default" w:ascii="Times New Roman" w:hAnsi="Times New Roman" w:cs="Times New Roman"/>
          <w:color w:val="auto"/>
          <w:kern w:val="0"/>
          <w:sz w:val="24"/>
          <w:lang w:eastAsia="zh-CN"/>
        </w:rPr>
        <w:t>2.1-</w:t>
      </w:r>
      <w:r>
        <w:rPr>
          <w:rFonts w:hint="default" w:ascii="Times New Roman" w:hAnsi="Times New Roman" w:cs="Times New Roman"/>
          <w:color w:val="auto"/>
          <w:kern w:val="0"/>
          <w:sz w:val="24"/>
          <w:lang w:val="en-US" w:eastAsia="zh-CN"/>
        </w:rPr>
        <w:t>5</w:t>
      </w:r>
      <w:r>
        <w:rPr>
          <w:rFonts w:hint="default" w:ascii="Times New Roman" w:hAnsi="Times New Roman" w:eastAsia="宋体" w:cs="Times New Roman"/>
          <w:color w:val="auto"/>
          <w:kern w:val="0"/>
          <w:sz w:val="24"/>
        </w:rPr>
        <w:t xml:space="preserve"> 和环境敏感目标分布图</w:t>
      </w:r>
      <w:r>
        <w:rPr>
          <w:rFonts w:hint="default" w:ascii="Times New Roman" w:hAnsi="Times New Roman" w:cs="Times New Roman"/>
          <w:color w:val="auto"/>
          <w:kern w:val="0"/>
          <w:sz w:val="24"/>
          <w:lang w:eastAsia="zh-CN"/>
        </w:rPr>
        <w:t>2.1-</w:t>
      </w:r>
      <w:r>
        <w:rPr>
          <w:rFonts w:hint="default" w:ascii="Times New Roman" w:hAnsi="Times New Roman" w:eastAsia="宋体" w:cs="Times New Roman"/>
          <w:color w:val="auto"/>
          <w:kern w:val="0"/>
          <w:sz w:val="24"/>
          <w:lang w:val="en-US" w:eastAsia="zh-CN"/>
        </w:rPr>
        <w:t>2</w:t>
      </w:r>
      <w:r>
        <w:rPr>
          <w:rFonts w:hint="default" w:ascii="Times New Roman" w:hAnsi="Times New Roman" w:eastAsia="宋体" w:cs="Times New Roman"/>
          <w:color w:val="auto"/>
          <w:kern w:val="0"/>
          <w:sz w:val="24"/>
        </w:rPr>
        <w:t>。</w:t>
      </w:r>
    </w:p>
    <w:p w14:paraId="094AF791">
      <w:pPr>
        <w:jc w:val="center"/>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表</w:t>
      </w:r>
      <w:r>
        <w:rPr>
          <w:rFonts w:hint="default" w:ascii="Times New Roman" w:hAnsi="Times New Roman" w:cs="Times New Roman"/>
          <w:b/>
          <w:bCs/>
          <w:color w:val="auto"/>
          <w:kern w:val="0"/>
          <w:sz w:val="24"/>
          <w:lang w:eastAsia="zh-CN"/>
        </w:rPr>
        <w:t>2.1-</w:t>
      </w:r>
      <w:r>
        <w:rPr>
          <w:rFonts w:hint="default" w:ascii="Times New Roman" w:hAnsi="Times New Roman" w:cs="Times New Roman"/>
          <w:b/>
          <w:bCs/>
          <w:color w:val="auto"/>
          <w:kern w:val="0"/>
          <w:sz w:val="24"/>
          <w:lang w:val="en-US" w:eastAsia="zh-CN"/>
        </w:rPr>
        <w:t>5</w:t>
      </w:r>
      <w:r>
        <w:rPr>
          <w:rFonts w:hint="default" w:ascii="Times New Roman" w:hAnsi="Times New Roman" w:eastAsia="宋体" w:cs="Times New Roman"/>
          <w:b/>
          <w:bCs/>
          <w:color w:val="auto"/>
          <w:kern w:val="0"/>
          <w:sz w:val="24"/>
        </w:rPr>
        <w:t xml:space="preserve"> 环境风险环境敏感特性表</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45"/>
        <w:gridCol w:w="808"/>
        <w:gridCol w:w="2387"/>
        <w:gridCol w:w="971"/>
        <w:gridCol w:w="1648"/>
        <w:gridCol w:w="1175"/>
        <w:gridCol w:w="1153"/>
      </w:tblGrid>
      <w:tr w14:paraId="7DC63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1145" w:type="dxa"/>
            <w:shd w:val="clear" w:color="auto" w:fill="auto"/>
            <w:vAlign w:val="center"/>
          </w:tcPr>
          <w:p w14:paraId="081B4399">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保护类别</w:t>
            </w:r>
          </w:p>
        </w:tc>
        <w:tc>
          <w:tcPr>
            <w:tcW w:w="3195" w:type="dxa"/>
            <w:gridSpan w:val="2"/>
            <w:shd w:val="clear" w:color="auto" w:fill="auto"/>
            <w:vAlign w:val="center"/>
          </w:tcPr>
          <w:p w14:paraId="08EACB2C">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保护目标</w:t>
            </w:r>
          </w:p>
        </w:tc>
        <w:tc>
          <w:tcPr>
            <w:tcW w:w="971" w:type="dxa"/>
            <w:shd w:val="clear" w:color="auto" w:fill="auto"/>
            <w:vAlign w:val="center"/>
          </w:tcPr>
          <w:p w14:paraId="11F6A597">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方位</w:t>
            </w:r>
          </w:p>
        </w:tc>
        <w:tc>
          <w:tcPr>
            <w:tcW w:w="1648" w:type="dxa"/>
            <w:shd w:val="clear" w:color="auto" w:fill="auto"/>
            <w:vAlign w:val="center"/>
          </w:tcPr>
          <w:p w14:paraId="362AF8CE">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距离</w:t>
            </w:r>
            <w:r>
              <w:rPr>
                <w:rFonts w:hint="default" w:ascii="Times New Roman" w:hAnsi="Times New Roman" w:eastAsia="宋体" w:cs="Times New Roman"/>
                <w:color w:val="auto"/>
                <w:kern w:val="0"/>
                <w:sz w:val="21"/>
                <w:szCs w:val="21"/>
                <w:lang w:eastAsia="zh-CN"/>
              </w:rPr>
              <w:t>本项目</w:t>
            </w:r>
            <w:r>
              <w:rPr>
                <w:rFonts w:hint="default" w:ascii="Times New Roman" w:hAnsi="Times New Roman" w:eastAsia="宋体" w:cs="Times New Roman"/>
                <w:color w:val="auto"/>
                <w:kern w:val="0"/>
                <w:sz w:val="21"/>
                <w:szCs w:val="21"/>
              </w:rPr>
              <w:t>边界距离m</w:t>
            </w:r>
          </w:p>
        </w:tc>
        <w:tc>
          <w:tcPr>
            <w:tcW w:w="1175" w:type="dxa"/>
            <w:shd w:val="clear" w:color="auto" w:fill="auto"/>
            <w:vAlign w:val="center"/>
          </w:tcPr>
          <w:p w14:paraId="5FA04BEA">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规模（人）</w:t>
            </w:r>
          </w:p>
        </w:tc>
        <w:tc>
          <w:tcPr>
            <w:tcW w:w="1153" w:type="dxa"/>
            <w:shd w:val="clear" w:color="auto" w:fill="auto"/>
            <w:vAlign w:val="center"/>
          </w:tcPr>
          <w:p w14:paraId="04610288">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属性</w:t>
            </w:r>
          </w:p>
        </w:tc>
      </w:tr>
      <w:tr w14:paraId="33DC6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1145" w:type="dxa"/>
            <w:vMerge w:val="restart"/>
            <w:shd w:val="clear" w:color="auto" w:fill="auto"/>
            <w:vAlign w:val="center"/>
          </w:tcPr>
          <w:p w14:paraId="38ED9CCB">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环境空气</w:t>
            </w:r>
          </w:p>
        </w:tc>
        <w:tc>
          <w:tcPr>
            <w:tcW w:w="808" w:type="dxa"/>
            <w:shd w:val="clear" w:color="auto" w:fill="auto"/>
            <w:vAlign w:val="center"/>
          </w:tcPr>
          <w:p w14:paraId="6CC3C969">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kern w:val="0"/>
                <w:sz w:val="21"/>
                <w:szCs w:val="21"/>
                <w:lang w:val="en-US"/>
              </w:rPr>
              <w:t>1</w:t>
            </w:r>
          </w:p>
        </w:tc>
        <w:tc>
          <w:tcPr>
            <w:tcW w:w="2387" w:type="dxa"/>
            <w:shd w:val="clear" w:color="auto" w:fill="auto"/>
            <w:vAlign w:val="center"/>
          </w:tcPr>
          <w:p w14:paraId="58AFE4BA">
            <w:pPr>
              <w:pStyle w:val="1267"/>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赵瓦村</w:t>
            </w:r>
          </w:p>
        </w:tc>
        <w:tc>
          <w:tcPr>
            <w:tcW w:w="971" w:type="dxa"/>
            <w:shd w:val="clear" w:color="auto" w:fill="auto"/>
            <w:vAlign w:val="center"/>
          </w:tcPr>
          <w:p w14:paraId="7371E398">
            <w:pPr>
              <w:pStyle w:val="1267"/>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SW</w:t>
            </w:r>
          </w:p>
        </w:tc>
        <w:tc>
          <w:tcPr>
            <w:tcW w:w="1648" w:type="dxa"/>
            <w:shd w:val="clear" w:color="auto" w:fill="auto"/>
            <w:vAlign w:val="center"/>
          </w:tcPr>
          <w:p w14:paraId="465D53A7">
            <w:pPr>
              <w:pStyle w:val="1267"/>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1160</w:t>
            </w:r>
          </w:p>
        </w:tc>
        <w:tc>
          <w:tcPr>
            <w:tcW w:w="1175" w:type="dxa"/>
            <w:shd w:val="clear" w:color="auto" w:fill="auto"/>
            <w:vAlign w:val="center"/>
          </w:tcPr>
          <w:p w14:paraId="35CA261D">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1600</w:t>
            </w:r>
          </w:p>
        </w:tc>
        <w:tc>
          <w:tcPr>
            <w:tcW w:w="1153" w:type="dxa"/>
            <w:shd w:val="clear" w:color="auto" w:fill="auto"/>
            <w:vAlign w:val="center"/>
          </w:tcPr>
          <w:p w14:paraId="333BDE33">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居住区</w:t>
            </w:r>
          </w:p>
        </w:tc>
      </w:tr>
      <w:tr w14:paraId="1E194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1145" w:type="dxa"/>
            <w:vMerge w:val="continue"/>
            <w:shd w:val="clear" w:color="auto" w:fill="auto"/>
            <w:vAlign w:val="center"/>
          </w:tcPr>
          <w:p w14:paraId="74EE3157">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3B31BE74">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kern w:val="0"/>
                <w:sz w:val="21"/>
                <w:szCs w:val="21"/>
                <w:lang w:val="en-US"/>
              </w:rPr>
              <w:t>2</w:t>
            </w:r>
          </w:p>
        </w:tc>
        <w:tc>
          <w:tcPr>
            <w:tcW w:w="2387" w:type="dxa"/>
            <w:shd w:val="clear" w:color="auto" w:fill="auto"/>
            <w:vAlign w:val="center"/>
          </w:tcPr>
          <w:p w14:paraId="0816DE09">
            <w:pPr>
              <w:pStyle w:val="1267"/>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董家村</w:t>
            </w:r>
          </w:p>
        </w:tc>
        <w:tc>
          <w:tcPr>
            <w:tcW w:w="971" w:type="dxa"/>
            <w:shd w:val="clear" w:color="auto" w:fill="auto"/>
            <w:vAlign w:val="center"/>
          </w:tcPr>
          <w:p w14:paraId="47A15A85">
            <w:pPr>
              <w:pStyle w:val="1267"/>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SW</w:t>
            </w:r>
          </w:p>
        </w:tc>
        <w:tc>
          <w:tcPr>
            <w:tcW w:w="1648" w:type="dxa"/>
            <w:shd w:val="clear" w:color="auto" w:fill="auto"/>
            <w:vAlign w:val="center"/>
          </w:tcPr>
          <w:p w14:paraId="2C0882DC">
            <w:pPr>
              <w:pStyle w:val="1267"/>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2280</w:t>
            </w:r>
          </w:p>
        </w:tc>
        <w:tc>
          <w:tcPr>
            <w:tcW w:w="1175" w:type="dxa"/>
            <w:shd w:val="clear" w:color="auto" w:fill="auto"/>
            <w:vAlign w:val="center"/>
          </w:tcPr>
          <w:p w14:paraId="20339BB9">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1200</w:t>
            </w:r>
          </w:p>
        </w:tc>
        <w:tc>
          <w:tcPr>
            <w:tcW w:w="1153" w:type="dxa"/>
            <w:shd w:val="clear" w:color="auto" w:fill="auto"/>
            <w:vAlign w:val="center"/>
          </w:tcPr>
          <w:p w14:paraId="04464C50">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居住区</w:t>
            </w:r>
          </w:p>
        </w:tc>
      </w:tr>
      <w:tr w14:paraId="58256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27DC918D">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2A0D21A9">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w:t>
            </w:r>
          </w:p>
        </w:tc>
        <w:tc>
          <w:tcPr>
            <w:tcW w:w="2387" w:type="dxa"/>
            <w:shd w:val="clear" w:color="auto" w:fill="auto"/>
            <w:vAlign w:val="center"/>
          </w:tcPr>
          <w:p w14:paraId="5B1CFBAF">
            <w:pPr>
              <w:pStyle w:val="1267"/>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坡子庄村</w:t>
            </w:r>
          </w:p>
        </w:tc>
        <w:tc>
          <w:tcPr>
            <w:tcW w:w="971" w:type="dxa"/>
            <w:shd w:val="clear" w:color="auto" w:fill="auto"/>
            <w:vAlign w:val="center"/>
          </w:tcPr>
          <w:p w14:paraId="2DF538A2">
            <w:pPr>
              <w:pStyle w:val="1267"/>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SW</w:t>
            </w:r>
          </w:p>
        </w:tc>
        <w:tc>
          <w:tcPr>
            <w:tcW w:w="1648" w:type="dxa"/>
            <w:shd w:val="clear" w:color="auto" w:fill="auto"/>
            <w:vAlign w:val="center"/>
          </w:tcPr>
          <w:p w14:paraId="7F2506E9">
            <w:pPr>
              <w:pStyle w:val="1267"/>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3230</w:t>
            </w:r>
          </w:p>
        </w:tc>
        <w:tc>
          <w:tcPr>
            <w:tcW w:w="1175" w:type="dxa"/>
            <w:shd w:val="clear" w:color="auto" w:fill="auto"/>
            <w:vAlign w:val="center"/>
          </w:tcPr>
          <w:p w14:paraId="33334818">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550</w:t>
            </w:r>
          </w:p>
        </w:tc>
        <w:tc>
          <w:tcPr>
            <w:tcW w:w="1153" w:type="dxa"/>
            <w:shd w:val="clear" w:color="auto" w:fill="auto"/>
            <w:vAlign w:val="center"/>
          </w:tcPr>
          <w:p w14:paraId="53E2B7A4">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67B81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03635F34">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3809FAB1">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w:t>
            </w:r>
          </w:p>
        </w:tc>
        <w:tc>
          <w:tcPr>
            <w:tcW w:w="2387" w:type="dxa"/>
            <w:shd w:val="clear" w:color="auto" w:fill="auto"/>
            <w:vAlign w:val="center"/>
          </w:tcPr>
          <w:p w14:paraId="1124FF0E">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东谭村</w:t>
            </w:r>
          </w:p>
        </w:tc>
        <w:tc>
          <w:tcPr>
            <w:tcW w:w="971" w:type="dxa"/>
            <w:shd w:val="clear" w:color="auto" w:fill="auto"/>
            <w:vAlign w:val="center"/>
          </w:tcPr>
          <w:p w14:paraId="07A5198B">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SW</w:t>
            </w:r>
          </w:p>
        </w:tc>
        <w:tc>
          <w:tcPr>
            <w:tcW w:w="1648" w:type="dxa"/>
            <w:shd w:val="clear" w:color="auto" w:fill="auto"/>
            <w:vAlign w:val="center"/>
          </w:tcPr>
          <w:p w14:paraId="24C31B45">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4530</w:t>
            </w:r>
          </w:p>
        </w:tc>
        <w:tc>
          <w:tcPr>
            <w:tcW w:w="1175" w:type="dxa"/>
            <w:shd w:val="clear" w:color="auto" w:fill="auto"/>
            <w:vAlign w:val="center"/>
          </w:tcPr>
          <w:p w14:paraId="2D57F03D">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800</w:t>
            </w:r>
          </w:p>
        </w:tc>
        <w:tc>
          <w:tcPr>
            <w:tcW w:w="1153" w:type="dxa"/>
            <w:shd w:val="clear" w:color="auto" w:fill="auto"/>
            <w:vAlign w:val="center"/>
          </w:tcPr>
          <w:p w14:paraId="0575A861">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3D085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2B3FC146">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69BBBACD">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5</w:t>
            </w:r>
          </w:p>
        </w:tc>
        <w:tc>
          <w:tcPr>
            <w:tcW w:w="2387" w:type="dxa"/>
            <w:shd w:val="clear" w:color="auto" w:fill="auto"/>
            <w:vAlign w:val="center"/>
          </w:tcPr>
          <w:p w14:paraId="47DAB2CD">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贾村</w:t>
            </w:r>
          </w:p>
        </w:tc>
        <w:tc>
          <w:tcPr>
            <w:tcW w:w="971" w:type="dxa"/>
            <w:shd w:val="clear" w:color="auto" w:fill="auto"/>
            <w:vAlign w:val="center"/>
          </w:tcPr>
          <w:p w14:paraId="72FCEE04">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SW</w:t>
            </w:r>
          </w:p>
        </w:tc>
        <w:tc>
          <w:tcPr>
            <w:tcW w:w="1648" w:type="dxa"/>
            <w:shd w:val="clear" w:color="auto" w:fill="auto"/>
            <w:vAlign w:val="center"/>
          </w:tcPr>
          <w:p w14:paraId="62C59FA2">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3400</w:t>
            </w:r>
          </w:p>
        </w:tc>
        <w:tc>
          <w:tcPr>
            <w:tcW w:w="1175" w:type="dxa"/>
            <w:shd w:val="clear" w:color="auto" w:fill="auto"/>
            <w:vAlign w:val="center"/>
          </w:tcPr>
          <w:p w14:paraId="54CD9069">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1000</w:t>
            </w:r>
          </w:p>
        </w:tc>
        <w:tc>
          <w:tcPr>
            <w:tcW w:w="1153" w:type="dxa"/>
            <w:shd w:val="clear" w:color="auto" w:fill="auto"/>
            <w:vAlign w:val="center"/>
          </w:tcPr>
          <w:p w14:paraId="229CC007">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4EA0F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7656EAAB">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072F3D73">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6</w:t>
            </w:r>
          </w:p>
        </w:tc>
        <w:tc>
          <w:tcPr>
            <w:tcW w:w="2387" w:type="dxa"/>
            <w:shd w:val="clear" w:color="auto" w:fill="auto"/>
            <w:vAlign w:val="center"/>
          </w:tcPr>
          <w:p w14:paraId="63B8B9AA">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小庄村</w:t>
            </w:r>
          </w:p>
        </w:tc>
        <w:tc>
          <w:tcPr>
            <w:tcW w:w="971" w:type="dxa"/>
            <w:shd w:val="clear" w:color="auto" w:fill="auto"/>
            <w:vAlign w:val="center"/>
          </w:tcPr>
          <w:p w14:paraId="1B27356B">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SW</w:t>
            </w:r>
          </w:p>
        </w:tc>
        <w:tc>
          <w:tcPr>
            <w:tcW w:w="1648" w:type="dxa"/>
            <w:shd w:val="clear" w:color="auto" w:fill="auto"/>
            <w:vAlign w:val="center"/>
          </w:tcPr>
          <w:p w14:paraId="15A1B6E9">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2122</w:t>
            </w:r>
          </w:p>
        </w:tc>
        <w:tc>
          <w:tcPr>
            <w:tcW w:w="1175" w:type="dxa"/>
            <w:shd w:val="clear" w:color="auto" w:fill="auto"/>
            <w:vAlign w:val="center"/>
          </w:tcPr>
          <w:p w14:paraId="2101592F">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1100</w:t>
            </w:r>
          </w:p>
        </w:tc>
        <w:tc>
          <w:tcPr>
            <w:tcW w:w="1153" w:type="dxa"/>
            <w:shd w:val="clear" w:color="auto" w:fill="auto"/>
            <w:vAlign w:val="center"/>
          </w:tcPr>
          <w:p w14:paraId="7C2DF3BB">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540FB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04B371AD">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66F49AC0">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7</w:t>
            </w:r>
          </w:p>
        </w:tc>
        <w:tc>
          <w:tcPr>
            <w:tcW w:w="2387" w:type="dxa"/>
            <w:shd w:val="clear" w:color="auto" w:fill="auto"/>
            <w:vAlign w:val="center"/>
          </w:tcPr>
          <w:p w14:paraId="14D37E75">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孙家</w:t>
            </w:r>
          </w:p>
        </w:tc>
        <w:tc>
          <w:tcPr>
            <w:tcW w:w="971" w:type="dxa"/>
            <w:shd w:val="clear" w:color="auto" w:fill="auto"/>
            <w:vAlign w:val="center"/>
          </w:tcPr>
          <w:p w14:paraId="517962E3">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SW</w:t>
            </w:r>
          </w:p>
        </w:tc>
        <w:tc>
          <w:tcPr>
            <w:tcW w:w="1648" w:type="dxa"/>
            <w:shd w:val="clear" w:color="auto" w:fill="auto"/>
            <w:vAlign w:val="center"/>
          </w:tcPr>
          <w:p w14:paraId="620B09E1">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1540</w:t>
            </w:r>
          </w:p>
        </w:tc>
        <w:tc>
          <w:tcPr>
            <w:tcW w:w="1175" w:type="dxa"/>
            <w:shd w:val="clear" w:color="auto" w:fill="auto"/>
            <w:vAlign w:val="center"/>
          </w:tcPr>
          <w:p w14:paraId="77DE1F9A">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1150</w:t>
            </w:r>
          </w:p>
        </w:tc>
        <w:tc>
          <w:tcPr>
            <w:tcW w:w="1153" w:type="dxa"/>
            <w:shd w:val="clear" w:color="auto" w:fill="auto"/>
            <w:vAlign w:val="center"/>
          </w:tcPr>
          <w:p w14:paraId="3F8EC265">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2DA54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098B35DA">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165D5AB9">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8</w:t>
            </w:r>
          </w:p>
        </w:tc>
        <w:tc>
          <w:tcPr>
            <w:tcW w:w="2387" w:type="dxa"/>
            <w:shd w:val="clear" w:color="auto" w:fill="auto"/>
            <w:vAlign w:val="center"/>
          </w:tcPr>
          <w:p w14:paraId="22E72A85">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双凤生活区</w:t>
            </w:r>
          </w:p>
        </w:tc>
        <w:tc>
          <w:tcPr>
            <w:tcW w:w="971" w:type="dxa"/>
            <w:shd w:val="clear" w:color="auto" w:fill="auto"/>
            <w:vAlign w:val="center"/>
          </w:tcPr>
          <w:p w14:paraId="74947B14">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SW</w:t>
            </w:r>
          </w:p>
        </w:tc>
        <w:tc>
          <w:tcPr>
            <w:tcW w:w="1648" w:type="dxa"/>
            <w:shd w:val="clear" w:color="auto" w:fill="auto"/>
            <w:vAlign w:val="center"/>
          </w:tcPr>
          <w:p w14:paraId="60D2F0FB">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1600</w:t>
            </w:r>
          </w:p>
        </w:tc>
        <w:tc>
          <w:tcPr>
            <w:tcW w:w="1175" w:type="dxa"/>
            <w:shd w:val="clear" w:color="auto" w:fill="auto"/>
            <w:vAlign w:val="center"/>
          </w:tcPr>
          <w:p w14:paraId="6D9C3883">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600</w:t>
            </w:r>
          </w:p>
        </w:tc>
        <w:tc>
          <w:tcPr>
            <w:tcW w:w="1153" w:type="dxa"/>
            <w:shd w:val="clear" w:color="auto" w:fill="auto"/>
            <w:vAlign w:val="center"/>
          </w:tcPr>
          <w:p w14:paraId="4D6EB824">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73C02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1151EEE9">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7F60E62E">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9</w:t>
            </w:r>
          </w:p>
        </w:tc>
        <w:tc>
          <w:tcPr>
            <w:tcW w:w="2387" w:type="dxa"/>
            <w:shd w:val="clear" w:color="auto" w:fill="auto"/>
            <w:vAlign w:val="center"/>
          </w:tcPr>
          <w:p w14:paraId="1567400B">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双河村</w:t>
            </w:r>
          </w:p>
        </w:tc>
        <w:tc>
          <w:tcPr>
            <w:tcW w:w="971" w:type="dxa"/>
            <w:shd w:val="clear" w:color="auto" w:fill="auto"/>
            <w:vAlign w:val="center"/>
          </w:tcPr>
          <w:p w14:paraId="2702CB5C">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S</w:t>
            </w:r>
          </w:p>
        </w:tc>
        <w:tc>
          <w:tcPr>
            <w:tcW w:w="1648" w:type="dxa"/>
            <w:shd w:val="clear" w:color="auto" w:fill="auto"/>
            <w:vAlign w:val="center"/>
          </w:tcPr>
          <w:p w14:paraId="35CB5EF3">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1760</w:t>
            </w:r>
          </w:p>
        </w:tc>
        <w:tc>
          <w:tcPr>
            <w:tcW w:w="1175" w:type="dxa"/>
            <w:shd w:val="clear" w:color="auto" w:fill="auto"/>
            <w:vAlign w:val="center"/>
          </w:tcPr>
          <w:p w14:paraId="7AAC1F26">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500</w:t>
            </w:r>
          </w:p>
        </w:tc>
        <w:tc>
          <w:tcPr>
            <w:tcW w:w="1153" w:type="dxa"/>
            <w:shd w:val="clear" w:color="auto" w:fill="auto"/>
            <w:vAlign w:val="center"/>
          </w:tcPr>
          <w:p w14:paraId="2ED60630">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41D92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74094805">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047314C8">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10</w:t>
            </w:r>
          </w:p>
        </w:tc>
        <w:tc>
          <w:tcPr>
            <w:tcW w:w="2387" w:type="dxa"/>
            <w:shd w:val="clear" w:color="auto" w:fill="auto"/>
            <w:vAlign w:val="center"/>
          </w:tcPr>
          <w:p w14:paraId="4CB2C261">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牟村</w:t>
            </w:r>
          </w:p>
        </w:tc>
        <w:tc>
          <w:tcPr>
            <w:tcW w:w="971" w:type="dxa"/>
            <w:shd w:val="clear" w:color="auto" w:fill="auto"/>
            <w:vAlign w:val="center"/>
          </w:tcPr>
          <w:p w14:paraId="2CC093AA">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SSW</w:t>
            </w:r>
          </w:p>
        </w:tc>
        <w:tc>
          <w:tcPr>
            <w:tcW w:w="1648" w:type="dxa"/>
            <w:shd w:val="clear" w:color="auto" w:fill="auto"/>
            <w:vAlign w:val="center"/>
          </w:tcPr>
          <w:p w14:paraId="60BB2882">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2600</w:t>
            </w:r>
          </w:p>
        </w:tc>
        <w:tc>
          <w:tcPr>
            <w:tcW w:w="1175" w:type="dxa"/>
            <w:shd w:val="clear" w:color="auto" w:fill="auto"/>
            <w:vAlign w:val="center"/>
          </w:tcPr>
          <w:p w14:paraId="6E6A9B2D">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600</w:t>
            </w:r>
          </w:p>
        </w:tc>
        <w:tc>
          <w:tcPr>
            <w:tcW w:w="1153" w:type="dxa"/>
            <w:shd w:val="clear" w:color="auto" w:fill="auto"/>
            <w:vAlign w:val="center"/>
          </w:tcPr>
          <w:p w14:paraId="009F842B">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77CFB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46608323">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26ADAC12">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11</w:t>
            </w:r>
          </w:p>
        </w:tc>
        <w:tc>
          <w:tcPr>
            <w:tcW w:w="2387" w:type="dxa"/>
            <w:shd w:val="clear" w:color="auto" w:fill="auto"/>
            <w:vAlign w:val="center"/>
          </w:tcPr>
          <w:p w14:paraId="68CC576C">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双沟中学</w:t>
            </w:r>
          </w:p>
        </w:tc>
        <w:tc>
          <w:tcPr>
            <w:tcW w:w="971" w:type="dxa"/>
            <w:shd w:val="clear" w:color="auto" w:fill="auto"/>
            <w:vAlign w:val="center"/>
          </w:tcPr>
          <w:p w14:paraId="07FBFC32">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S</w:t>
            </w:r>
          </w:p>
        </w:tc>
        <w:tc>
          <w:tcPr>
            <w:tcW w:w="1648" w:type="dxa"/>
            <w:shd w:val="clear" w:color="auto" w:fill="auto"/>
            <w:vAlign w:val="center"/>
          </w:tcPr>
          <w:p w14:paraId="33F6E5F1">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1600</w:t>
            </w:r>
          </w:p>
        </w:tc>
        <w:tc>
          <w:tcPr>
            <w:tcW w:w="1175" w:type="dxa"/>
            <w:shd w:val="clear" w:color="auto" w:fill="auto"/>
            <w:vAlign w:val="center"/>
          </w:tcPr>
          <w:p w14:paraId="7CC48B47">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2000</w:t>
            </w:r>
          </w:p>
        </w:tc>
        <w:tc>
          <w:tcPr>
            <w:tcW w:w="1153" w:type="dxa"/>
            <w:shd w:val="clear" w:color="auto" w:fill="auto"/>
            <w:vAlign w:val="center"/>
          </w:tcPr>
          <w:p w14:paraId="66F78B0C">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学校</w:t>
            </w:r>
          </w:p>
        </w:tc>
      </w:tr>
      <w:tr w14:paraId="3A6DE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531C8FAE">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39470062">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12</w:t>
            </w:r>
          </w:p>
        </w:tc>
        <w:tc>
          <w:tcPr>
            <w:tcW w:w="2387" w:type="dxa"/>
            <w:shd w:val="clear" w:color="auto" w:fill="auto"/>
            <w:vAlign w:val="center"/>
          </w:tcPr>
          <w:p w14:paraId="720A5B47">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双沟村</w:t>
            </w:r>
          </w:p>
        </w:tc>
        <w:tc>
          <w:tcPr>
            <w:tcW w:w="971" w:type="dxa"/>
            <w:shd w:val="clear" w:color="auto" w:fill="auto"/>
            <w:vAlign w:val="center"/>
          </w:tcPr>
          <w:p w14:paraId="51190175">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SE</w:t>
            </w:r>
          </w:p>
        </w:tc>
        <w:tc>
          <w:tcPr>
            <w:tcW w:w="1648" w:type="dxa"/>
            <w:shd w:val="clear" w:color="auto" w:fill="auto"/>
            <w:vAlign w:val="center"/>
          </w:tcPr>
          <w:p w14:paraId="286A0013">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1755</w:t>
            </w:r>
          </w:p>
        </w:tc>
        <w:tc>
          <w:tcPr>
            <w:tcW w:w="1175" w:type="dxa"/>
            <w:shd w:val="clear" w:color="auto" w:fill="auto"/>
            <w:vAlign w:val="center"/>
          </w:tcPr>
          <w:p w14:paraId="2D341C40">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1000</w:t>
            </w:r>
          </w:p>
        </w:tc>
        <w:tc>
          <w:tcPr>
            <w:tcW w:w="1153" w:type="dxa"/>
            <w:shd w:val="clear" w:color="auto" w:fill="auto"/>
            <w:vAlign w:val="center"/>
          </w:tcPr>
          <w:p w14:paraId="11F2B1C1">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44A23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20E885D6">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0D97E4A3">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13</w:t>
            </w:r>
          </w:p>
        </w:tc>
        <w:tc>
          <w:tcPr>
            <w:tcW w:w="2387" w:type="dxa"/>
            <w:shd w:val="clear" w:color="auto" w:fill="auto"/>
            <w:vAlign w:val="center"/>
          </w:tcPr>
          <w:p w14:paraId="12EC3EEC">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西张村</w:t>
            </w:r>
          </w:p>
        </w:tc>
        <w:tc>
          <w:tcPr>
            <w:tcW w:w="971" w:type="dxa"/>
            <w:shd w:val="clear" w:color="auto" w:fill="auto"/>
            <w:vAlign w:val="center"/>
          </w:tcPr>
          <w:p w14:paraId="3903537D">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SSE</w:t>
            </w:r>
          </w:p>
        </w:tc>
        <w:tc>
          <w:tcPr>
            <w:tcW w:w="1648" w:type="dxa"/>
            <w:shd w:val="clear" w:color="auto" w:fill="auto"/>
            <w:vAlign w:val="center"/>
          </w:tcPr>
          <w:p w14:paraId="707FAC86">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2650</w:t>
            </w:r>
          </w:p>
        </w:tc>
        <w:tc>
          <w:tcPr>
            <w:tcW w:w="1175" w:type="dxa"/>
            <w:shd w:val="clear" w:color="auto" w:fill="auto"/>
            <w:vAlign w:val="center"/>
          </w:tcPr>
          <w:p w14:paraId="1F547A04">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580</w:t>
            </w:r>
          </w:p>
        </w:tc>
        <w:tc>
          <w:tcPr>
            <w:tcW w:w="1153" w:type="dxa"/>
            <w:shd w:val="clear" w:color="auto" w:fill="auto"/>
            <w:vAlign w:val="center"/>
          </w:tcPr>
          <w:p w14:paraId="3C9AFB88">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63B1E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56C13308">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1DE619CA">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14</w:t>
            </w:r>
          </w:p>
        </w:tc>
        <w:tc>
          <w:tcPr>
            <w:tcW w:w="2387" w:type="dxa"/>
            <w:shd w:val="clear" w:color="auto" w:fill="auto"/>
            <w:vAlign w:val="center"/>
          </w:tcPr>
          <w:p w14:paraId="297F5378">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十里铺村</w:t>
            </w:r>
          </w:p>
        </w:tc>
        <w:tc>
          <w:tcPr>
            <w:tcW w:w="971" w:type="dxa"/>
            <w:shd w:val="clear" w:color="auto" w:fill="auto"/>
            <w:vAlign w:val="center"/>
          </w:tcPr>
          <w:p w14:paraId="2C98B833">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SSW</w:t>
            </w:r>
          </w:p>
        </w:tc>
        <w:tc>
          <w:tcPr>
            <w:tcW w:w="1648" w:type="dxa"/>
            <w:shd w:val="clear" w:color="auto" w:fill="auto"/>
            <w:vAlign w:val="center"/>
          </w:tcPr>
          <w:p w14:paraId="187D044D">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3400</w:t>
            </w:r>
          </w:p>
        </w:tc>
        <w:tc>
          <w:tcPr>
            <w:tcW w:w="1175" w:type="dxa"/>
            <w:shd w:val="clear" w:color="auto" w:fill="auto"/>
            <w:vAlign w:val="center"/>
          </w:tcPr>
          <w:p w14:paraId="1D8ACCF8">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1800</w:t>
            </w:r>
          </w:p>
        </w:tc>
        <w:tc>
          <w:tcPr>
            <w:tcW w:w="1153" w:type="dxa"/>
            <w:shd w:val="clear" w:color="auto" w:fill="auto"/>
            <w:vAlign w:val="center"/>
          </w:tcPr>
          <w:p w14:paraId="0ED74FAA">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2BC66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098A4A22">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66C0C844">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15</w:t>
            </w:r>
          </w:p>
        </w:tc>
        <w:tc>
          <w:tcPr>
            <w:tcW w:w="2387" w:type="dxa"/>
            <w:shd w:val="clear" w:color="auto" w:fill="auto"/>
            <w:vAlign w:val="center"/>
          </w:tcPr>
          <w:p w14:paraId="26B126C9">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双辛庄村</w:t>
            </w:r>
          </w:p>
        </w:tc>
        <w:tc>
          <w:tcPr>
            <w:tcW w:w="971" w:type="dxa"/>
            <w:shd w:val="clear" w:color="auto" w:fill="auto"/>
            <w:vAlign w:val="center"/>
          </w:tcPr>
          <w:p w14:paraId="37EF4FC9">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SE</w:t>
            </w:r>
          </w:p>
        </w:tc>
        <w:tc>
          <w:tcPr>
            <w:tcW w:w="1648" w:type="dxa"/>
            <w:shd w:val="clear" w:color="auto" w:fill="auto"/>
            <w:vAlign w:val="center"/>
          </w:tcPr>
          <w:p w14:paraId="4E89714F">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3320</w:t>
            </w:r>
          </w:p>
        </w:tc>
        <w:tc>
          <w:tcPr>
            <w:tcW w:w="1175" w:type="dxa"/>
            <w:shd w:val="clear" w:color="auto" w:fill="auto"/>
            <w:vAlign w:val="center"/>
          </w:tcPr>
          <w:p w14:paraId="5EEFFA5E">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1500</w:t>
            </w:r>
          </w:p>
        </w:tc>
        <w:tc>
          <w:tcPr>
            <w:tcW w:w="1153" w:type="dxa"/>
            <w:shd w:val="clear" w:color="auto" w:fill="auto"/>
            <w:vAlign w:val="center"/>
          </w:tcPr>
          <w:p w14:paraId="48AC159D">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7BEF4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682BFB30">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0CFB893C">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16</w:t>
            </w:r>
          </w:p>
        </w:tc>
        <w:tc>
          <w:tcPr>
            <w:tcW w:w="2387" w:type="dxa"/>
            <w:shd w:val="clear" w:color="auto" w:fill="auto"/>
            <w:vAlign w:val="center"/>
          </w:tcPr>
          <w:p w14:paraId="1AF4700D">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藏梓村</w:t>
            </w:r>
          </w:p>
        </w:tc>
        <w:tc>
          <w:tcPr>
            <w:tcW w:w="971" w:type="dxa"/>
            <w:shd w:val="clear" w:color="auto" w:fill="auto"/>
            <w:vAlign w:val="center"/>
          </w:tcPr>
          <w:p w14:paraId="1449AFE7">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SE</w:t>
            </w:r>
          </w:p>
        </w:tc>
        <w:tc>
          <w:tcPr>
            <w:tcW w:w="1648" w:type="dxa"/>
            <w:shd w:val="clear" w:color="auto" w:fill="auto"/>
            <w:vAlign w:val="center"/>
          </w:tcPr>
          <w:p w14:paraId="6599BACC">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4080</w:t>
            </w:r>
          </w:p>
        </w:tc>
        <w:tc>
          <w:tcPr>
            <w:tcW w:w="1175" w:type="dxa"/>
            <w:shd w:val="clear" w:color="auto" w:fill="auto"/>
            <w:vAlign w:val="center"/>
          </w:tcPr>
          <w:p w14:paraId="3FA25F97">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1120</w:t>
            </w:r>
          </w:p>
        </w:tc>
        <w:tc>
          <w:tcPr>
            <w:tcW w:w="1153" w:type="dxa"/>
            <w:shd w:val="clear" w:color="auto" w:fill="auto"/>
            <w:vAlign w:val="center"/>
          </w:tcPr>
          <w:p w14:paraId="37238F2F">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017EA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3A998FB2">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74A39FD9">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17</w:t>
            </w:r>
          </w:p>
        </w:tc>
        <w:tc>
          <w:tcPr>
            <w:tcW w:w="2387" w:type="dxa"/>
            <w:shd w:val="clear" w:color="auto" w:fill="auto"/>
            <w:vAlign w:val="center"/>
          </w:tcPr>
          <w:p w14:paraId="6FD1BA19">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白沙村</w:t>
            </w:r>
          </w:p>
        </w:tc>
        <w:tc>
          <w:tcPr>
            <w:tcW w:w="971" w:type="dxa"/>
            <w:shd w:val="clear" w:color="auto" w:fill="auto"/>
            <w:vAlign w:val="center"/>
          </w:tcPr>
          <w:p w14:paraId="43F48201">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SE</w:t>
            </w:r>
          </w:p>
        </w:tc>
        <w:tc>
          <w:tcPr>
            <w:tcW w:w="1648" w:type="dxa"/>
            <w:shd w:val="clear" w:color="auto" w:fill="auto"/>
            <w:vAlign w:val="center"/>
          </w:tcPr>
          <w:p w14:paraId="4F0C3D6E">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3200</w:t>
            </w:r>
          </w:p>
        </w:tc>
        <w:tc>
          <w:tcPr>
            <w:tcW w:w="1175" w:type="dxa"/>
            <w:shd w:val="clear" w:color="auto" w:fill="auto"/>
            <w:vAlign w:val="center"/>
          </w:tcPr>
          <w:p w14:paraId="0D114DEB">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620</w:t>
            </w:r>
          </w:p>
        </w:tc>
        <w:tc>
          <w:tcPr>
            <w:tcW w:w="1153" w:type="dxa"/>
            <w:shd w:val="clear" w:color="auto" w:fill="auto"/>
            <w:vAlign w:val="center"/>
          </w:tcPr>
          <w:p w14:paraId="7DBD2488">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0FB42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3AB4C17E">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7C3F6A2A">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18</w:t>
            </w:r>
          </w:p>
        </w:tc>
        <w:tc>
          <w:tcPr>
            <w:tcW w:w="2387" w:type="dxa"/>
            <w:shd w:val="clear" w:color="auto" w:fill="auto"/>
            <w:vAlign w:val="center"/>
          </w:tcPr>
          <w:p w14:paraId="5F437CB4">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小赵村</w:t>
            </w:r>
          </w:p>
        </w:tc>
        <w:tc>
          <w:tcPr>
            <w:tcW w:w="971" w:type="dxa"/>
            <w:shd w:val="clear" w:color="auto" w:fill="auto"/>
            <w:vAlign w:val="center"/>
          </w:tcPr>
          <w:p w14:paraId="6A85D145">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SE</w:t>
            </w:r>
          </w:p>
        </w:tc>
        <w:tc>
          <w:tcPr>
            <w:tcW w:w="1648" w:type="dxa"/>
            <w:shd w:val="clear" w:color="auto" w:fill="auto"/>
            <w:vAlign w:val="center"/>
          </w:tcPr>
          <w:p w14:paraId="2317EE9A">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2270</w:t>
            </w:r>
          </w:p>
        </w:tc>
        <w:tc>
          <w:tcPr>
            <w:tcW w:w="1175" w:type="dxa"/>
            <w:shd w:val="clear" w:color="auto" w:fill="auto"/>
            <w:vAlign w:val="center"/>
          </w:tcPr>
          <w:p w14:paraId="3D448F0F">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1140</w:t>
            </w:r>
          </w:p>
        </w:tc>
        <w:tc>
          <w:tcPr>
            <w:tcW w:w="1153" w:type="dxa"/>
            <w:shd w:val="clear" w:color="auto" w:fill="auto"/>
            <w:vAlign w:val="center"/>
          </w:tcPr>
          <w:p w14:paraId="40DA2A68">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居住区</w:t>
            </w:r>
          </w:p>
        </w:tc>
      </w:tr>
      <w:tr w14:paraId="2CF09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5ACD9679">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68E99D19">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19</w:t>
            </w:r>
          </w:p>
        </w:tc>
        <w:tc>
          <w:tcPr>
            <w:tcW w:w="2387" w:type="dxa"/>
            <w:shd w:val="clear" w:color="auto" w:fill="auto"/>
            <w:vAlign w:val="center"/>
          </w:tcPr>
          <w:p w14:paraId="46141B05">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华坞村</w:t>
            </w:r>
          </w:p>
        </w:tc>
        <w:tc>
          <w:tcPr>
            <w:tcW w:w="971" w:type="dxa"/>
            <w:shd w:val="clear" w:color="auto" w:fill="auto"/>
            <w:vAlign w:val="center"/>
          </w:tcPr>
          <w:p w14:paraId="74FA8751">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SE</w:t>
            </w:r>
          </w:p>
        </w:tc>
        <w:tc>
          <w:tcPr>
            <w:tcW w:w="1648" w:type="dxa"/>
            <w:shd w:val="clear" w:color="auto" w:fill="auto"/>
            <w:vAlign w:val="center"/>
          </w:tcPr>
          <w:p w14:paraId="0248E5EA">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1230</w:t>
            </w:r>
          </w:p>
        </w:tc>
        <w:tc>
          <w:tcPr>
            <w:tcW w:w="1175" w:type="dxa"/>
            <w:shd w:val="clear" w:color="auto" w:fill="auto"/>
            <w:vAlign w:val="center"/>
          </w:tcPr>
          <w:p w14:paraId="41433E11">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880</w:t>
            </w:r>
          </w:p>
        </w:tc>
        <w:tc>
          <w:tcPr>
            <w:tcW w:w="1153" w:type="dxa"/>
            <w:shd w:val="clear" w:color="auto" w:fill="auto"/>
            <w:vAlign w:val="center"/>
          </w:tcPr>
          <w:p w14:paraId="39B8E432">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04295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34DA2A23">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7553AE73">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20</w:t>
            </w:r>
          </w:p>
        </w:tc>
        <w:tc>
          <w:tcPr>
            <w:tcW w:w="2387" w:type="dxa"/>
            <w:shd w:val="clear" w:color="auto" w:fill="auto"/>
            <w:vAlign w:val="center"/>
          </w:tcPr>
          <w:p w14:paraId="6DE34F43">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史家村</w:t>
            </w:r>
          </w:p>
        </w:tc>
        <w:tc>
          <w:tcPr>
            <w:tcW w:w="971" w:type="dxa"/>
            <w:shd w:val="clear" w:color="auto" w:fill="auto"/>
            <w:vAlign w:val="center"/>
          </w:tcPr>
          <w:p w14:paraId="303A6D37">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ESE</w:t>
            </w:r>
          </w:p>
        </w:tc>
        <w:tc>
          <w:tcPr>
            <w:tcW w:w="1648" w:type="dxa"/>
            <w:shd w:val="clear" w:color="auto" w:fill="auto"/>
            <w:vAlign w:val="center"/>
          </w:tcPr>
          <w:p w14:paraId="0772A20A">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3450</w:t>
            </w:r>
          </w:p>
        </w:tc>
        <w:tc>
          <w:tcPr>
            <w:tcW w:w="1175" w:type="dxa"/>
            <w:shd w:val="clear" w:color="auto" w:fill="auto"/>
            <w:vAlign w:val="center"/>
          </w:tcPr>
          <w:p w14:paraId="2422429A">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1160</w:t>
            </w:r>
          </w:p>
        </w:tc>
        <w:tc>
          <w:tcPr>
            <w:tcW w:w="1153" w:type="dxa"/>
            <w:shd w:val="clear" w:color="auto" w:fill="auto"/>
            <w:vAlign w:val="center"/>
          </w:tcPr>
          <w:p w14:paraId="1C2E21EF">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42B38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07797701">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2EDD2D32">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21</w:t>
            </w:r>
          </w:p>
        </w:tc>
        <w:tc>
          <w:tcPr>
            <w:tcW w:w="2387" w:type="dxa"/>
            <w:shd w:val="clear" w:color="auto" w:fill="auto"/>
            <w:vAlign w:val="center"/>
          </w:tcPr>
          <w:p w14:paraId="02C3F238">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聂村</w:t>
            </w:r>
          </w:p>
        </w:tc>
        <w:tc>
          <w:tcPr>
            <w:tcW w:w="971" w:type="dxa"/>
            <w:shd w:val="clear" w:color="auto" w:fill="auto"/>
            <w:vAlign w:val="center"/>
          </w:tcPr>
          <w:p w14:paraId="60A7E254">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ENE</w:t>
            </w:r>
          </w:p>
        </w:tc>
        <w:tc>
          <w:tcPr>
            <w:tcW w:w="1648" w:type="dxa"/>
            <w:shd w:val="clear" w:color="auto" w:fill="auto"/>
            <w:vAlign w:val="center"/>
          </w:tcPr>
          <w:p w14:paraId="5CAE2CA5">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4300</w:t>
            </w:r>
          </w:p>
        </w:tc>
        <w:tc>
          <w:tcPr>
            <w:tcW w:w="1175" w:type="dxa"/>
            <w:shd w:val="clear" w:color="auto" w:fill="auto"/>
            <w:vAlign w:val="center"/>
          </w:tcPr>
          <w:p w14:paraId="51ADCCAD">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700</w:t>
            </w:r>
          </w:p>
        </w:tc>
        <w:tc>
          <w:tcPr>
            <w:tcW w:w="1153" w:type="dxa"/>
            <w:shd w:val="clear" w:color="auto" w:fill="auto"/>
            <w:vAlign w:val="center"/>
          </w:tcPr>
          <w:p w14:paraId="603852B8">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75963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3E0DAC15">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247B81D8">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22</w:t>
            </w:r>
          </w:p>
        </w:tc>
        <w:tc>
          <w:tcPr>
            <w:tcW w:w="2387" w:type="dxa"/>
            <w:shd w:val="clear" w:color="auto" w:fill="auto"/>
            <w:vAlign w:val="center"/>
          </w:tcPr>
          <w:p w14:paraId="4F96B708">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南铺村</w:t>
            </w:r>
          </w:p>
        </w:tc>
        <w:tc>
          <w:tcPr>
            <w:tcW w:w="971" w:type="dxa"/>
            <w:shd w:val="clear" w:color="auto" w:fill="auto"/>
            <w:vAlign w:val="center"/>
          </w:tcPr>
          <w:p w14:paraId="30F5DA16">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ENE</w:t>
            </w:r>
          </w:p>
        </w:tc>
        <w:tc>
          <w:tcPr>
            <w:tcW w:w="1648" w:type="dxa"/>
            <w:shd w:val="clear" w:color="auto" w:fill="auto"/>
            <w:vAlign w:val="center"/>
          </w:tcPr>
          <w:p w14:paraId="59C9D559">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1820</w:t>
            </w:r>
          </w:p>
        </w:tc>
        <w:tc>
          <w:tcPr>
            <w:tcW w:w="1175" w:type="dxa"/>
            <w:shd w:val="clear" w:color="auto" w:fill="auto"/>
            <w:vAlign w:val="center"/>
          </w:tcPr>
          <w:p w14:paraId="25909E6C">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450</w:t>
            </w:r>
          </w:p>
        </w:tc>
        <w:tc>
          <w:tcPr>
            <w:tcW w:w="1153" w:type="dxa"/>
            <w:shd w:val="clear" w:color="auto" w:fill="auto"/>
            <w:vAlign w:val="center"/>
          </w:tcPr>
          <w:p w14:paraId="465D601A">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624EC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6136E6E4">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26D9D858">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23</w:t>
            </w:r>
          </w:p>
        </w:tc>
        <w:tc>
          <w:tcPr>
            <w:tcW w:w="2387" w:type="dxa"/>
            <w:shd w:val="clear" w:color="auto" w:fill="auto"/>
            <w:vAlign w:val="center"/>
          </w:tcPr>
          <w:p w14:paraId="25B8C5CA">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暖水河村</w:t>
            </w:r>
          </w:p>
        </w:tc>
        <w:tc>
          <w:tcPr>
            <w:tcW w:w="971" w:type="dxa"/>
            <w:shd w:val="clear" w:color="auto" w:fill="auto"/>
            <w:vAlign w:val="center"/>
          </w:tcPr>
          <w:p w14:paraId="3E8F4281">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NE</w:t>
            </w:r>
          </w:p>
        </w:tc>
        <w:tc>
          <w:tcPr>
            <w:tcW w:w="1648" w:type="dxa"/>
            <w:shd w:val="clear" w:color="auto" w:fill="auto"/>
            <w:vAlign w:val="center"/>
          </w:tcPr>
          <w:p w14:paraId="2F465DFA">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3450</w:t>
            </w:r>
          </w:p>
        </w:tc>
        <w:tc>
          <w:tcPr>
            <w:tcW w:w="1175" w:type="dxa"/>
            <w:shd w:val="clear" w:color="auto" w:fill="auto"/>
            <w:vAlign w:val="center"/>
          </w:tcPr>
          <w:p w14:paraId="245E46F8">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1500</w:t>
            </w:r>
          </w:p>
        </w:tc>
        <w:tc>
          <w:tcPr>
            <w:tcW w:w="1153" w:type="dxa"/>
            <w:shd w:val="clear" w:color="auto" w:fill="auto"/>
            <w:vAlign w:val="center"/>
          </w:tcPr>
          <w:p w14:paraId="53C9F389">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6A033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2A57B5B3">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4EEB9F45">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24</w:t>
            </w:r>
          </w:p>
        </w:tc>
        <w:tc>
          <w:tcPr>
            <w:tcW w:w="2387" w:type="dxa"/>
            <w:shd w:val="clear" w:color="auto" w:fill="auto"/>
            <w:vAlign w:val="center"/>
          </w:tcPr>
          <w:p w14:paraId="0BCCD871">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瓦村</w:t>
            </w:r>
          </w:p>
        </w:tc>
        <w:tc>
          <w:tcPr>
            <w:tcW w:w="971" w:type="dxa"/>
            <w:shd w:val="clear" w:color="auto" w:fill="auto"/>
            <w:vAlign w:val="center"/>
          </w:tcPr>
          <w:p w14:paraId="4C068A2D">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NE</w:t>
            </w:r>
          </w:p>
        </w:tc>
        <w:tc>
          <w:tcPr>
            <w:tcW w:w="1648" w:type="dxa"/>
            <w:shd w:val="clear" w:color="auto" w:fill="auto"/>
            <w:vAlign w:val="center"/>
          </w:tcPr>
          <w:p w14:paraId="557B0D53">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2450</w:t>
            </w:r>
          </w:p>
        </w:tc>
        <w:tc>
          <w:tcPr>
            <w:tcW w:w="1175" w:type="dxa"/>
            <w:shd w:val="clear" w:color="auto" w:fill="auto"/>
            <w:vAlign w:val="center"/>
          </w:tcPr>
          <w:p w14:paraId="32F68283">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800</w:t>
            </w:r>
          </w:p>
        </w:tc>
        <w:tc>
          <w:tcPr>
            <w:tcW w:w="1153" w:type="dxa"/>
            <w:shd w:val="clear" w:color="auto" w:fill="auto"/>
            <w:vAlign w:val="center"/>
          </w:tcPr>
          <w:p w14:paraId="7D461A4E">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0890C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3F45C9C5">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632D9BE4">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25</w:t>
            </w:r>
          </w:p>
        </w:tc>
        <w:tc>
          <w:tcPr>
            <w:tcW w:w="2387" w:type="dxa"/>
            <w:shd w:val="clear" w:color="auto" w:fill="auto"/>
            <w:vAlign w:val="center"/>
          </w:tcPr>
          <w:p w14:paraId="0DA18843">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小旦村</w:t>
            </w:r>
          </w:p>
        </w:tc>
        <w:tc>
          <w:tcPr>
            <w:tcW w:w="971" w:type="dxa"/>
            <w:shd w:val="clear" w:color="auto" w:fill="auto"/>
            <w:vAlign w:val="center"/>
          </w:tcPr>
          <w:p w14:paraId="7C63B8A4">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NE</w:t>
            </w:r>
          </w:p>
        </w:tc>
        <w:tc>
          <w:tcPr>
            <w:tcW w:w="1648" w:type="dxa"/>
            <w:shd w:val="clear" w:color="auto" w:fill="auto"/>
            <w:vAlign w:val="center"/>
          </w:tcPr>
          <w:p w14:paraId="02751738">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4470</w:t>
            </w:r>
          </w:p>
        </w:tc>
        <w:tc>
          <w:tcPr>
            <w:tcW w:w="1175" w:type="dxa"/>
            <w:shd w:val="clear" w:color="auto" w:fill="auto"/>
            <w:vAlign w:val="center"/>
          </w:tcPr>
          <w:p w14:paraId="10C66F7A">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600</w:t>
            </w:r>
          </w:p>
        </w:tc>
        <w:tc>
          <w:tcPr>
            <w:tcW w:w="1153" w:type="dxa"/>
            <w:shd w:val="clear" w:color="auto" w:fill="auto"/>
            <w:vAlign w:val="center"/>
          </w:tcPr>
          <w:p w14:paraId="6A065A14">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436B4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13E9CF8A">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23440AA9">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26</w:t>
            </w:r>
          </w:p>
        </w:tc>
        <w:tc>
          <w:tcPr>
            <w:tcW w:w="2387" w:type="dxa"/>
            <w:shd w:val="clear" w:color="auto" w:fill="auto"/>
            <w:vAlign w:val="center"/>
          </w:tcPr>
          <w:p w14:paraId="417B6A85">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梁家村</w:t>
            </w:r>
          </w:p>
        </w:tc>
        <w:tc>
          <w:tcPr>
            <w:tcW w:w="971" w:type="dxa"/>
            <w:shd w:val="clear" w:color="auto" w:fill="auto"/>
            <w:vAlign w:val="center"/>
          </w:tcPr>
          <w:p w14:paraId="312C6B86">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NE</w:t>
            </w:r>
          </w:p>
        </w:tc>
        <w:tc>
          <w:tcPr>
            <w:tcW w:w="1648" w:type="dxa"/>
            <w:shd w:val="clear" w:color="auto" w:fill="auto"/>
            <w:vAlign w:val="center"/>
          </w:tcPr>
          <w:p w14:paraId="23598B02">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2570</w:t>
            </w:r>
          </w:p>
        </w:tc>
        <w:tc>
          <w:tcPr>
            <w:tcW w:w="1175" w:type="dxa"/>
            <w:shd w:val="clear" w:color="auto" w:fill="auto"/>
            <w:vAlign w:val="center"/>
          </w:tcPr>
          <w:p w14:paraId="578C18A2">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500</w:t>
            </w:r>
          </w:p>
        </w:tc>
        <w:tc>
          <w:tcPr>
            <w:tcW w:w="1153" w:type="dxa"/>
            <w:shd w:val="clear" w:color="auto" w:fill="auto"/>
            <w:vAlign w:val="center"/>
          </w:tcPr>
          <w:p w14:paraId="43055D35">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17F5F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0D6730CA">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1B2B0A65">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27</w:t>
            </w:r>
          </w:p>
        </w:tc>
        <w:tc>
          <w:tcPr>
            <w:tcW w:w="2387" w:type="dxa"/>
            <w:shd w:val="clear" w:color="auto" w:fill="auto"/>
            <w:vAlign w:val="center"/>
          </w:tcPr>
          <w:p w14:paraId="3755D3F7">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小董村</w:t>
            </w:r>
          </w:p>
        </w:tc>
        <w:tc>
          <w:tcPr>
            <w:tcW w:w="971" w:type="dxa"/>
            <w:shd w:val="clear" w:color="auto" w:fill="auto"/>
            <w:vAlign w:val="center"/>
          </w:tcPr>
          <w:p w14:paraId="7BA6B863">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NE</w:t>
            </w:r>
          </w:p>
        </w:tc>
        <w:tc>
          <w:tcPr>
            <w:tcW w:w="1648" w:type="dxa"/>
            <w:shd w:val="clear" w:color="auto" w:fill="auto"/>
            <w:vAlign w:val="center"/>
          </w:tcPr>
          <w:p w14:paraId="774BCA75">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3250</w:t>
            </w:r>
          </w:p>
        </w:tc>
        <w:tc>
          <w:tcPr>
            <w:tcW w:w="1175" w:type="dxa"/>
            <w:shd w:val="clear" w:color="auto" w:fill="auto"/>
            <w:vAlign w:val="center"/>
          </w:tcPr>
          <w:p w14:paraId="22DE051A">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800</w:t>
            </w:r>
          </w:p>
        </w:tc>
        <w:tc>
          <w:tcPr>
            <w:tcW w:w="1153" w:type="dxa"/>
            <w:shd w:val="clear" w:color="auto" w:fill="auto"/>
            <w:vAlign w:val="center"/>
          </w:tcPr>
          <w:p w14:paraId="2E953A8F">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223E0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1145" w:type="dxa"/>
            <w:vMerge w:val="continue"/>
            <w:shd w:val="clear" w:color="auto" w:fill="auto"/>
            <w:vAlign w:val="center"/>
          </w:tcPr>
          <w:p w14:paraId="6DAD3073">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46FED2AE">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28</w:t>
            </w:r>
          </w:p>
        </w:tc>
        <w:tc>
          <w:tcPr>
            <w:tcW w:w="2387" w:type="dxa"/>
            <w:shd w:val="clear" w:color="auto" w:fill="auto"/>
            <w:vAlign w:val="center"/>
          </w:tcPr>
          <w:p w14:paraId="50C366CC">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前南定村</w:t>
            </w:r>
          </w:p>
        </w:tc>
        <w:tc>
          <w:tcPr>
            <w:tcW w:w="971" w:type="dxa"/>
            <w:shd w:val="clear" w:color="auto" w:fill="auto"/>
            <w:vAlign w:val="center"/>
          </w:tcPr>
          <w:p w14:paraId="20595012">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NE</w:t>
            </w:r>
          </w:p>
        </w:tc>
        <w:tc>
          <w:tcPr>
            <w:tcW w:w="1648" w:type="dxa"/>
            <w:shd w:val="clear" w:color="auto" w:fill="auto"/>
            <w:vAlign w:val="center"/>
          </w:tcPr>
          <w:p w14:paraId="31098106">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4200</w:t>
            </w:r>
          </w:p>
        </w:tc>
        <w:tc>
          <w:tcPr>
            <w:tcW w:w="1175" w:type="dxa"/>
            <w:shd w:val="clear" w:color="auto" w:fill="auto"/>
            <w:vAlign w:val="center"/>
          </w:tcPr>
          <w:p w14:paraId="2B6DE176">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300</w:t>
            </w:r>
          </w:p>
        </w:tc>
        <w:tc>
          <w:tcPr>
            <w:tcW w:w="1153" w:type="dxa"/>
            <w:shd w:val="clear" w:color="auto" w:fill="auto"/>
            <w:vAlign w:val="center"/>
          </w:tcPr>
          <w:p w14:paraId="3637091A">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27354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715D0C20">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6CB88305">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29</w:t>
            </w:r>
          </w:p>
        </w:tc>
        <w:tc>
          <w:tcPr>
            <w:tcW w:w="2387" w:type="dxa"/>
            <w:shd w:val="clear" w:color="auto" w:fill="auto"/>
            <w:vAlign w:val="center"/>
          </w:tcPr>
          <w:p w14:paraId="47EBDC3E">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南定</w:t>
            </w:r>
          </w:p>
        </w:tc>
        <w:tc>
          <w:tcPr>
            <w:tcW w:w="971" w:type="dxa"/>
            <w:shd w:val="clear" w:color="auto" w:fill="auto"/>
            <w:vAlign w:val="center"/>
          </w:tcPr>
          <w:p w14:paraId="52421134">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NE</w:t>
            </w:r>
          </w:p>
        </w:tc>
        <w:tc>
          <w:tcPr>
            <w:tcW w:w="1648" w:type="dxa"/>
            <w:shd w:val="clear" w:color="auto" w:fill="auto"/>
            <w:vAlign w:val="center"/>
          </w:tcPr>
          <w:p w14:paraId="34B4C36A">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4330</w:t>
            </w:r>
          </w:p>
        </w:tc>
        <w:tc>
          <w:tcPr>
            <w:tcW w:w="1175" w:type="dxa"/>
            <w:shd w:val="clear" w:color="auto" w:fill="auto"/>
            <w:vAlign w:val="center"/>
          </w:tcPr>
          <w:p w14:paraId="620CDC31">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bidi="zh-CN"/>
              </w:rPr>
              <w:t>600</w:t>
            </w:r>
          </w:p>
        </w:tc>
        <w:tc>
          <w:tcPr>
            <w:tcW w:w="1153" w:type="dxa"/>
            <w:shd w:val="clear" w:color="auto" w:fill="auto"/>
            <w:vAlign w:val="center"/>
          </w:tcPr>
          <w:p w14:paraId="2A510C7A">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5C021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3911D8B1">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2C28CBB9">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30</w:t>
            </w:r>
          </w:p>
        </w:tc>
        <w:tc>
          <w:tcPr>
            <w:tcW w:w="2387" w:type="dxa"/>
            <w:shd w:val="clear" w:color="auto" w:fill="auto"/>
            <w:vAlign w:val="center"/>
          </w:tcPr>
          <w:p w14:paraId="06C02C98">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月庄村</w:t>
            </w:r>
          </w:p>
        </w:tc>
        <w:tc>
          <w:tcPr>
            <w:tcW w:w="971" w:type="dxa"/>
            <w:shd w:val="clear" w:color="auto" w:fill="auto"/>
            <w:vAlign w:val="center"/>
          </w:tcPr>
          <w:p w14:paraId="21D9D787">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NW</w:t>
            </w:r>
          </w:p>
        </w:tc>
        <w:tc>
          <w:tcPr>
            <w:tcW w:w="1648" w:type="dxa"/>
            <w:shd w:val="clear" w:color="auto" w:fill="auto"/>
            <w:vAlign w:val="center"/>
          </w:tcPr>
          <w:p w14:paraId="7065D4C4">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1430</w:t>
            </w:r>
          </w:p>
        </w:tc>
        <w:tc>
          <w:tcPr>
            <w:tcW w:w="1175" w:type="dxa"/>
            <w:shd w:val="clear" w:color="auto" w:fill="auto"/>
            <w:vAlign w:val="center"/>
          </w:tcPr>
          <w:p w14:paraId="26B20FF3">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bidi="zh-CN"/>
              </w:rPr>
              <w:t>3000</w:t>
            </w:r>
          </w:p>
        </w:tc>
        <w:tc>
          <w:tcPr>
            <w:tcW w:w="1153" w:type="dxa"/>
            <w:shd w:val="clear" w:color="auto" w:fill="auto"/>
            <w:vAlign w:val="center"/>
          </w:tcPr>
          <w:p w14:paraId="5645B37C">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27A33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370E4184">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055B64E8">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31</w:t>
            </w:r>
          </w:p>
        </w:tc>
        <w:tc>
          <w:tcPr>
            <w:tcW w:w="2387" w:type="dxa"/>
            <w:shd w:val="clear" w:color="auto" w:fill="auto"/>
            <w:vAlign w:val="center"/>
          </w:tcPr>
          <w:p w14:paraId="08341BEB">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殷家村</w:t>
            </w:r>
          </w:p>
        </w:tc>
        <w:tc>
          <w:tcPr>
            <w:tcW w:w="971" w:type="dxa"/>
            <w:shd w:val="clear" w:color="auto" w:fill="auto"/>
            <w:vAlign w:val="center"/>
          </w:tcPr>
          <w:p w14:paraId="5E41C03E">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NW</w:t>
            </w:r>
          </w:p>
        </w:tc>
        <w:tc>
          <w:tcPr>
            <w:tcW w:w="1648" w:type="dxa"/>
            <w:shd w:val="clear" w:color="auto" w:fill="auto"/>
            <w:vAlign w:val="center"/>
          </w:tcPr>
          <w:p w14:paraId="28CD14BC">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2300</w:t>
            </w:r>
          </w:p>
        </w:tc>
        <w:tc>
          <w:tcPr>
            <w:tcW w:w="1175" w:type="dxa"/>
            <w:shd w:val="clear" w:color="auto" w:fill="auto"/>
            <w:vAlign w:val="center"/>
          </w:tcPr>
          <w:p w14:paraId="5CD1052A">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bidi="zh-CN"/>
              </w:rPr>
              <w:t>1300</w:t>
            </w:r>
          </w:p>
        </w:tc>
        <w:tc>
          <w:tcPr>
            <w:tcW w:w="1153" w:type="dxa"/>
            <w:shd w:val="clear" w:color="auto" w:fill="auto"/>
            <w:vAlign w:val="center"/>
          </w:tcPr>
          <w:p w14:paraId="2ECF1E51">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013EF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15844947">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4111EF3F">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32</w:t>
            </w:r>
          </w:p>
        </w:tc>
        <w:tc>
          <w:tcPr>
            <w:tcW w:w="2387" w:type="dxa"/>
            <w:shd w:val="clear" w:color="auto" w:fill="auto"/>
            <w:vAlign w:val="center"/>
          </w:tcPr>
          <w:p w14:paraId="12D2A828">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黄家庄村</w:t>
            </w:r>
          </w:p>
        </w:tc>
        <w:tc>
          <w:tcPr>
            <w:tcW w:w="971" w:type="dxa"/>
            <w:shd w:val="clear" w:color="auto" w:fill="auto"/>
            <w:vAlign w:val="center"/>
          </w:tcPr>
          <w:p w14:paraId="2F25716F">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w:t>
            </w:r>
          </w:p>
        </w:tc>
        <w:tc>
          <w:tcPr>
            <w:tcW w:w="1648" w:type="dxa"/>
            <w:shd w:val="clear" w:color="auto" w:fill="auto"/>
            <w:vAlign w:val="center"/>
          </w:tcPr>
          <w:p w14:paraId="31F5711C">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2800</w:t>
            </w:r>
          </w:p>
        </w:tc>
        <w:tc>
          <w:tcPr>
            <w:tcW w:w="1175" w:type="dxa"/>
            <w:shd w:val="clear" w:color="auto" w:fill="auto"/>
            <w:vAlign w:val="center"/>
          </w:tcPr>
          <w:p w14:paraId="600A3854">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800</w:t>
            </w:r>
          </w:p>
        </w:tc>
        <w:tc>
          <w:tcPr>
            <w:tcW w:w="1153" w:type="dxa"/>
            <w:shd w:val="clear" w:color="auto" w:fill="auto"/>
            <w:vAlign w:val="center"/>
          </w:tcPr>
          <w:p w14:paraId="02F526ED">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454EC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1145" w:type="dxa"/>
            <w:vMerge w:val="continue"/>
            <w:shd w:val="clear" w:color="auto" w:fill="auto"/>
            <w:vAlign w:val="center"/>
          </w:tcPr>
          <w:p w14:paraId="4F16B2E9">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15D1951C">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33</w:t>
            </w:r>
          </w:p>
        </w:tc>
        <w:tc>
          <w:tcPr>
            <w:tcW w:w="2387" w:type="dxa"/>
            <w:shd w:val="clear" w:color="auto" w:fill="auto"/>
            <w:vAlign w:val="center"/>
          </w:tcPr>
          <w:p w14:paraId="79451B65">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唐家村</w:t>
            </w:r>
          </w:p>
        </w:tc>
        <w:tc>
          <w:tcPr>
            <w:tcW w:w="971" w:type="dxa"/>
            <w:shd w:val="clear" w:color="auto" w:fill="auto"/>
            <w:vAlign w:val="center"/>
          </w:tcPr>
          <w:p w14:paraId="2677D5C2">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NE</w:t>
            </w:r>
          </w:p>
        </w:tc>
        <w:tc>
          <w:tcPr>
            <w:tcW w:w="1648" w:type="dxa"/>
            <w:shd w:val="clear" w:color="auto" w:fill="auto"/>
            <w:vAlign w:val="center"/>
          </w:tcPr>
          <w:p w14:paraId="1AA3841F">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4180</w:t>
            </w:r>
          </w:p>
        </w:tc>
        <w:tc>
          <w:tcPr>
            <w:tcW w:w="1175" w:type="dxa"/>
            <w:shd w:val="clear" w:color="auto" w:fill="auto"/>
            <w:vAlign w:val="center"/>
          </w:tcPr>
          <w:p w14:paraId="36255C28">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500</w:t>
            </w:r>
          </w:p>
        </w:tc>
        <w:tc>
          <w:tcPr>
            <w:tcW w:w="1153" w:type="dxa"/>
            <w:shd w:val="clear" w:color="auto" w:fill="auto"/>
            <w:vAlign w:val="center"/>
          </w:tcPr>
          <w:p w14:paraId="6ADE7C4A">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21400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0EDA5462">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23331ECC">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34</w:t>
            </w:r>
          </w:p>
        </w:tc>
        <w:tc>
          <w:tcPr>
            <w:tcW w:w="2387" w:type="dxa"/>
            <w:shd w:val="clear" w:color="auto" w:fill="auto"/>
            <w:vAlign w:val="center"/>
          </w:tcPr>
          <w:p w14:paraId="12CC690C">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杨寨中学</w:t>
            </w:r>
          </w:p>
        </w:tc>
        <w:tc>
          <w:tcPr>
            <w:tcW w:w="971" w:type="dxa"/>
            <w:shd w:val="clear" w:color="auto" w:fill="auto"/>
            <w:vAlign w:val="center"/>
          </w:tcPr>
          <w:p w14:paraId="7B76AEBC">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NW</w:t>
            </w:r>
          </w:p>
        </w:tc>
        <w:tc>
          <w:tcPr>
            <w:tcW w:w="1648" w:type="dxa"/>
            <w:shd w:val="clear" w:color="auto" w:fill="auto"/>
            <w:vAlign w:val="center"/>
          </w:tcPr>
          <w:p w14:paraId="3C613606">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1220</w:t>
            </w:r>
          </w:p>
        </w:tc>
        <w:tc>
          <w:tcPr>
            <w:tcW w:w="1175" w:type="dxa"/>
            <w:shd w:val="clear" w:color="auto" w:fill="auto"/>
            <w:vAlign w:val="center"/>
          </w:tcPr>
          <w:p w14:paraId="3EB9C0BA">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3000</w:t>
            </w:r>
          </w:p>
        </w:tc>
        <w:tc>
          <w:tcPr>
            <w:tcW w:w="1153" w:type="dxa"/>
            <w:shd w:val="clear" w:color="auto" w:fill="auto"/>
            <w:vAlign w:val="center"/>
          </w:tcPr>
          <w:p w14:paraId="00ABD09F">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学校</w:t>
            </w:r>
          </w:p>
        </w:tc>
      </w:tr>
      <w:tr w14:paraId="101DB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1052092E">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78206E53">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35</w:t>
            </w:r>
          </w:p>
        </w:tc>
        <w:tc>
          <w:tcPr>
            <w:tcW w:w="2387" w:type="dxa"/>
            <w:shd w:val="clear" w:color="auto" w:fill="auto"/>
            <w:vAlign w:val="center"/>
          </w:tcPr>
          <w:p w14:paraId="3A2B62B1">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双杨镇人民政府</w:t>
            </w:r>
          </w:p>
        </w:tc>
        <w:tc>
          <w:tcPr>
            <w:tcW w:w="971" w:type="dxa"/>
            <w:shd w:val="clear" w:color="auto" w:fill="auto"/>
            <w:vAlign w:val="center"/>
          </w:tcPr>
          <w:p w14:paraId="48FB4556">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NW</w:t>
            </w:r>
          </w:p>
        </w:tc>
        <w:tc>
          <w:tcPr>
            <w:tcW w:w="1648" w:type="dxa"/>
            <w:shd w:val="clear" w:color="auto" w:fill="auto"/>
            <w:vAlign w:val="center"/>
          </w:tcPr>
          <w:p w14:paraId="532DEC67">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1300</w:t>
            </w:r>
          </w:p>
        </w:tc>
        <w:tc>
          <w:tcPr>
            <w:tcW w:w="1175" w:type="dxa"/>
            <w:shd w:val="clear" w:color="auto" w:fill="auto"/>
            <w:vAlign w:val="center"/>
          </w:tcPr>
          <w:p w14:paraId="76512083">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40</w:t>
            </w:r>
          </w:p>
        </w:tc>
        <w:tc>
          <w:tcPr>
            <w:tcW w:w="1153" w:type="dxa"/>
            <w:shd w:val="clear" w:color="auto" w:fill="auto"/>
            <w:vAlign w:val="center"/>
          </w:tcPr>
          <w:p w14:paraId="44AE88A3">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机关单位</w:t>
            </w:r>
          </w:p>
        </w:tc>
      </w:tr>
      <w:tr w14:paraId="1A4CF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390BFD7C">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140CBB9C">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36</w:t>
            </w:r>
          </w:p>
        </w:tc>
        <w:tc>
          <w:tcPr>
            <w:tcW w:w="2387" w:type="dxa"/>
            <w:shd w:val="clear" w:color="auto" w:fill="auto"/>
            <w:vAlign w:val="center"/>
          </w:tcPr>
          <w:p w14:paraId="0FAFFFEA">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杨寨村</w:t>
            </w:r>
          </w:p>
        </w:tc>
        <w:tc>
          <w:tcPr>
            <w:tcW w:w="971" w:type="dxa"/>
            <w:shd w:val="clear" w:color="auto" w:fill="auto"/>
            <w:vAlign w:val="center"/>
          </w:tcPr>
          <w:p w14:paraId="7B41F017">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NW</w:t>
            </w:r>
          </w:p>
        </w:tc>
        <w:tc>
          <w:tcPr>
            <w:tcW w:w="1648" w:type="dxa"/>
            <w:shd w:val="clear" w:color="auto" w:fill="auto"/>
            <w:vAlign w:val="center"/>
          </w:tcPr>
          <w:p w14:paraId="5825B52C">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1300</w:t>
            </w:r>
          </w:p>
        </w:tc>
        <w:tc>
          <w:tcPr>
            <w:tcW w:w="1175" w:type="dxa"/>
            <w:shd w:val="clear" w:color="auto" w:fill="auto"/>
            <w:vAlign w:val="center"/>
          </w:tcPr>
          <w:p w14:paraId="34982195">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800</w:t>
            </w:r>
          </w:p>
        </w:tc>
        <w:tc>
          <w:tcPr>
            <w:tcW w:w="1153" w:type="dxa"/>
            <w:shd w:val="clear" w:color="auto" w:fill="auto"/>
            <w:vAlign w:val="center"/>
          </w:tcPr>
          <w:p w14:paraId="52D7D3FF">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7CA9C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5C232D46">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01A142C3">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37</w:t>
            </w:r>
          </w:p>
        </w:tc>
        <w:tc>
          <w:tcPr>
            <w:tcW w:w="2387" w:type="dxa"/>
            <w:shd w:val="clear" w:color="auto" w:fill="auto"/>
            <w:vAlign w:val="center"/>
          </w:tcPr>
          <w:p w14:paraId="2C7FA568">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大屯村</w:t>
            </w:r>
          </w:p>
        </w:tc>
        <w:tc>
          <w:tcPr>
            <w:tcW w:w="971" w:type="dxa"/>
            <w:shd w:val="clear" w:color="auto" w:fill="auto"/>
            <w:vAlign w:val="center"/>
          </w:tcPr>
          <w:p w14:paraId="789CAEC7">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NW</w:t>
            </w:r>
          </w:p>
        </w:tc>
        <w:tc>
          <w:tcPr>
            <w:tcW w:w="1648" w:type="dxa"/>
            <w:shd w:val="clear" w:color="auto" w:fill="auto"/>
            <w:vAlign w:val="center"/>
          </w:tcPr>
          <w:p w14:paraId="699C19D1">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3000</w:t>
            </w:r>
          </w:p>
        </w:tc>
        <w:tc>
          <w:tcPr>
            <w:tcW w:w="1175" w:type="dxa"/>
            <w:shd w:val="clear" w:color="auto" w:fill="auto"/>
            <w:vAlign w:val="center"/>
          </w:tcPr>
          <w:p w14:paraId="269D4490">
            <w:pPr>
              <w:keepNext w:val="0"/>
              <w:keepLines w:val="0"/>
              <w:pageBreakBefore w:val="0"/>
              <w:kinsoku/>
              <w:wordWrap/>
              <w:overflowPunct/>
              <w:topLinePunct w:val="0"/>
              <w:autoSpaceDE/>
              <w:autoSpaceDN/>
              <w:bidi w:val="0"/>
              <w:adjustRightInd w:val="0"/>
              <w:snapToGrid w:val="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600</w:t>
            </w:r>
          </w:p>
        </w:tc>
        <w:tc>
          <w:tcPr>
            <w:tcW w:w="1153" w:type="dxa"/>
            <w:shd w:val="clear" w:color="auto" w:fill="auto"/>
            <w:vAlign w:val="center"/>
          </w:tcPr>
          <w:p w14:paraId="28A9B0CA">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3B331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3CA06AFC">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0463034F">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38</w:t>
            </w:r>
          </w:p>
        </w:tc>
        <w:tc>
          <w:tcPr>
            <w:tcW w:w="2387" w:type="dxa"/>
            <w:shd w:val="clear" w:color="auto" w:fill="auto"/>
            <w:vAlign w:val="center"/>
          </w:tcPr>
          <w:p w14:paraId="51FAACFA">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小屯村</w:t>
            </w:r>
          </w:p>
        </w:tc>
        <w:tc>
          <w:tcPr>
            <w:tcW w:w="971" w:type="dxa"/>
            <w:shd w:val="clear" w:color="auto" w:fill="auto"/>
            <w:vAlign w:val="center"/>
          </w:tcPr>
          <w:p w14:paraId="29490AC1">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NW</w:t>
            </w:r>
          </w:p>
        </w:tc>
        <w:tc>
          <w:tcPr>
            <w:tcW w:w="1648" w:type="dxa"/>
            <w:shd w:val="clear" w:color="auto" w:fill="auto"/>
            <w:vAlign w:val="center"/>
          </w:tcPr>
          <w:p w14:paraId="2FD9E90F">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3470</w:t>
            </w:r>
          </w:p>
        </w:tc>
        <w:tc>
          <w:tcPr>
            <w:tcW w:w="1175" w:type="dxa"/>
            <w:shd w:val="clear" w:color="auto" w:fill="auto"/>
            <w:vAlign w:val="center"/>
          </w:tcPr>
          <w:p w14:paraId="392C0F13">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bidi="zh-CN"/>
              </w:rPr>
              <w:t>1200</w:t>
            </w:r>
          </w:p>
        </w:tc>
        <w:tc>
          <w:tcPr>
            <w:tcW w:w="1153" w:type="dxa"/>
            <w:shd w:val="clear" w:color="auto" w:fill="auto"/>
            <w:vAlign w:val="center"/>
          </w:tcPr>
          <w:p w14:paraId="0980B222">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44128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235B293E">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093C1F31">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39</w:t>
            </w:r>
          </w:p>
        </w:tc>
        <w:tc>
          <w:tcPr>
            <w:tcW w:w="2387" w:type="dxa"/>
            <w:shd w:val="clear" w:color="auto" w:fill="auto"/>
            <w:vAlign w:val="center"/>
          </w:tcPr>
          <w:p w14:paraId="0DAB19D7">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牛家村</w:t>
            </w:r>
          </w:p>
        </w:tc>
        <w:tc>
          <w:tcPr>
            <w:tcW w:w="971" w:type="dxa"/>
            <w:shd w:val="clear" w:color="auto" w:fill="auto"/>
            <w:vAlign w:val="center"/>
          </w:tcPr>
          <w:p w14:paraId="32185DC5">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NW</w:t>
            </w:r>
          </w:p>
        </w:tc>
        <w:tc>
          <w:tcPr>
            <w:tcW w:w="1648" w:type="dxa"/>
            <w:shd w:val="clear" w:color="auto" w:fill="auto"/>
            <w:vAlign w:val="center"/>
          </w:tcPr>
          <w:p w14:paraId="56C67E0F">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3800</w:t>
            </w:r>
          </w:p>
        </w:tc>
        <w:tc>
          <w:tcPr>
            <w:tcW w:w="1175" w:type="dxa"/>
            <w:shd w:val="clear" w:color="auto" w:fill="auto"/>
            <w:vAlign w:val="center"/>
          </w:tcPr>
          <w:p w14:paraId="00D558C9">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bidi="zh-CN"/>
              </w:rPr>
              <w:t>800</w:t>
            </w:r>
          </w:p>
        </w:tc>
        <w:tc>
          <w:tcPr>
            <w:tcW w:w="1153" w:type="dxa"/>
            <w:shd w:val="clear" w:color="auto" w:fill="auto"/>
            <w:vAlign w:val="center"/>
          </w:tcPr>
          <w:p w14:paraId="5301DA98">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3FE0F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6E4FF14F">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2460ACA9">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40</w:t>
            </w:r>
          </w:p>
        </w:tc>
        <w:tc>
          <w:tcPr>
            <w:tcW w:w="2387" w:type="dxa"/>
            <w:shd w:val="clear" w:color="auto" w:fill="auto"/>
            <w:vAlign w:val="center"/>
          </w:tcPr>
          <w:p w14:paraId="33C38BC7">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彭家村</w:t>
            </w:r>
          </w:p>
        </w:tc>
        <w:tc>
          <w:tcPr>
            <w:tcW w:w="971" w:type="dxa"/>
            <w:shd w:val="clear" w:color="auto" w:fill="auto"/>
            <w:vAlign w:val="center"/>
          </w:tcPr>
          <w:p w14:paraId="301C0C2E">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NW</w:t>
            </w:r>
          </w:p>
        </w:tc>
        <w:tc>
          <w:tcPr>
            <w:tcW w:w="1648" w:type="dxa"/>
            <w:shd w:val="clear" w:color="auto" w:fill="auto"/>
            <w:vAlign w:val="center"/>
          </w:tcPr>
          <w:p w14:paraId="18114F76">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3580</w:t>
            </w:r>
          </w:p>
        </w:tc>
        <w:tc>
          <w:tcPr>
            <w:tcW w:w="1175" w:type="dxa"/>
            <w:shd w:val="clear" w:color="auto" w:fill="auto"/>
            <w:vAlign w:val="center"/>
          </w:tcPr>
          <w:p w14:paraId="138C130D">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bidi="zh-CN"/>
              </w:rPr>
              <w:t>2250</w:t>
            </w:r>
          </w:p>
        </w:tc>
        <w:tc>
          <w:tcPr>
            <w:tcW w:w="1153" w:type="dxa"/>
            <w:shd w:val="clear" w:color="auto" w:fill="auto"/>
            <w:vAlign w:val="center"/>
          </w:tcPr>
          <w:p w14:paraId="6859C949">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405D2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43B3C1D4">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36266857">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41</w:t>
            </w:r>
          </w:p>
        </w:tc>
        <w:tc>
          <w:tcPr>
            <w:tcW w:w="2387" w:type="dxa"/>
            <w:shd w:val="clear" w:color="auto" w:fill="auto"/>
            <w:vAlign w:val="center"/>
          </w:tcPr>
          <w:p w14:paraId="4679B433">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法家村</w:t>
            </w:r>
          </w:p>
        </w:tc>
        <w:tc>
          <w:tcPr>
            <w:tcW w:w="971" w:type="dxa"/>
            <w:shd w:val="clear" w:color="auto" w:fill="auto"/>
            <w:vAlign w:val="center"/>
          </w:tcPr>
          <w:p w14:paraId="62A03100">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NW</w:t>
            </w:r>
          </w:p>
        </w:tc>
        <w:tc>
          <w:tcPr>
            <w:tcW w:w="1648" w:type="dxa"/>
            <w:shd w:val="clear" w:color="auto" w:fill="auto"/>
            <w:vAlign w:val="center"/>
          </w:tcPr>
          <w:p w14:paraId="46216427">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3370</w:t>
            </w:r>
          </w:p>
        </w:tc>
        <w:tc>
          <w:tcPr>
            <w:tcW w:w="1175" w:type="dxa"/>
            <w:shd w:val="clear" w:color="auto" w:fill="auto"/>
            <w:vAlign w:val="center"/>
          </w:tcPr>
          <w:p w14:paraId="39E0DD96">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bidi="zh-CN"/>
              </w:rPr>
              <w:t>1200</w:t>
            </w:r>
          </w:p>
        </w:tc>
        <w:tc>
          <w:tcPr>
            <w:tcW w:w="1153" w:type="dxa"/>
            <w:shd w:val="clear" w:color="auto" w:fill="auto"/>
            <w:vAlign w:val="center"/>
          </w:tcPr>
          <w:p w14:paraId="6E24B1FF">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12FB5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3DBE4EA1">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4C5009BB">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42</w:t>
            </w:r>
          </w:p>
        </w:tc>
        <w:tc>
          <w:tcPr>
            <w:tcW w:w="2387" w:type="dxa"/>
            <w:shd w:val="clear" w:color="auto" w:fill="auto"/>
            <w:vAlign w:val="center"/>
          </w:tcPr>
          <w:p w14:paraId="3E126096">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宝塔社区</w:t>
            </w:r>
          </w:p>
        </w:tc>
        <w:tc>
          <w:tcPr>
            <w:tcW w:w="971" w:type="dxa"/>
            <w:shd w:val="clear" w:color="auto" w:fill="auto"/>
            <w:vAlign w:val="center"/>
          </w:tcPr>
          <w:p w14:paraId="70BF7108">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NW</w:t>
            </w:r>
          </w:p>
        </w:tc>
        <w:tc>
          <w:tcPr>
            <w:tcW w:w="1648" w:type="dxa"/>
            <w:shd w:val="clear" w:color="auto" w:fill="auto"/>
            <w:vAlign w:val="center"/>
          </w:tcPr>
          <w:p w14:paraId="7CB48879">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790</w:t>
            </w:r>
          </w:p>
        </w:tc>
        <w:tc>
          <w:tcPr>
            <w:tcW w:w="1175" w:type="dxa"/>
            <w:shd w:val="clear" w:color="auto" w:fill="auto"/>
            <w:vAlign w:val="center"/>
          </w:tcPr>
          <w:p w14:paraId="40434529">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bidi="zh-CN"/>
              </w:rPr>
              <w:t>400</w:t>
            </w:r>
          </w:p>
        </w:tc>
        <w:tc>
          <w:tcPr>
            <w:tcW w:w="1153" w:type="dxa"/>
            <w:shd w:val="clear" w:color="auto" w:fill="auto"/>
            <w:vAlign w:val="center"/>
          </w:tcPr>
          <w:p w14:paraId="35395DAC">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0CDA4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4089E6E9">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12E01BC1">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43</w:t>
            </w:r>
          </w:p>
        </w:tc>
        <w:tc>
          <w:tcPr>
            <w:tcW w:w="2387" w:type="dxa"/>
            <w:shd w:val="clear" w:color="auto" w:fill="auto"/>
            <w:vAlign w:val="center"/>
          </w:tcPr>
          <w:p w14:paraId="6909A982">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杨兰村</w:t>
            </w:r>
          </w:p>
        </w:tc>
        <w:tc>
          <w:tcPr>
            <w:tcW w:w="971" w:type="dxa"/>
            <w:shd w:val="clear" w:color="auto" w:fill="auto"/>
            <w:vAlign w:val="center"/>
          </w:tcPr>
          <w:p w14:paraId="7F64253E">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SW</w:t>
            </w:r>
          </w:p>
        </w:tc>
        <w:tc>
          <w:tcPr>
            <w:tcW w:w="1648" w:type="dxa"/>
            <w:shd w:val="clear" w:color="auto" w:fill="auto"/>
            <w:vAlign w:val="center"/>
          </w:tcPr>
          <w:p w14:paraId="5FF3FFD6">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496</w:t>
            </w:r>
          </w:p>
        </w:tc>
        <w:tc>
          <w:tcPr>
            <w:tcW w:w="1175" w:type="dxa"/>
            <w:shd w:val="clear" w:color="auto" w:fill="auto"/>
            <w:vAlign w:val="center"/>
          </w:tcPr>
          <w:p w14:paraId="7B0FEEE2">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bidi="zh-CN"/>
              </w:rPr>
              <w:t>850</w:t>
            </w:r>
          </w:p>
        </w:tc>
        <w:tc>
          <w:tcPr>
            <w:tcW w:w="1153" w:type="dxa"/>
            <w:shd w:val="clear" w:color="auto" w:fill="auto"/>
            <w:vAlign w:val="center"/>
          </w:tcPr>
          <w:p w14:paraId="7FE708FB">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658B4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6A074A93">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646327E3">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44</w:t>
            </w:r>
          </w:p>
        </w:tc>
        <w:tc>
          <w:tcPr>
            <w:tcW w:w="2387" w:type="dxa"/>
            <w:shd w:val="clear" w:color="auto" w:fill="auto"/>
            <w:vAlign w:val="center"/>
          </w:tcPr>
          <w:p w14:paraId="3A9E1689">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凤凰村</w:t>
            </w:r>
          </w:p>
        </w:tc>
        <w:tc>
          <w:tcPr>
            <w:tcW w:w="971" w:type="dxa"/>
            <w:shd w:val="clear" w:color="auto" w:fill="auto"/>
            <w:vAlign w:val="center"/>
          </w:tcPr>
          <w:p w14:paraId="197C946B">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SE</w:t>
            </w:r>
          </w:p>
        </w:tc>
        <w:tc>
          <w:tcPr>
            <w:tcW w:w="1648" w:type="dxa"/>
            <w:shd w:val="clear" w:color="auto" w:fill="auto"/>
            <w:vAlign w:val="center"/>
          </w:tcPr>
          <w:p w14:paraId="4D0C3085">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540</w:t>
            </w:r>
          </w:p>
        </w:tc>
        <w:tc>
          <w:tcPr>
            <w:tcW w:w="1175" w:type="dxa"/>
            <w:shd w:val="clear" w:color="auto" w:fill="auto"/>
            <w:vAlign w:val="center"/>
          </w:tcPr>
          <w:p w14:paraId="66E3B6CE">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bidi="zh-CN"/>
              </w:rPr>
              <w:t>500</w:t>
            </w:r>
          </w:p>
        </w:tc>
        <w:tc>
          <w:tcPr>
            <w:tcW w:w="1153" w:type="dxa"/>
            <w:shd w:val="clear" w:color="auto" w:fill="auto"/>
            <w:vAlign w:val="center"/>
          </w:tcPr>
          <w:p w14:paraId="71023272">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41497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145" w:type="dxa"/>
            <w:vMerge w:val="continue"/>
            <w:shd w:val="clear" w:color="auto" w:fill="auto"/>
            <w:vAlign w:val="center"/>
          </w:tcPr>
          <w:p w14:paraId="035EF636">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08" w:type="dxa"/>
            <w:shd w:val="clear" w:color="auto" w:fill="auto"/>
            <w:vAlign w:val="center"/>
          </w:tcPr>
          <w:p w14:paraId="6C94BF01">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45</w:t>
            </w:r>
          </w:p>
        </w:tc>
        <w:tc>
          <w:tcPr>
            <w:tcW w:w="2387" w:type="dxa"/>
            <w:shd w:val="clear" w:color="auto" w:fill="auto"/>
            <w:vAlign w:val="center"/>
          </w:tcPr>
          <w:p w14:paraId="14E66A0C">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东河村</w:t>
            </w:r>
          </w:p>
        </w:tc>
        <w:tc>
          <w:tcPr>
            <w:tcW w:w="971" w:type="dxa"/>
            <w:shd w:val="clear" w:color="auto" w:fill="auto"/>
            <w:vAlign w:val="center"/>
          </w:tcPr>
          <w:p w14:paraId="5CB67321">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NW</w:t>
            </w:r>
          </w:p>
        </w:tc>
        <w:tc>
          <w:tcPr>
            <w:tcW w:w="1648" w:type="dxa"/>
            <w:shd w:val="clear" w:color="auto" w:fill="auto"/>
            <w:vAlign w:val="center"/>
          </w:tcPr>
          <w:p w14:paraId="3A9A42F5">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rPr>
              <w:t>4430</w:t>
            </w:r>
          </w:p>
        </w:tc>
        <w:tc>
          <w:tcPr>
            <w:tcW w:w="1175" w:type="dxa"/>
            <w:shd w:val="clear" w:color="auto" w:fill="auto"/>
            <w:vAlign w:val="center"/>
          </w:tcPr>
          <w:p w14:paraId="674214A6">
            <w:pPr>
              <w:pStyle w:val="950"/>
              <w:keepNext w:val="0"/>
              <w:keepLines w:val="0"/>
              <w:pageBreakBefore w:val="0"/>
              <w:kinsoku/>
              <w:wordWrap/>
              <w:overflowPunct/>
              <w:topLinePunct w:val="0"/>
              <w:autoSpaceDE/>
              <w:autoSpaceDN/>
              <w:bidi w:val="0"/>
              <w:adjustRightInd w:val="0"/>
              <w:snapToGrid w:val="0"/>
              <w:spacing w:after="0"/>
              <w:ind w:left="0" w:leftChars="0" w:right="0" w:rightChars="0"/>
              <w:jc w:val="center"/>
              <w:rPr>
                <w:rFonts w:hint="default" w:ascii="Times New Roman" w:hAnsi="Times New Roman" w:eastAsia="宋体" w:cs="Times New Roman"/>
                <w:color w:val="auto"/>
                <w:kern w:val="0"/>
                <w:sz w:val="21"/>
                <w:szCs w:val="21"/>
                <w:lang w:val="en-US" w:eastAsia="zh-CN" w:bidi="zh-CN"/>
              </w:rPr>
            </w:pPr>
            <w:r>
              <w:rPr>
                <w:rFonts w:hint="default" w:ascii="Times New Roman" w:hAnsi="Times New Roman" w:eastAsia="宋体" w:cs="Times New Roman"/>
                <w:color w:val="auto"/>
                <w:kern w:val="0"/>
                <w:sz w:val="21"/>
                <w:szCs w:val="21"/>
                <w:lang w:val="en-US" w:eastAsia="zh-CN" w:bidi="zh-CN"/>
              </w:rPr>
              <w:t>800</w:t>
            </w:r>
          </w:p>
        </w:tc>
        <w:tc>
          <w:tcPr>
            <w:tcW w:w="1153" w:type="dxa"/>
            <w:shd w:val="clear" w:color="auto" w:fill="auto"/>
            <w:vAlign w:val="center"/>
          </w:tcPr>
          <w:p w14:paraId="7848706D">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居住区</w:t>
            </w:r>
          </w:p>
        </w:tc>
      </w:tr>
      <w:tr w14:paraId="3EF24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3F91AE17">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drawing>
                <wp:inline distT="0" distB="0" distL="114300" distR="114300">
                  <wp:extent cx="0" cy="0"/>
                  <wp:effectExtent l="0" t="0" r="0" b="0"/>
                  <wp:docPr id="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9"/>
                          <pic:cNvPicPr>
                            <a:picLocks noChangeAspect="1"/>
                          </pic:cNvPicPr>
                        </pic:nvPicPr>
                        <pic:blipFill>
                          <a:blip r:embed="rId26"/>
                          <a:stretch>
                            <a:fillRect/>
                          </a:stretch>
                        </pic:blipFill>
                        <pic:spPr>
                          <a:xfrm>
                            <a:off x="0" y="0"/>
                            <a:ext cx="0" cy="0"/>
                          </a:xfrm>
                          <a:prstGeom prst="rect">
                            <a:avLst/>
                          </a:prstGeom>
                          <a:noFill/>
                          <a:ln>
                            <a:noFill/>
                          </a:ln>
                        </pic:spPr>
                      </pic:pic>
                    </a:graphicData>
                  </a:graphic>
                </wp:inline>
              </w:drawing>
            </w:r>
          </w:p>
        </w:tc>
        <w:tc>
          <w:tcPr>
            <w:tcW w:w="5814" w:type="dxa"/>
            <w:gridSpan w:val="4"/>
            <w:shd w:val="clear" w:color="auto" w:fill="auto"/>
            <w:vAlign w:val="center"/>
          </w:tcPr>
          <w:p w14:paraId="478A7C4E">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厂址周边500m范围内人口数小计</w:t>
            </w:r>
          </w:p>
        </w:tc>
        <w:tc>
          <w:tcPr>
            <w:tcW w:w="1175" w:type="dxa"/>
            <w:shd w:val="clear" w:color="auto" w:fill="auto"/>
            <w:vAlign w:val="center"/>
          </w:tcPr>
          <w:p w14:paraId="3AB5FE2B">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30</w:t>
            </w:r>
          </w:p>
        </w:tc>
        <w:tc>
          <w:tcPr>
            <w:tcW w:w="1153" w:type="dxa"/>
            <w:shd w:val="clear" w:color="auto" w:fill="auto"/>
            <w:vAlign w:val="center"/>
          </w:tcPr>
          <w:p w14:paraId="344872F0">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r>
      <w:tr w14:paraId="26C1C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06D0AE89">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5814" w:type="dxa"/>
            <w:gridSpan w:val="4"/>
            <w:shd w:val="clear" w:color="auto" w:fill="auto"/>
            <w:vAlign w:val="center"/>
          </w:tcPr>
          <w:p w14:paraId="158C7BB5">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厂址周边5000m范围内人口数小计</w:t>
            </w:r>
          </w:p>
        </w:tc>
        <w:tc>
          <w:tcPr>
            <w:tcW w:w="1175" w:type="dxa"/>
            <w:shd w:val="clear" w:color="auto" w:fill="auto"/>
            <w:vAlign w:val="center"/>
          </w:tcPr>
          <w:p w14:paraId="0DAECD4A">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45190</w:t>
            </w:r>
          </w:p>
        </w:tc>
        <w:tc>
          <w:tcPr>
            <w:tcW w:w="1153" w:type="dxa"/>
            <w:shd w:val="clear" w:color="auto" w:fill="auto"/>
            <w:vAlign w:val="center"/>
          </w:tcPr>
          <w:p w14:paraId="5C933B65">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r>
      <w:tr w14:paraId="468EB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01C657E0">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6989" w:type="dxa"/>
            <w:gridSpan w:val="5"/>
            <w:shd w:val="clear" w:color="auto" w:fill="auto"/>
            <w:vAlign w:val="center"/>
          </w:tcPr>
          <w:p w14:paraId="6DD8406C">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大气环境敏感程度 E 值</w:t>
            </w:r>
          </w:p>
        </w:tc>
        <w:tc>
          <w:tcPr>
            <w:tcW w:w="1153" w:type="dxa"/>
            <w:shd w:val="clear" w:color="auto" w:fill="auto"/>
            <w:vAlign w:val="center"/>
          </w:tcPr>
          <w:p w14:paraId="4D8C51AA">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rPr>
              <w:t>E</w:t>
            </w:r>
            <w:r>
              <w:rPr>
                <w:rFonts w:hint="default" w:ascii="Times New Roman" w:hAnsi="Times New Roman" w:eastAsia="宋体" w:cs="Times New Roman"/>
                <w:color w:val="auto"/>
                <w:kern w:val="0"/>
                <w:sz w:val="21"/>
                <w:szCs w:val="21"/>
                <w:lang w:val="en-US" w:eastAsia="zh-CN"/>
              </w:rPr>
              <w:t>2</w:t>
            </w:r>
          </w:p>
        </w:tc>
      </w:tr>
      <w:tr w14:paraId="335BA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1145" w:type="dxa"/>
            <w:vMerge w:val="restart"/>
            <w:shd w:val="clear" w:color="auto" w:fill="auto"/>
            <w:vAlign w:val="center"/>
          </w:tcPr>
          <w:p w14:paraId="29D43F49">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地表水</w:t>
            </w:r>
          </w:p>
        </w:tc>
        <w:tc>
          <w:tcPr>
            <w:tcW w:w="8142" w:type="dxa"/>
            <w:gridSpan w:val="6"/>
            <w:shd w:val="clear" w:color="auto" w:fill="auto"/>
            <w:vAlign w:val="center"/>
          </w:tcPr>
          <w:p w14:paraId="251497B3">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受纳水体</w:t>
            </w:r>
          </w:p>
        </w:tc>
      </w:tr>
      <w:tr w14:paraId="4451B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23897541">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3195" w:type="dxa"/>
            <w:gridSpan w:val="2"/>
            <w:shd w:val="clear" w:color="auto" w:fill="auto"/>
            <w:vAlign w:val="center"/>
          </w:tcPr>
          <w:p w14:paraId="5FE6E5AA">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受纳水体</w:t>
            </w:r>
          </w:p>
        </w:tc>
        <w:tc>
          <w:tcPr>
            <w:tcW w:w="971" w:type="dxa"/>
            <w:shd w:val="clear" w:color="auto" w:fill="auto"/>
            <w:vAlign w:val="center"/>
          </w:tcPr>
          <w:p w14:paraId="5C7B91CF">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重点水域功能环境</w:t>
            </w:r>
          </w:p>
        </w:tc>
        <w:tc>
          <w:tcPr>
            <w:tcW w:w="3976" w:type="dxa"/>
            <w:gridSpan w:val="3"/>
            <w:shd w:val="clear" w:color="auto" w:fill="auto"/>
            <w:vAlign w:val="center"/>
          </w:tcPr>
          <w:p w14:paraId="57E9BD84">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24h 内流经范围/km</w:t>
            </w:r>
          </w:p>
        </w:tc>
      </w:tr>
      <w:tr w14:paraId="70485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6F9F6B1E">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3195" w:type="dxa"/>
            <w:gridSpan w:val="2"/>
            <w:shd w:val="clear" w:color="auto" w:fill="auto"/>
            <w:vAlign w:val="center"/>
          </w:tcPr>
          <w:p w14:paraId="0861438F">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孝妇河</w:t>
            </w:r>
          </w:p>
        </w:tc>
        <w:tc>
          <w:tcPr>
            <w:tcW w:w="971" w:type="dxa"/>
            <w:shd w:val="clear" w:color="auto" w:fill="auto"/>
            <w:vAlign w:val="center"/>
          </w:tcPr>
          <w:p w14:paraId="2EC7A801">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V类</w:t>
            </w:r>
          </w:p>
        </w:tc>
        <w:tc>
          <w:tcPr>
            <w:tcW w:w="3976" w:type="dxa"/>
            <w:gridSpan w:val="3"/>
            <w:shd w:val="clear" w:color="auto" w:fill="auto"/>
            <w:vAlign w:val="center"/>
          </w:tcPr>
          <w:p w14:paraId="1F7AFAD0">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r>
      <w:tr w14:paraId="12425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473BBCF2">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8142" w:type="dxa"/>
            <w:gridSpan w:val="6"/>
            <w:shd w:val="clear" w:color="auto" w:fill="auto"/>
            <w:vAlign w:val="center"/>
          </w:tcPr>
          <w:p w14:paraId="6B9A9200">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内陆水体排放点下游10km（近岸海域一个潮周期最大水平距离两倍）范围内敏感目标</w:t>
            </w:r>
          </w:p>
        </w:tc>
      </w:tr>
      <w:tr w14:paraId="5F28D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479FD6E9">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3195" w:type="dxa"/>
            <w:gridSpan w:val="2"/>
            <w:shd w:val="clear" w:color="auto" w:fill="auto"/>
            <w:vAlign w:val="center"/>
          </w:tcPr>
          <w:p w14:paraId="69F1B91D">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敏感目标名称</w:t>
            </w:r>
          </w:p>
        </w:tc>
        <w:tc>
          <w:tcPr>
            <w:tcW w:w="971" w:type="dxa"/>
            <w:shd w:val="clear" w:color="auto" w:fill="auto"/>
            <w:vAlign w:val="center"/>
          </w:tcPr>
          <w:p w14:paraId="299F702A">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环境敏感特征</w:t>
            </w:r>
          </w:p>
        </w:tc>
        <w:tc>
          <w:tcPr>
            <w:tcW w:w="1648" w:type="dxa"/>
            <w:shd w:val="clear" w:color="auto" w:fill="auto"/>
            <w:vAlign w:val="center"/>
          </w:tcPr>
          <w:p w14:paraId="0D164F23">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水质目标</w:t>
            </w:r>
          </w:p>
        </w:tc>
        <w:tc>
          <w:tcPr>
            <w:tcW w:w="2328" w:type="dxa"/>
            <w:gridSpan w:val="2"/>
            <w:shd w:val="clear" w:color="auto" w:fill="auto"/>
            <w:vAlign w:val="center"/>
          </w:tcPr>
          <w:p w14:paraId="06D991FD">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与排放点距离/m</w:t>
            </w:r>
          </w:p>
        </w:tc>
      </w:tr>
      <w:tr w14:paraId="4F38F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3667E07E">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3195" w:type="dxa"/>
            <w:gridSpan w:val="2"/>
            <w:shd w:val="clear" w:color="auto" w:fill="auto"/>
            <w:vAlign w:val="center"/>
          </w:tcPr>
          <w:p w14:paraId="4AE315D7">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w:t>
            </w:r>
          </w:p>
        </w:tc>
        <w:tc>
          <w:tcPr>
            <w:tcW w:w="971" w:type="dxa"/>
            <w:shd w:val="clear" w:color="auto" w:fill="auto"/>
            <w:vAlign w:val="center"/>
          </w:tcPr>
          <w:p w14:paraId="61E6A4E4">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w:t>
            </w:r>
          </w:p>
        </w:tc>
        <w:tc>
          <w:tcPr>
            <w:tcW w:w="1648" w:type="dxa"/>
            <w:shd w:val="clear" w:color="auto" w:fill="auto"/>
            <w:vAlign w:val="center"/>
          </w:tcPr>
          <w:p w14:paraId="4ABCACB7">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w:t>
            </w:r>
          </w:p>
        </w:tc>
        <w:tc>
          <w:tcPr>
            <w:tcW w:w="2328" w:type="dxa"/>
            <w:gridSpan w:val="2"/>
            <w:shd w:val="clear" w:color="auto" w:fill="auto"/>
            <w:vAlign w:val="center"/>
          </w:tcPr>
          <w:p w14:paraId="79BA648C">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w:t>
            </w:r>
          </w:p>
        </w:tc>
      </w:tr>
      <w:tr w14:paraId="18A4B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651F622B">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6989" w:type="dxa"/>
            <w:gridSpan w:val="5"/>
            <w:shd w:val="clear" w:color="auto" w:fill="auto"/>
            <w:vAlign w:val="center"/>
          </w:tcPr>
          <w:p w14:paraId="43C2968C">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地表水环境敏感程度 E 值</w:t>
            </w:r>
          </w:p>
        </w:tc>
        <w:tc>
          <w:tcPr>
            <w:tcW w:w="1153" w:type="dxa"/>
            <w:shd w:val="clear" w:color="auto" w:fill="auto"/>
            <w:vAlign w:val="center"/>
          </w:tcPr>
          <w:p w14:paraId="57DEF91F">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E3</w:t>
            </w:r>
          </w:p>
        </w:tc>
      </w:tr>
      <w:tr w14:paraId="618EA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1145" w:type="dxa"/>
            <w:vMerge w:val="restart"/>
            <w:shd w:val="clear" w:color="auto" w:fill="auto"/>
            <w:vAlign w:val="center"/>
          </w:tcPr>
          <w:p w14:paraId="302E59B0">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地下水</w:t>
            </w:r>
          </w:p>
        </w:tc>
        <w:tc>
          <w:tcPr>
            <w:tcW w:w="3195" w:type="dxa"/>
            <w:gridSpan w:val="2"/>
            <w:shd w:val="clear" w:color="auto" w:fill="auto"/>
            <w:vAlign w:val="center"/>
          </w:tcPr>
          <w:p w14:paraId="7FB2108E">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环境敏感区名称</w:t>
            </w:r>
          </w:p>
        </w:tc>
        <w:tc>
          <w:tcPr>
            <w:tcW w:w="971" w:type="dxa"/>
            <w:shd w:val="clear" w:color="auto" w:fill="auto"/>
            <w:vAlign w:val="center"/>
          </w:tcPr>
          <w:p w14:paraId="057B2560">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环境敏感特征</w:t>
            </w:r>
          </w:p>
        </w:tc>
        <w:tc>
          <w:tcPr>
            <w:tcW w:w="1648" w:type="dxa"/>
            <w:shd w:val="clear" w:color="auto" w:fill="auto"/>
            <w:vAlign w:val="center"/>
          </w:tcPr>
          <w:p w14:paraId="49515E45">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水质目标</w:t>
            </w:r>
          </w:p>
        </w:tc>
        <w:tc>
          <w:tcPr>
            <w:tcW w:w="1175" w:type="dxa"/>
            <w:shd w:val="clear" w:color="auto" w:fill="auto"/>
            <w:vAlign w:val="center"/>
          </w:tcPr>
          <w:p w14:paraId="24D1A22B">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包气带防污性能</w:t>
            </w:r>
          </w:p>
        </w:tc>
        <w:tc>
          <w:tcPr>
            <w:tcW w:w="1153" w:type="dxa"/>
            <w:shd w:val="clear" w:color="auto" w:fill="auto"/>
            <w:vAlign w:val="center"/>
          </w:tcPr>
          <w:p w14:paraId="0F62EB2A">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与下游厂界距离m</w:t>
            </w:r>
          </w:p>
          <w:p w14:paraId="1FA7F206">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距离/m</w:t>
            </w:r>
          </w:p>
        </w:tc>
      </w:tr>
      <w:tr w14:paraId="05638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04883448">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3195" w:type="dxa"/>
            <w:gridSpan w:val="2"/>
            <w:shd w:val="clear" w:color="auto" w:fill="auto"/>
            <w:vAlign w:val="center"/>
          </w:tcPr>
          <w:p w14:paraId="7712EF5C">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w:t>
            </w:r>
          </w:p>
        </w:tc>
        <w:tc>
          <w:tcPr>
            <w:tcW w:w="971" w:type="dxa"/>
            <w:shd w:val="clear" w:color="auto" w:fill="auto"/>
            <w:vAlign w:val="center"/>
          </w:tcPr>
          <w:p w14:paraId="1BC40591">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w:t>
            </w:r>
          </w:p>
        </w:tc>
        <w:tc>
          <w:tcPr>
            <w:tcW w:w="1648" w:type="dxa"/>
            <w:shd w:val="clear" w:color="auto" w:fill="auto"/>
            <w:vAlign w:val="center"/>
          </w:tcPr>
          <w:p w14:paraId="3C7A657F">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w:t>
            </w:r>
          </w:p>
        </w:tc>
        <w:tc>
          <w:tcPr>
            <w:tcW w:w="1175" w:type="dxa"/>
            <w:shd w:val="clear" w:color="auto" w:fill="auto"/>
            <w:vAlign w:val="center"/>
          </w:tcPr>
          <w:p w14:paraId="06EBECCB">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w:t>
            </w:r>
          </w:p>
        </w:tc>
        <w:tc>
          <w:tcPr>
            <w:tcW w:w="1153" w:type="dxa"/>
            <w:shd w:val="clear" w:color="auto" w:fill="auto"/>
            <w:vAlign w:val="center"/>
          </w:tcPr>
          <w:p w14:paraId="0FCBE1BF">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无</w:t>
            </w:r>
          </w:p>
        </w:tc>
      </w:tr>
      <w:tr w14:paraId="5CB54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1145" w:type="dxa"/>
            <w:vMerge w:val="continue"/>
            <w:shd w:val="clear" w:color="auto" w:fill="auto"/>
            <w:vAlign w:val="center"/>
          </w:tcPr>
          <w:p w14:paraId="69DFE045">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p>
        </w:tc>
        <w:tc>
          <w:tcPr>
            <w:tcW w:w="6989" w:type="dxa"/>
            <w:gridSpan w:val="5"/>
            <w:shd w:val="clear" w:color="auto" w:fill="auto"/>
            <w:vAlign w:val="center"/>
          </w:tcPr>
          <w:p w14:paraId="303C4D10">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地下水环境敏感程度 E 值</w:t>
            </w:r>
          </w:p>
        </w:tc>
        <w:tc>
          <w:tcPr>
            <w:tcW w:w="1153" w:type="dxa"/>
            <w:shd w:val="clear" w:color="auto" w:fill="auto"/>
            <w:vAlign w:val="center"/>
          </w:tcPr>
          <w:p w14:paraId="34C421DA">
            <w:pPr>
              <w:keepNext w:val="0"/>
              <w:keepLines w:val="0"/>
              <w:pageBreakBefore w:val="0"/>
              <w:kinsoku/>
              <w:wordWrap/>
              <w:overflowPunct/>
              <w:topLinePunct w:val="0"/>
              <w:autoSpaceDE/>
              <w:autoSpaceDN/>
              <w:bidi w:val="0"/>
              <w:adjustRightInd w:val="0"/>
              <w:snapToGrid w:val="0"/>
              <w:ind w:left="0" w:leftChars="0" w:right="0" w:rightChars="0"/>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rPr>
              <w:t>E</w:t>
            </w:r>
            <w:r>
              <w:rPr>
                <w:rFonts w:hint="default" w:ascii="Times New Roman" w:hAnsi="Times New Roman" w:eastAsia="宋体" w:cs="Times New Roman"/>
                <w:color w:val="auto"/>
                <w:kern w:val="0"/>
                <w:sz w:val="21"/>
                <w:szCs w:val="21"/>
                <w:lang w:val="en-US" w:eastAsia="zh-CN"/>
              </w:rPr>
              <w:t>3</w:t>
            </w:r>
          </w:p>
        </w:tc>
      </w:tr>
    </w:tbl>
    <w:p w14:paraId="0C348E06">
      <w:pPr>
        <w:keepNext/>
        <w:keepLines/>
        <w:widowControl/>
        <w:spacing w:before="120" w:after="120" w:line="360" w:lineRule="auto"/>
        <w:outlineLvl w:val="1"/>
        <w:rPr>
          <w:rFonts w:hint="default" w:ascii="Times New Roman" w:hAnsi="Times New Roman" w:eastAsia="宋体" w:cs="Times New Roman"/>
          <w:b/>
          <w:bCs/>
          <w:color w:val="auto"/>
          <w:kern w:val="0"/>
          <w:sz w:val="28"/>
          <w:szCs w:val="28"/>
        </w:rPr>
        <w:sectPr>
          <w:pgSz w:w="11906" w:h="16838"/>
          <w:pgMar w:top="1417" w:right="1276" w:bottom="1417" w:left="1559" w:header="851" w:footer="680" w:gutter="0"/>
          <w:pgNumType w:fmt="decimal" w:chapStyle="1"/>
          <w:cols w:space="0" w:num="1"/>
          <w:rtlGutter w:val="0"/>
          <w:docGrid w:linePitch="326" w:charSpace="0"/>
        </w:sectPr>
      </w:pPr>
      <w:bookmarkStart w:id="42" w:name="_Toc33691322"/>
    </w:p>
    <w:p w14:paraId="0E3B2255">
      <w:pPr>
        <w:pStyle w:val="1398"/>
        <w:rPr>
          <w:rFonts w:hint="default" w:ascii="Times New Roman" w:hAnsi="Times New Roman" w:eastAsia="宋体" w:cs="Times New Roman"/>
          <w:color w:val="auto"/>
        </w:rPr>
      </w:pPr>
      <w:r>
        <w:rPr>
          <w:rFonts w:ascii="Times New Roman" w:hAnsi="Times New Roman" w:cs="Times New Roman"/>
          <w:color w:val="auto"/>
          <w:highlight w:val="none"/>
        </w:rPr>
        <w:drawing>
          <wp:anchor distT="0" distB="0" distL="114300" distR="114300" simplePos="0" relativeHeight="251669504" behindDoc="0" locked="0" layoutInCell="1" allowOverlap="1">
            <wp:simplePos x="0" y="0"/>
            <wp:positionH relativeFrom="column">
              <wp:posOffset>7508240</wp:posOffset>
            </wp:positionH>
            <wp:positionV relativeFrom="paragraph">
              <wp:posOffset>26670</wp:posOffset>
            </wp:positionV>
            <wp:extent cx="946150" cy="865505"/>
            <wp:effectExtent l="0" t="0" r="6350" b="10795"/>
            <wp:wrapNone/>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46150" cy="865505"/>
                    </a:xfrm>
                    <a:prstGeom prst="rect">
                      <a:avLst/>
                    </a:prstGeom>
                  </pic:spPr>
                </pic:pic>
              </a:graphicData>
            </a:graphic>
          </wp:anchor>
        </w:drawing>
      </w:r>
      <w:r>
        <w:rPr>
          <w:rFonts w:ascii="Times New Roman" w:hAnsi="Times New Roman" w:cs="Times New Roman"/>
          <w:color w:val="auto"/>
        </w:rPr>
        <w:drawing>
          <wp:inline distT="0" distB="0" distL="114300" distR="114300">
            <wp:extent cx="8173720" cy="5133340"/>
            <wp:effectExtent l="0" t="0" r="17780" b="10160"/>
            <wp:docPr id="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7"/>
                    <pic:cNvPicPr>
                      <a:picLocks noChangeAspect="1"/>
                    </pic:cNvPicPr>
                  </pic:nvPicPr>
                  <pic:blipFill>
                    <a:blip r:embed="rId27"/>
                    <a:stretch>
                      <a:fillRect/>
                    </a:stretch>
                  </pic:blipFill>
                  <pic:spPr>
                    <a:xfrm>
                      <a:off x="0" y="0"/>
                      <a:ext cx="8173720" cy="5133340"/>
                    </a:xfrm>
                    <a:prstGeom prst="rect">
                      <a:avLst/>
                    </a:prstGeom>
                    <a:noFill/>
                    <a:ln>
                      <a:noFill/>
                    </a:ln>
                  </pic:spPr>
                </pic:pic>
              </a:graphicData>
            </a:graphic>
          </wp:inline>
        </w:drawing>
      </w:r>
    </w:p>
    <w:p w14:paraId="617BAEAD">
      <w:pPr>
        <w:pStyle w:val="1398"/>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lang w:eastAsia="zh-CN"/>
        </w:rPr>
        <w:t>图</w:t>
      </w:r>
      <w:r>
        <w:rPr>
          <w:rFonts w:hint="default" w:ascii="Times New Roman" w:hAnsi="Times New Roman" w:cs="Times New Roman"/>
          <w:color w:val="auto"/>
          <w:sz w:val="24"/>
          <w:szCs w:val="32"/>
          <w:lang w:eastAsia="zh-CN"/>
        </w:rPr>
        <w:t>2.1-</w:t>
      </w:r>
      <w:r>
        <w:rPr>
          <w:rFonts w:hint="default" w:ascii="Times New Roman" w:hAnsi="Times New Roman" w:eastAsia="宋体" w:cs="Times New Roman"/>
          <w:color w:val="auto"/>
          <w:sz w:val="24"/>
          <w:szCs w:val="32"/>
          <w:lang w:val="en-US" w:eastAsia="zh-CN"/>
        </w:rPr>
        <w:t>2</w:t>
      </w:r>
      <w:r>
        <w:rPr>
          <w:rFonts w:hint="default" w:ascii="Times New Roman" w:hAnsi="Times New Roman" w:eastAsia="宋体" w:cs="Times New Roman"/>
          <w:color w:val="auto"/>
          <w:sz w:val="24"/>
          <w:szCs w:val="32"/>
        </w:rPr>
        <w:t xml:space="preserve">  </w:t>
      </w:r>
      <w:r>
        <w:rPr>
          <w:rFonts w:hint="default" w:ascii="Times New Roman" w:hAnsi="Times New Roman" w:eastAsia="宋体" w:cs="Times New Roman"/>
          <w:color w:val="auto"/>
          <w:sz w:val="24"/>
          <w:szCs w:val="32"/>
          <w:lang w:eastAsia="zh-CN"/>
        </w:rPr>
        <w:t>厂址周边</w:t>
      </w:r>
      <w:r>
        <w:rPr>
          <w:rFonts w:hint="default" w:ascii="Times New Roman" w:hAnsi="Times New Roman" w:eastAsia="宋体" w:cs="Times New Roman"/>
          <w:color w:val="auto"/>
          <w:sz w:val="24"/>
          <w:szCs w:val="32"/>
          <w:lang w:val="en-US" w:eastAsia="zh-CN"/>
        </w:rPr>
        <w:t>5km范围内</w:t>
      </w:r>
      <w:r>
        <w:rPr>
          <w:rFonts w:hint="default" w:ascii="Times New Roman" w:hAnsi="Times New Roman" w:eastAsia="宋体" w:cs="Times New Roman"/>
          <w:color w:val="auto"/>
          <w:sz w:val="24"/>
          <w:szCs w:val="32"/>
          <w:lang w:eastAsia="zh-CN"/>
        </w:rPr>
        <w:t>环境敏感目标分布图</w:t>
      </w:r>
    </w:p>
    <w:p w14:paraId="063D86DC">
      <w:pPr>
        <w:keepNext/>
        <w:keepLines/>
        <w:widowControl/>
        <w:spacing w:before="120" w:after="120" w:line="360" w:lineRule="auto"/>
        <w:outlineLvl w:val="1"/>
        <w:rPr>
          <w:rFonts w:hint="default" w:ascii="Times New Roman" w:hAnsi="Times New Roman" w:eastAsia="宋体" w:cs="Times New Roman"/>
          <w:b/>
          <w:bCs/>
          <w:color w:val="auto"/>
          <w:kern w:val="0"/>
          <w:sz w:val="28"/>
          <w:szCs w:val="28"/>
          <w:highlight w:val="yellow"/>
        </w:rPr>
        <w:sectPr>
          <w:pgSz w:w="16838" w:h="11906" w:orient="landscape"/>
          <w:pgMar w:top="1559" w:right="1417" w:bottom="1276" w:left="1417" w:header="851" w:footer="680" w:gutter="0"/>
          <w:pgNumType w:fmt="decimal" w:chapStyle="1"/>
          <w:cols w:space="0" w:num="1"/>
          <w:rtlGutter w:val="0"/>
          <w:docGrid w:linePitch="326" w:charSpace="0"/>
        </w:sectPr>
      </w:pPr>
    </w:p>
    <w:p w14:paraId="470351CA">
      <w:pPr>
        <w:keepNext/>
        <w:keepLines/>
        <w:pageBreakBefore w:val="0"/>
        <w:widowControl/>
        <w:kinsoku/>
        <w:wordWrap/>
        <w:overflowPunct/>
        <w:topLinePunct w:val="0"/>
        <w:autoSpaceDE/>
        <w:autoSpaceDN/>
        <w:bidi w:val="0"/>
        <w:adjustRightInd w:val="0"/>
        <w:snapToGrid w:val="0"/>
        <w:spacing w:line="360" w:lineRule="auto"/>
        <w:textAlignment w:val="auto"/>
        <w:outlineLvl w:val="1"/>
        <w:rPr>
          <w:rFonts w:hint="default" w:ascii="Times New Roman" w:hAnsi="Times New Roman" w:eastAsia="宋体" w:cs="Times New Roman"/>
          <w:b/>
          <w:bCs/>
          <w:color w:val="auto"/>
          <w:kern w:val="0"/>
          <w:sz w:val="36"/>
          <w:szCs w:val="36"/>
          <w:highlight w:val="none"/>
        </w:rPr>
      </w:pPr>
      <w:bookmarkStart w:id="43" w:name="_Toc13052"/>
      <w:r>
        <w:rPr>
          <w:rFonts w:hint="default" w:ascii="Times New Roman" w:hAnsi="Times New Roman" w:eastAsia="宋体" w:cs="Times New Roman"/>
          <w:b/>
          <w:bCs/>
          <w:color w:val="auto"/>
          <w:kern w:val="0"/>
          <w:sz w:val="36"/>
          <w:szCs w:val="36"/>
          <w:highlight w:val="none"/>
          <w:lang w:val="en-US" w:eastAsia="zh-CN"/>
        </w:rPr>
        <w:t>3</w:t>
      </w:r>
      <w:r>
        <w:rPr>
          <w:rFonts w:hint="default" w:ascii="Times New Roman" w:hAnsi="Times New Roman" w:eastAsia="宋体" w:cs="Times New Roman"/>
          <w:b/>
          <w:bCs/>
          <w:color w:val="auto"/>
          <w:kern w:val="0"/>
          <w:sz w:val="36"/>
          <w:szCs w:val="36"/>
          <w:highlight w:val="none"/>
        </w:rPr>
        <w:t xml:space="preserve"> 环境风险潜势初判</w:t>
      </w:r>
      <w:bookmarkEnd w:id="42"/>
      <w:bookmarkEnd w:id="43"/>
    </w:p>
    <w:p w14:paraId="0FD77956">
      <w:pPr>
        <w:keepNext/>
        <w:keepLines/>
        <w:pageBreakBefore w:val="0"/>
        <w:widowControl/>
        <w:kinsoku/>
        <w:wordWrap/>
        <w:overflowPunct/>
        <w:topLinePunct w:val="0"/>
        <w:autoSpaceDE/>
        <w:autoSpaceDN/>
        <w:bidi w:val="0"/>
        <w:adjustRightInd w:val="0"/>
        <w:snapToGrid w:val="0"/>
        <w:spacing w:line="360" w:lineRule="auto"/>
        <w:textAlignment w:val="auto"/>
        <w:outlineLvl w:val="2"/>
        <w:rPr>
          <w:rFonts w:hint="default" w:ascii="Times New Roman" w:hAnsi="Times New Roman" w:eastAsia="宋体" w:cs="Times New Roman"/>
          <w:b/>
          <w:bCs/>
          <w:color w:val="auto"/>
          <w:kern w:val="0"/>
          <w:sz w:val="30"/>
          <w:szCs w:val="30"/>
        </w:rPr>
      </w:pPr>
      <w:bookmarkStart w:id="44" w:name="_Toc24679"/>
      <w:r>
        <w:rPr>
          <w:rFonts w:hint="default" w:ascii="Times New Roman" w:hAnsi="Times New Roman" w:eastAsia="宋体" w:cs="Times New Roman"/>
          <w:b/>
          <w:bCs/>
          <w:color w:val="auto"/>
          <w:kern w:val="0"/>
          <w:sz w:val="30"/>
          <w:szCs w:val="30"/>
          <w:lang w:val="en-US" w:eastAsia="zh-CN"/>
        </w:rPr>
        <w:t>3.1</w:t>
      </w:r>
      <w:r>
        <w:rPr>
          <w:rFonts w:hint="default" w:ascii="Times New Roman" w:hAnsi="Times New Roman" w:eastAsia="宋体" w:cs="Times New Roman"/>
          <w:b/>
          <w:bCs/>
          <w:color w:val="auto"/>
          <w:kern w:val="0"/>
          <w:sz w:val="30"/>
          <w:szCs w:val="30"/>
        </w:rPr>
        <w:t xml:space="preserve"> 环境敏感程度的确定</w:t>
      </w:r>
      <w:bookmarkEnd w:id="44"/>
    </w:p>
    <w:p w14:paraId="71BA30BA">
      <w:pPr>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1、大气环境敏感程度分级</w:t>
      </w:r>
    </w:p>
    <w:p w14:paraId="52A80EDE">
      <w:pPr>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大气环境敏感程度分级情况见</w:t>
      </w:r>
      <w:r>
        <w:rPr>
          <w:rFonts w:hint="default" w:ascii="Times New Roman" w:hAnsi="Times New Roman" w:eastAsia="宋体" w:cs="Times New Roman"/>
          <w:color w:val="auto"/>
          <w:sz w:val="24"/>
        </w:rPr>
        <w:t>下表。</w:t>
      </w:r>
    </w:p>
    <w:p w14:paraId="1F05920A">
      <w:pPr>
        <w:pStyle w:val="1398"/>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表</w:t>
      </w:r>
      <w:r>
        <w:rPr>
          <w:rFonts w:hint="default" w:ascii="Times New Roman" w:hAnsi="Times New Roman" w:eastAsia="宋体" w:cs="Times New Roman"/>
          <w:color w:val="auto"/>
          <w:sz w:val="24"/>
          <w:szCs w:val="32"/>
          <w:lang w:eastAsia="zh-CN"/>
        </w:rPr>
        <w:t>3.1-</w:t>
      </w:r>
      <w:r>
        <w:rPr>
          <w:rFonts w:hint="default" w:ascii="Times New Roman" w:hAnsi="Times New Roman" w:eastAsia="宋体" w:cs="Times New Roman"/>
          <w:color w:val="auto"/>
          <w:sz w:val="24"/>
          <w:szCs w:val="32"/>
        </w:rPr>
        <w:t>1  大气环境敏感程度分级</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58"/>
        <w:gridCol w:w="8329"/>
      </w:tblGrid>
      <w:tr w14:paraId="06FA3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958" w:type="dxa"/>
            <w:shd w:val="clear" w:color="auto" w:fill="auto"/>
            <w:vAlign w:val="center"/>
          </w:tcPr>
          <w:p w14:paraId="3E96D3DD">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分级</w:t>
            </w:r>
          </w:p>
        </w:tc>
        <w:tc>
          <w:tcPr>
            <w:tcW w:w="8328" w:type="dxa"/>
            <w:shd w:val="clear" w:color="auto" w:fill="auto"/>
            <w:vAlign w:val="center"/>
          </w:tcPr>
          <w:p w14:paraId="28B1420D">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大气环境敏感性</w:t>
            </w:r>
          </w:p>
        </w:tc>
      </w:tr>
      <w:tr w14:paraId="02C2E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958" w:type="dxa"/>
            <w:shd w:val="clear" w:color="auto" w:fill="auto"/>
            <w:vAlign w:val="center"/>
          </w:tcPr>
          <w:p w14:paraId="29FF409F">
            <w:pPr>
              <w:pStyle w:val="369"/>
              <w:jc w:val="center"/>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rPr>
              <w:t>E1</w:t>
            </w:r>
          </w:p>
        </w:tc>
        <w:tc>
          <w:tcPr>
            <w:tcW w:w="8328" w:type="dxa"/>
            <w:shd w:val="clear" w:color="auto" w:fill="auto"/>
            <w:vAlign w:val="center"/>
          </w:tcPr>
          <w:p w14:paraId="7F8E1861">
            <w:pPr>
              <w:pStyle w:val="369"/>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rPr>
              <w:t>周边5km范围内居民区、医疗卫生、文化教育、科研、行政办公等机构人口总数大于5万人，或其他需要特殊保护区域；或周边500m范围内人口总数大于1000人；油气、化学品运输管线管段周边200m范围内，每千米管段人口数大于200人。</w:t>
            </w:r>
          </w:p>
        </w:tc>
      </w:tr>
      <w:tr w14:paraId="275B3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958" w:type="dxa"/>
            <w:shd w:val="clear" w:color="auto" w:fill="auto"/>
            <w:vAlign w:val="center"/>
          </w:tcPr>
          <w:p w14:paraId="1F7BFA6A">
            <w:pPr>
              <w:pStyle w:val="369"/>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E2</w:t>
            </w:r>
          </w:p>
        </w:tc>
        <w:tc>
          <w:tcPr>
            <w:tcW w:w="8328" w:type="dxa"/>
            <w:shd w:val="clear" w:color="auto" w:fill="auto"/>
            <w:vAlign w:val="center"/>
          </w:tcPr>
          <w:p w14:paraId="5AEC1BC7">
            <w:pPr>
              <w:pStyle w:val="369"/>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周边5km范围内居民区、医疗卫生、文化教育、科研、行政办公等机构人口总数大于1万人，小于5万人；或周边500m范围内人口总数大于500人，小于1000人；油气、化学品运输管线管段周边200m范围内，每千米管段人口数大于200人。</w:t>
            </w:r>
          </w:p>
        </w:tc>
      </w:tr>
      <w:tr w14:paraId="0E610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958" w:type="dxa"/>
            <w:shd w:val="clear" w:color="auto" w:fill="auto"/>
            <w:vAlign w:val="center"/>
          </w:tcPr>
          <w:p w14:paraId="0A7C9224">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E3</w:t>
            </w:r>
          </w:p>
        </w:tc>
        <w:tc>
          <w:tcPr>
            <w:tcW w:w="8328" w:type="dxa"/>
            <w:shd w:val="clear" w:color="auto" w:fill="auto"/>
            <w:vAlign w:val="center"/>
          </w:tcPr>
          <w:p w14:paraId="5D32FF96">
            <w:pPr>
              <w:pStyle w:val="369"/>
              <w:rPr>
                <w:rFonts w:hint="default" w:ascii="Times New Roman" w:hAnsi="Times New Roman" w:eastAsia="宋体" w:cs="Times New Roman"/>
                <w:color w:val="auto"/>
              </w:rPr>
            </w:pPr>
            <w:bookmarkStart w:id="45" w:name="_Hlk1732951"/>
            <w:r>
              <w:rPr>
                <w:rFonts w:hint="default" w:ascii="Times New Roman" w:hAnsi="Times New Roman" w:eastAsia="宋体" w:cs="Times New Roman"/>
                <w:color w:val="auto"/>
              </w:rPr>
              <w:t>周边5km范围内居民区、医疗卫生、文化教育、科研、行政办公等机构人口总数小于1万人；或周边500m范围内人口总数小于500人；油气、化学品运输管线管段周边200m范围内，每千米管段人口数大于100人。</w:t>
            </w:r>
            <w:bookmarkEnd w:id="45"/>
          </w:p>
        </w:tc>
      </w:tr>
    </w:tbl>
    <w:p w14:paraId="373AA77C">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本项目位于</w:t>
      </w:r>
      <w:r>
        <w:rPr>
          <w:rFonts w:hint="default" w:ascii="Times New Roman" w:hAnsi="Times New Roman" w:cs="Times New Roman"/>
          <w:color w:val="auto"/>
          <w:kern w:val="0"/>
          <w:sz w:val="24"/>
          <w:lang w:eastAsia="zh-CN"/>
        </w:rPr>
        <w:t>山东省淄博市淄川区双杨镇赵瓦村102省道与张博路交叉口东北200米</w:t>
      </w:r>
      <w:r>
        <w:rPr>
          <w:rFonts w:hint="default" w:ascii="Times New Roman" w:hAnsi="Times New Roman" w:eastAsia="宋体" w:cs="Times New Roman"/>
          <w:color w:val="auto"/>
          <w:kern w:val="0"/>
          <w:sz w:val="24"/>
        </w:rPr>
        <w:t>，根据表1.2-3 和图1.2-</w:t>
      </w:r>
      <w:r>
        <w:rPr>
          <w:rFonts w:hint="default" w:ascii="Times New Roman" w:hAnsi="Times New Roman" w:eastAsia="宋体" w:cs="Times New Roman"/>
          <w:color w:val="auto"/>
          <w:kern w:val="0"/>
          <w:sz w:val="24"/>
          <w:lang w:val="en-US" w:eastAsia="zh-CN"/>
        </w:rPr>
        <w:t>2</w:t>
      </w:r>
      <w:r>
        <w:rPr>
          <w:rFonts w:hint="default" w:ascii="Times New Roman" w:hAnsi="Times New Roman" w:eastAsia="宋体" w:cs="Times New Roman"/>
          <w:color w:val="auto"/>
          <w:kern w:val="0"/>
          <w:sz w:val="24"/>
        </w:rPr>
        <w:t>。项目厂址周边500m范围内人口总数</w:t>
      </w:r>
      <w:r>
        <w:rPr>
          <w:rFonts w:hint="default" w:ascii="Times New Roman" w:hAnsi="Times New Roman" w:cs="Times New Roman"/>
          <w:color w:val="auto"/>
          <w:kern w:val="0"/>
          <w:sz w:val="24"/>
          <w:lang w:val="en-US" w:eastAsia="zh-CN"/>
        </w:rPr>
        <w:t>小于</w:t>
      </w:r>
      <w:r>
        <w:rPr>
          <w:rFonts w:hint="default" w:ascii="Times New Roman" w:hAnsi="Times New Roman" w:eastAsia="宋体" w:cs="Times New Roman"/>
          <w:color w:val="auto"/>
          <w:kern w:val="0"/>
          <w:sz w:val="24"/>
        </w:rPr>
        <w:t>1000人</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周围5km范围内总人数大于1万人，小于5万</w:t>
      </w:r>
      <w:r>
        <w:rPr>
          <w:rFonts w:hint="default" w:ascii="Times New Roman" w:hAnsi="Times New Roman" w:cs="Times New Roman"/>
          <w:color w:val="auto"/>
          <w:kern w:val="0"/>
          <w:sz w:val="24"/>
          <w:lang w:eastAsia="zh-CN"/>
        </w:rPr>
        <w:t>人</w:t>
      </w:r>
      <w:r>
        <w:rPr>
          <w:rFonts w:hint="default" w:ascii="Times New Roman" w:hAnsi="Times New Roman" w:eastAsia="宋体" w:cs="Times New Roman"/>
          <w:color w:val="auto"/>
          <w:kern w:val="0"/>
          <w:sz w:val="24"/>
        </w:rPr>
        <w:t>，因此根据《建设项目环境风险评价技术导则》（HJ169-2018）附录D中表D.1大气环境敏感程度分级，</w:t>
      </w:r>
      <w:r>
        <w:rPr>
          <w:rFonts w:hint="default" w:ascii="Times New Roman" w:hAnsi="Times New Roman" w:eastAsia="宋体" w:cs="Times New Roman"/>
          <w:color w:val="auto"/>
          <w:kern w:val="0"/>
          <w:sz w:val="24"/>
          <w:lang w:eastAsia="zh-CN"/>
        </w:rPr>
        <w:t>本项目</w:t>
      </w:r>
      <w:r>
        <w:rPr>
          <w:rFonts w:hint="default" w:ascii="Times New Roman" w:hAnsi="Times New Roman" w:eastAsia="宋体" w:cs="Times New Roman"/>
          <w:color w:val="auto"/>
          <w:kern w:val="0"/>
          <w:sz w:val="24"/>
        </w:rPr>
        <w:t>大气敏感程度为环境中度敏感区（E</w:t>
      </w:r>
      <w:r>
        <w:rPr>
          <w:rFonts w:hint="default" w:ascii="Times New Roman" w:hAnsi="Times New Roman" w:cs="Times New Roman"/>
          <w:color w:val="auto"/>
          <w:kern w:val="0"/>
          <w:sz w:val="24"/>
          <w:lang w:val="en-US" w:eastAsia="zh-CN"/>
        </w:rPr>
        <w:t>2</w:t>
      </w:r>
      <w:r>
        <w:rPr>
          <w:rFonts w:hint="default" w:ascii="Times New Roman" w:hAnsi="Times New Roman" w:eastAsia="宋体" w:cs="Times New Roman"/>
          <w:color w:val="auto"/>
          <w:kern w:val="0"/>
          <w:sz w:val="24"/>
        </w:rPr>
        <w:t>）。</w:t>
      </w:r>
    </w:p>
    <w:p w14:paraId="6A1FC7AC">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2、地表水环境敏感程度分级</w:t>
      </w:r>
    </w:p>
    <w:p w14:paraId="300A883C">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依据事故情况下危险物质泄漏到水体的排放点受纳地表水体功能敏感性（见</w:t>
      </w:r>
      <w:r>
        <w:rPr>
          <w:rFonts w:hint="default" w:ascii="Times New Roman" w:hAnsi="Times New Roman" w:eastAsia="宋体" w:cs="Times New Roman"/>
          <w:color w:val="auto"/>
          <w:kern w:val="0"/>
          <w:sz w:val="24"/>
        </w:rPr>
        <w:fldChar w:fldCharType="begin"/>
      </w:r>
      <w:r>
        <w:rPr>
          <w:rFonts w:hint="default" w:ascii="Times New Roman" w:hAnsi="Times New Roman" w:eastAsia="宋体" w:cs="Times New Roman"/>
          <w:color w:val="auto"/>
          <w:kern w:val="0"/>
          <w:sz w:val="24"/>
        </w:rPr>
        <w:instrText xml:space="preserve"> REF _Ref1727610 \h  \* MERGEFORMAT </w:instrText>
      </w:r>
      <w:r>
        <w:rPr>
          <w:rFonts w:hint="default" w:ascii="Times New Roman" w:hAnsi="Times New Roman" w:eastAsia="宋体" w:cs="Times New Roman"/>
          <w:color w:val="auto"/>
          <w:kern w:val="0"/>
          <w:sz w:val="24"/>
        </w:rPr>
        <w:fldChar w:fldCharType="separate"/>
      </w:r>
      <w:r>
        <w:rPr>
          <w:rFonts w:hint="default" w:ascii="Times New Roman" w:hAnsi="Times New Roman" w:eastAsia="宋体" w:cs="Times New Roman"/>
          <w:color w:val="auto"/>
          <w:kern w:val="0"/>
          <w:sz w:val="24"/>
        </w:rPr>
        <w:t>表</w:t>
      </w:r>
      <w:r>
        <w:rPr>
          <w:rFonts w:hint="default" w:ascii="Times New Roman" w:hAnsi="Times New Roman" w:eastAsia="宋体" w:cs="Times New Roman"/>
          <w:color w:val="auto"/>
          <w:kern w:val="0"/>
          <w:sz w:val="24"/>
          <w:lang w:eastAsia="zh-CN"/>
        </w:rPr>
        <w:t>3.1-</w:t>
      </w:r>
      <w:r>
        <w:rPr>
          <w:rFonts w:hint="default" w:ascii="Times New Roman" w:hAnsi="Times New Roman" w:eastAsia="宋体" w:cs="Times New Roman"/>
          <w:color w:val="auto"/>
          <w:kern w:val="0"/>
          <w:sz w:val="24"/>
        </w:rPr>
        <w:t>2</w:t>
      </w:r>
      <w:r>
        <w:rPr>
          <w:rFonts w:hint="default" w:ascii="Times New Roman" w:hAnsi="Times New Roman" w:eastAsia="宋体" w:cs="Times New Roman"/>
          <w:color w:val="auto"/>
          <w:kern w:val="0"/>
          <w:sz w:val="24"/>
        </w:rPr>
        <w:fldChar w:fldCharType="end"/>
      </w:r>
      <w:r>
        <w:rPr>
          <w:rFonts w:hint="default" w:ascii="Times New Roman" w:hAnsi="Times New Roman" w:eastAsia="宋体" w:cs="Times New Roman"/>
          <w:color w:val="auto"/>
          <w:kern w:val="0"/>
          <w:sz w:val="24"/>
        </w:rPr>
        <w:t>），与下游环境敏感目标（见表</w:t>
      </w:r>
      <w:r>
        <w:rPr>
          <w:rFonts w:hint="default" w:ascii="Times New Roman" w:hAnsi="Times New Roman" w:eastAsia="宋体" w:cs="Times New Roman"/>
          <w:color w:val="auto"/>
          <w:kern w:val="0"/>
          <w:sz w:val="24"/>
          <w:lang w:eastAsia="zh-CN"/>
        </w:rPr>
        <w:t>3.1-</w:t>
      </w:r>
      <w:r>
        <w:rPr>
          <w:rFonts w:hint="default" w:ascii="Times New Roman" w:hAnsi="Times New Roman" w:eastAsia="宋体" w:cs="Times New Roman"/>
          <w:color w:val="auto"/>
          <w:kern w:val="0"/>
          <w:sz w:val="24"/>
        </w:rPr>
        <w:t>3）情况，共分为三种类型。</w:t>
      </w:r>
    </w:p>
    <w:p w14:paraId="53C4174F">
      <w:pPr>
        <w:pStyle w:val="1398"/>
        <w:rPr>
          <w:rFonts w:hint="default" w:ascii="Times New Roman" w:hAnsi="Times New Roman" w:eastAsia="宋体" w:cs="Times New Roman"/>
          <w:color w:val="auto"/>
          <w:sz w:val="24"/>
          <w:szCs w:val="32"/>
        </w:rPr>
      </w:pPr>
      <w:bookmarkStart w:id="46" w:name="_Ref1727610"/>
      <w:r>
        <w:rPr>
          <w:rFonts w:hint="default" w:ascii="Times New Roman" w:hAnsi="Times New Roman" w:eastAsia="宋体" w:cs="Times New Roman"/>
          <w:color w:val="auto"/>
          <w:sz w:val="24"/>
          <w:szCs w:val="32"/>
        </w:rPr>
        <w:t>表</w:t>
      </w:r>
      <w:r>
        <w:rPr>
          <w:rFonts w:hint="default" w:ascii="Times New Roman" w:hAnsi="Times New Roman" w:eastAsia="宋体" w:cs="Times New Roman"/>
          <w:color w:val="auto"/>
          <w:sz w:val="24"/>
          <w:szCs w:val="32"/>
          <w:lang w:eastAsia="zh-CN"/>
        </w:rPr>
        <w:t>3.1-</w:t>
      </w:r>
      <w:r>
        <w:rPr>
          <w:rFonts w:hint="default" w:ascii="Times New Roman" w:hAnsi="Times New Roman" w:eastAsia="宋体" w:cs="Times New Roman"/>
          <w:color w:val="auto"/>
          <w:sz w:val="24"/>
          <w:szCs w:val="32"/>
        </w:rPr>
        <w:t>2</w:t>
      </w:r>
      <w:bookmarkEnd w:id="46"/>
      <w:r>
        <w:rPr>
          <w:rFonts w:hint="default" w:ascii="Times New Roman" w:hAnsi="Times New Roman" w:eastAsia="宋体" w:cs="Times New Roman"/>
          <w:color w:val="auto"/>
          <w:sz w:val="24"/>
          <w:szCs w:val="32"/>
        </w:rPr>
        <w:t xml:space="preserve">  地表水功能敏感性分区</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268"/>
        <w:gridCol w:w="8019"/>
      </w:tblGrid>
      <w:tr w14:paraId="1D88E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134" w:type="dxa"/>
            <w:shd w:val="clear" w:color="auto" w:fill="auto"/>
            <w:vAlign w:val="center"/>
          </w:tcPr>
          <w:p w14:paraId="215E9916">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分级</w:t>
            </w:r>
          </w:p>
        </w:tc>
        <w:tc>
          <w:tcPr>
            <w:tcW w:w="7178" w:type="dxa"/>
            <w:shd w:val="clear" w:color="auto" w:fill="auto"/>
            <w:vAlign w:val="center"/>
          </w:tcPr>
          <w:p w14:paraId="14E9AD70">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地表水环境敏感性</w:t>
            </w:r>
          </w:p>
        </w:tc>
      </w:tr>
      <w:tr w14:paraId="6FE8B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134" w:type="dxa"/>
            <w:shd w:val="clear" w:color="auto" w:fill="auto"/>
            <w:vAlign w:val="center"/>
          </w:tcPr>
          <w:p w14:paraId="672D89D3">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敏感F1</w:t>
            </w:r>
          </w:p>
        </w:tc>
        <w:tc>
          <w:tcPr>
            <w:tcW w:w="7178" w:type="dxa"/>
            <w:shd w:val="clear" w:color="auto" w:fill="auto"/>
            <w:vAlign w:val="center"/>
          </w:tcPr>
          <w:p w14:paraId="79156B11">
            <w:pPr>
              <w:pStyle w:val="369"/>
              <w:rPr>
                <w:rFonts w:hint="default" w:ascii="Times New Roman" w:hAnsi="Times New Roman" w:eastAsia="宋体" w:cs="Times New Roman"/>
                <w:color w:val="auto"/>
              </w:rPr>
            </w:pPr>
            <w:r>
              <w:rPr>
                <w:rFonts w:hint="default" w:ascii="Times New Roman" w:hAnsi="Times New Roman" w:eastAsia="宋体" w:cs="Times New Roman"/>
                <w:color w:val="auto"/>
              </w:rPr>
              <w:t>排放点进入地表水水域环境功能为Ⅱ类及以上，或海水水质分类第一类；</w:t>
            </w:r>
          </w:p>
          <w:p w14:paraId="38B6078F">
            <w:pPr>
              <w:pStyle w:val="369"/>
              <w:rPr>
                <w:rFonts w:hint="default" w:ascii="Times New Roman" w:hAnsi="Times New Roman" w:eastAsia="宋体" w:cs="Times New Roman"/>
                <w:color w:val="auto"/>
              </w:rPr>
            </w:pPr>
            <w:r>
              <w:rPr>
                <w:rFonts w:hint="default" w:ascii="Times New Roman" w:hAnsi="Times New Roman" w:eastAsia="宋体" w:cs="Times New Roman"/>
                <w:color w:val="auto"/>
              </w:rPr>
              <w:t>或以事故发生时，危险物质泄漏到水体的排放点算起，排放进入受纳河流最大流速时，24h流经范围内涉跨国界的</w:t>
            </w:r>
          </w:p>
        </w:tc>
      </w:tr>
      <w:tr w14:paraId="1756C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shd w:val="clear" w:color="auto" w:fill="auto"/>
            <w:vAlign w:val="center"/>
          </w:tcPr>
          <w:p w14:paraId="2272E163">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较敏感F2</w:t>
            </w:r>
          </w:p>
        </w:tc>
        <w:tc>
          <w:tcPr>
            <w:tcW w:w="7178" w:type="dxa"/>
            <w:shd w:val="clear" w:color="auto" w:fill="auto"/>
            <w:vAlign w:val="center"/>
          </w:tcPr>
          <w:p w14:paraId="46B6DFCB">
            <w:pPr>
              <w:pStyle w:val="369"/>
              <w:rPr>
                <w:rFonts w:hint="default" w:ascii="Times New Roman" w:hAnsi="Times New Roman" w:eastAsia="宋体" w:cs="Times New Roman"/>
                <w:color w:val="auto"/>
              </w:rPr>
            </w:pPr>
            <w:r>
              <w:rPr>
                <w:rFonts w:hint="default" w:ascii="Times New Roman" w:hAnsi="Times New Roman" w:eastAsia="宋体" w:cs="Times New Roman"/>
                <w:color w:val="auto"/>
              </w:rPr>
              <w:t>排放点进入地表水水域环境功能为Ⅲ类，或海水水质分类第二类；</w:t>
            </w:r>
          </w:p>
          <w:p w14:paraId="48655F4F">
            <w:pPr>
              <w:pStyle w:val="369"/>
              <w:rPr>
                <w:rFonts w:hint="default" w:ascii="Times New Roman" w:hAnsi="Times New Roman" w:eastAsia="宋体" w:cs="Times New Roman"/>
                <w:color w:val="auto"/>
              </w:rPr>
            </w:pPr>
            <w:r>
              <w:rPr>
                <w:rFonts w:hint="default" w:ascii="Times New Roman" w:hAnsi="Times New Roman" w:eastAsia="宋体" w:cs="Times New Roman"/>
                <w:color w:val="auto"/>
              </w:rPr>
              <w:t>或以发生事故时，危险物质泄漏到水体的排放点算起，排放进入受纳河流最大流速时，24h流经范围内跨省界的</w:t>
            </w:r>
          </w:p>
        </w:tc>
      </w:tr>
      <w:tr w14:paraId="211F2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134" w:type="dxa"/>
            <w:shd w:val="clear" w:color="auto" w:fill="auto"/>
            <w:vAlign w:val="center"/>
          </w:tcPr>
          <w:p w14:paraId="00DB6DF0">
            <w:pPr>
              <w:pStyle w:val="369"/>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低敏感F3</w:t>
            </w:r>
          </w:p>
        </w:tc>
        <w:tc>
          <w:tcPr>
            <w:tcW w:w="7178" w:type="dxa"/>
            <w:shd w:val="clear" w:color="auto" w:fill="auto"/>
            <w:vAlign w:val="center"/>
          </w:tcPr>
          <w:p w14:paraId="099764D3">
            <w:pPr>
              <w:pStyle w:val="369"/>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上述地区之外的其他地区</w:t>
            </w:r>
          </w:p>
        </w:tc>
      </w:tr>
    </w:tbl>
    <w:p w14:paraId="1AC4DE10">
      <w:pPr>
        <w:pStyle w:val="1398"/>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表</w:t>
      </w:r>
      <w:r>
        <w:rPr>
          <w:rFonts w:hint="default" w:ascii="Times New Roman" w:hAnsi="Times New Roman" w:eastAsia="宋体" w:cs="Times New Roman"/>
          <w:color w:val="auto"/>
          <w:sz w:val="24"/>
          <w:szCs w:val="32"/>
          <w:lang w:eastAsia="zh-CN"/>
        </w:rPr>
        <w:t>3.1-</w:t>
      </w:r>
      <w:r>
        <w:rPr>
          <w:rFonts w:hint="default" w:ascii="Times New Roman" w:hAnsi="Times New Roman" w:eastAsia="宋体" w:cs="Times New Roman"/>
          <w:color w:val="auto"/>
          <w:sz w:val="24"/>
          <w:szCs w:val="32"/>
        </w:rPr>
        <w:t>3   地表水环境敏感目标分级</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58"/>
        <w:gridCol w:w="8329"/>
      </w:tblGrid>
      <w:tr w14:paraId="5C33F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958" w:type="dxa"/>
            <w:shd w:val="clear" w:color="auto" w:fill="auto"/>
            <w:vAlign w:val="center"/>
          </w:tcPr>
          <w:p w14:paraId="35AA3173">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分级</w:t>
            </w:r>
          </w:p>
        </w:tc>
        <w:tc>
          <w:tcPr>
            <w:tcW w:w="8328" w:type="dxa"/>
            <w:shd w:val="clear" w:color="auto" w:fill="auto"/>
            <w:vAlign w:val="center"/>
          </w:tcPr>
          <w:p w14:paraId="5A0AF2B1">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环境敏感目标</w:t>
            </w:r>
          </w:p>
        </w:tc>
      </w:tr>
      <w:tr w14:paraId="21B81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958" w:type="dxa"/>
            <w:shd w:val="clear" w:color="auto" w:fill="auto"/>
            <w:vAlign w:val="center"/>
          </w:tcPr>
          <w:p w14:paraId="45FEB52B">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S1</w:t>
            </w:r>
          </w:p>
        </w:tc>
        <w:tc>
          <w:tcPr>
            <w:tcW w:w="8328" w:type="dxa"/>
            <w:shd w:val="clear" w:color="auto" w:fill="auto"/>
            <w:vAlign w:val="center"/>
          </w:tcPr>
          <w:p w14:paraId="20784E2E">
            <w:pPr>
              <w:pStyle w:val="369"/>
              <w:jc w:val="both"/>
              <w:rPr>
                <w:rFonts w:hint="default" w:ascii="Times New Roman" w:hAnsi="Times New Roman" w:eastAsia="宋体" w:cs="Times New Roman"/>
                <w:color w:val="auto"/>
              </w:rPr>
            </w:pPr>
            <w:r>
              <w:rPr>
                <w:rFonts w:hint="default" w:ascii="Times New Roman" w:hAnsi="Times New Roman" w:eastAsia="宋体" w:cs="Times New Roman"/>
                <w:color w:val="auto"/>
              </w:rPr>
              <w:t>发生事故时，危险物质泄漏到内陆水体的排放点下游（顺水流向）10km范围内、近岸海域一个潮周期水质点可能达到的最大水平距离的两倍范围内，有如下一类或多类环境风险受体的：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14:paraId="0910D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8" w:type="dxa"/>
            <w:shd w:val="clear" w:color="auto" w:fill="auto"/>
            <w:vAlign w:val="center"/>
          </w:tcPr>
          <w:p w14:paraId="5A9C9258">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S2</w:t>
            </w:r>
          </w:p>
        </w:tc>
        <w:tc>
          <w:tcPr>
            <w:tcW w:w="8328" w:type="dxa"/>
            <w:shd w:val="clear" w:color="auto" w:fill="auto"/>
            <w:vAlign w:val="center"/>
          </w:tcPr>
          <w:p w14:paraId="45A54959">
            <w:pPr>
              <w:pStyle w:val="369"/>
              <w:jc w:val="both"/>
              <w:rPr>
                <w:rFonts w:hint="default" w:ascii="Times New Roman" w:hAnsi="Times New Roman" w:eastAsia="宋体" w:cs="Times New Roman"/>
                <w:color w:val="auto"/>
              </w:rPr>
            </w:pPr>
            <w:r>
              <w:rPr>
                <w:rFonts w:hint="default" w:ascii="Times New Roman" w:hAnsi="Times New Roman" w:eastAsia="宋体" w:cs="Times New Roman"/>
                <w:color w:val="auto"/>
              </w:rPr>
              <w:t>发生事故时，危险物质泄漏到内陆水体的排放点下游（顺水流向）10km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14:paraId="352D2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958" w:type="dxa"/>
            <w:shd w:val="clear" w:color="auto" w:fill="auto"/>
            <w:vAlign w:val="center"/>
          </w:tcPr>
          <w:p w14:paraId="7B586951">
            <w:pPr>
              <w:pStyle w:val="369"/>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S3</w:t>
            </w:r>
          </w:p>
        </w:tc>
        <w:tc>
          <w:tcPr>
            <w:tcW w:w="8328" w:type="dxa"/>
            <w:shd w:val="clear" w:color="auto" w:fill="auto"/>
            <w:vAlign w:val="center"/>
          </w:tcPr>
          <w:p w14:paraId="4D8301B4">
            <w:pPr>
              <w:pStyle w:val="369"/>
              <w:jc w:val="both"/>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排放点下游（顺水流向）10km范围内、近岸海域一个潮周期水质点可能达到的最大水平距离的两倍范围内无上述类型1和类型2包括的敏感保护目标。</w:t>
            </w:r>
          </w:p>
        </w:tc>
      </w:tr>
    </w:tbl>
    <w:p w14:paraId="34F3E841">
      <w:pPr>
        <w:pStyle w:val="1398"/>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表</w:t>
      </w:r>
      <w:r>
        <w:rPr>
          <w:rFonts w:hint="default" w:ascii="Times New Roman" w:hAnsi="Times New Roman" w:eastAsia="宋体" w:cs="Times New Roman"/>
          <w:color w:val="auto"/>
          <w:sz w:val="24"/>
          <w:szCs w:val="32"/>
          <w:lang w:eastAsia="zh-CN"/>
        </w:rPr>
        <w:t>3.1-</w:t>
      </w:r>
      <w:r>
        <w:rPr>
          <w:rFonts w:hint="default" w:ascii="Times New Roman" w:hAnsi="Times New Roman" w:eastAsia="宋体" w:cs="Times New Roman"/>
          <w:color w:val="auto"/>
          <w:sz w:val="24"/>
          <w:szCs w:val="32"/>
        </w:rPr>
        <w:t>4   地表水环境敏感程度分级</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863"/>
        <w:gridCol w:w="2642"/>
        <w:gridCol w:w="2409"/>
        <w:gridCol w:w="2373"/>
      </w:tblGrid>
      <w:tr w14:paraId="4157E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667" w:type="dxa"/>
            <w:vMerge w:val="restart"/>
            <w:shd w:val="clear" w:color="auto" w:fill="auto"/>
            <w:vAlign w:val="center"/>
          </w:tcPr>
          <w:p w14:paraId="7B23D189">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环境敏感目标</w:t>
            </w:r>
          </w:p>
        </w:tc>
        <w:tc>
          <w:tcPr>
            <w:tcW w:w="6645" w:type="dxa"/>
            <w:gridSpan w:val="3"/>
            <w:shd w:val="clear" w:color="auto" w:fill="auto"/>
            <w:vAlign w:val="center"/>
          </w:tcPr>
          <w:p w14:paraId="2B842CA1">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地表水环境敏感性</w:t>
            </w:r>
          </w:p>
        </w:tc>
      </w:tr>
      <w:tr w14:paraId="0BF18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667" w:type="dxa"/>
            <w:vMerge w:val="continue"/>
            <w:shd w:val="clear" w:color="auto" w:fill="auto"/>
            <w:vAlign w:val="center"/>
          </w:tcPr>
          <w:p w14:paraId="2A23CDC8">
            <w:pPr>
              <w:pStyle w:val="369"/>
              <w:jc w:val="center"/>
              <w:rPr>
                <w:rFonts w:hint="default" w:ascii="Times New Roman" w:hAnsi="Times New Roman" w:eastAsia="宋体" w:cs="Times New Roman"/>
                <w:color w:val="auto"/>
              </w:rPr>
            </w:pPr>
          </w:p>
        </w:tc>
        <w:tc>
          <w:tcPr>
            <w:tcW w:w="2365" w:type="dxa"/>
            <w:shd w:val="clear" w:color="auto" w:fill="auto"/>
            <w:vAlign w:val="center"/>
          </w:tcPr>
          <w:p w14:paraId="1B7F405F">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F1</w:t>
            </w:r>
          </w:p>
        </w:tc>
        <w:tc>
          <w:tcPr>
            <w:tcW w:w="2155" w:type="dxa"/>
            <w:shd w:val="clear" w:color="auto" w:fill="auto"/>
            <w:vAlign w:val="center"/>
          </w:tcPr>
          <w:p w14:paraId="62E4C40A">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F2</w:t>
            </w:r>
          </w:p>
        </w:tc>
        <w:tc>
          <w:tcPr>
            <w:tcW w:w="2125" w:type="dxa"/>
            <w:shd w:val="clear" w:color="auto" w:fill="auto"/>
            <w:vAlign w:val="center"/>
          </w:tcPr>
          <w:p w14:paraId="0DF71F66">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F3</w:t>
            </w:r>
          </w:p>
        </w:tc>
      </w:tr>
      <w:tr w14:paraId="7270F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667" w:type="dxa"/>
            <w:shd w:val="clear" w:color="auto" w:fill="auto"/>
            <w:vAlign w:val="center"/>
          </w:tcPr>
          <w:p w14:paraId="0CC4035C">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S1</w:t>
            </w:r>
          </w:p>
        </w:tc>
        <w:tc>
          <w:tcPr>
            <w:tcW w:w="2365" w:type="dxa"/>
            <w:shd w:val="clear" w:color="auto" w:fill="auto"/>
            <w:vAlign w:val="center"/>
          </w:tcPr>
          <w:p w14:paraId="6FA78C0B">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E1</w:t>
            </w:r>
          </w:p>
        </w:tc>
        <w:tc>
          <w:tcPr>
            <w:tcW w:w="2155" w:type="dxa"/>
            <w:shd w:val="clear" w:color="auto" w:fill="auto"/>
            <w:vAlign w:val="center"/>
          </w:tcPr>
          <w:p w14:paraId="5644BA33">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E1</w:t>
            </w:r>
          </w:p>
        </w:tc>
        <w:tc>
          <w:tcPr>
            <w:tcW w:w="2125" w:type="dxa"/>
            <w:shd w:val="clear" w:color="auto" w:fill="auto"/>
            <w:vAlign w:val="center"/>
          </w:tcPr>
          <w:p w14:paraId="755BC642">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E2</w:t>
            </w:r>
          </w:p>
        </w:tc>
      </w:tr>
      <w:tr w14:paraId="0B3DD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667" w:type="dxa"/>
            <w:shd w:val="clear" w:color="auto" w:fill="auto"/>
            <w:vAlign w:val="center"/>
          </w:tcPr>
          <w:p w14:paraId="34248160">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S2</w:t>
            </w:r>
          </w:p>
        </w:tc>
        <w:tc>
          <w:tcPr>
            <w:tcW w:w="2365" w:type="dxa"/>
            <w:shd w:val="clear" w:color="auto" w:fill="auto"/>
            <w:vAlign w:val="center"/>
          </w:tcPr>
          <w:p w14:paraId="5D40396C">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E1</w:t>
            </w:r>
          </w:p>
        </w:tc>
        <w:tc>
          <w:tcPr>
            <w:tcW w:w="2155" w:type="dxa"/>
            <w:shd w:val="clear" w:color="auto" w:fill="auto"/>
            <w:vAlign w:val="center"/>
          </w:tcPr>
          <w:p w14:paraId="120B2350">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E2</w:t>
            </w:r>
          </w:p>
        </w:tc>
        <w:tc>
          <w:tcPr>
            <w:tcW w:w="2125" w:type="dxa"/>
            <w:shd w:val="clear" w:color="auto" w:fill="auto"/>
            <w:vAlign w:val="center"/>
          </w:tcPr>
          <w:p w14:paraId="537996D4">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E3</w:t>
            </w:r>
          </w:p>
        </w:tc>
      </w:tr>
      <w:tr w14:paraId="0AAFD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667" w:type="dxa"/>
            <w:shd w:val="clear" w:color="auto" w:fill="auto"/>
            <w:vAlign w:val="center"/>
          </w:tcPr>
          <w:p w14:paraId="5AF6C638">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S3</w:t>
            </w:r>
          </w:p>
        </w:tc>
        <w:tc>
          <w:tcPr>
            <w:tcW w:w="2365" w:type="dxa"/>
            <w:shd w:val="clear" w:color="auto" w:fill="auto"/>
            <w:vAlign w:val="center"/>
          </w:tcPr>
          <w:p w14:paraId="0E4118BE">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E1</w:t>
            </w:r>
          </w:p>
        </w:tc>
        <w:tc>
          <w:tcPr>
            <w:tcW w:w="2155" w:type="dxa"/>
            <w:shd w:val="clear" w:color="auto" w:fill="auto"/>
            <w:vAlign w:val="center"/>
          </w:tcPr>
          <w:p w14:paraId="31961270">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E2</w:t>
            </w:r>
          </w:p>
        </w:tc>
        <w:tc>
          <w:tcPr>
            <w:tcW w:w="2125" w:type="dxa"/>
            <w:shd w:val="clear" w:color="auto" w:fill="auto"/>
            <w:vAlign w:val="center"/>
          </w:tcPr>
          <w:p w14:paraId="1A324CB4">
            <w:pPr>
              <w:pStyle w:val="369"/>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E3</w:t>
            </w:r>
          </w:p>
        </w:tc>
      </w:tr>
    </w:tbl>
    <w:p w14:paraId="2B984E6B">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项目位于</w:t>
      </w:r>
      <w:r>
        <w:rPr>
          <w:rFonts w:hint="default" w:ascii="Times New Roman" w:hAnsi="Times New Roman" w:cs="Times New Roman"/>
          <w:color w:val="auto"/>
          <w:kern w:val="0"/>
          <w:sz w:val="24"/>
          <w:lang w:eastAsia="zh-CN"/>
        </w:rPr>
        <w:t>山东省淄博市淄川区双杨镇赵瓦村102省道与张博路交叉口东北200米</w:t>
      </w:r>
      <w:r>
        <w:rPr>
          <w:rFonts w:hint="default" w:ascii="Times New Roman" w:hAnsi="Times New Roman" w:eastAsia="宋体" w:cs="Times New Roman"/>
          <w:color w:val="auto"/>
          <w:kern w:val="0"/>
          <w:sz w:val="24"/>
        </w:rPr>
        <w:t>，</w:t>
      </w:r>
      <w:r>
        <w:rPr>
          <w:rFonts w:hint="default" w:ascii="Times New Roman" w:hAnsi="Times New Roman" w:eastAsia="宋体" w:cs="Times New Roman"/>
          <w:color w:val="auto"/>
          <w:kern w:val="0"/>
          <w:sz w:val="24"/>
          <w:lang w:val="en-US" w:eastAsia="zh-CN"/>
        </w:rPr>
        <w:t>本项目厂内</w:t>
      </w:r>
      <w:r>
        <w:rPr>
          <w:rFonts w:hint="default" w:ascii="Times New Roman" w:hAnsi="Times New Roman" w:cs="Times New Roman"/>
          <w:color w:val="auto"/>
          <w:kern w:val="0"/>
          <w:sz w:val="24"/>
          <w:lang w:val="en-US" w:eastAsia="zh-CN"/>
        </w:rPr>
        <w:t>拟设置</w:t>
      </w:r>
      <w:r>
        <w:rPr>
          <w:rFonts w:hint="default" w:ascii="Times New Roman" w:hAnsi="Times New Roman" w:eastAsia="宋体" w:cs="Times New Roman"/>
          <w:color w:val="auto"/>
          <w:kern w:val="0"/>
          <w:sz w:val="24"/>
        </w:rPr>
        <w:t>三级防控体系，因此本项目事故废水可以做到控制在本厂界内，且厂区距离</w:t>
      </w:r>
      <w:r>
        <w:rPr>
          <w:rFonts w:hint="default" w:ascii="Times New Roman" w:hAnsi="Times New Roman" w:eastAsia="宋体" w:cs="Times New Roman"/>
          <w:color w:val="auto"/>
          <w:kern w:val="0"/>
          <w:sz w:val="24"/>
          <w:lang w:eastAsia="zh-CN"/>
        </w:rPr>
        <w:t>孝妇河</w:t>
      </w:r>
      <w:r>
        <w:rPr>
          <w:rFonts w:hint="default" w:ascii="Times New Roman" w:hAnsi="Times New Roman" w:eastAsia="宋体" w:cs="Times New Roman"/>
          <w:color w:val="auto"/>
          <w:kern w:val="0"/>
          <w:sz w:val="24"/>
        </w:rPr>
        <w:t>较远，即便项目发生事故，事故废水也不会汇流至该河流，因此本项目事故状态下事故废水不会对</w:t>
      </w:r>
      <w:r>
        <w:rPr>
          <w:rFonts w:hint="default" w:ascii="Times New Roman" w:hAnsi="Times New Roman" w:eastAsia="宋体" w:cs="Times New Roman"/>
          <w:color w:val="auto"/>
          <w:kern w:val="0"/>
          <w:sz w:val="24"/>
          <w:lang w:eastAsia="zh-CN"/>
        </w:rPr>
        <w:t>孝妇河</w:t>
      </w:r>
      <w:r>
        <w:rPr>
          <w:rFonts w:hint="default" w:ascii="Times New Roman" w:hAnsi="Times New Roman" w:eastAsia="宋体" w:cs="Times New Roman"/>
          <w:color w:val="auto"/>
          <w:kern w:val="0"/>
          <w:sz w:val="24"/>
        </w:rPr>
        <w:t>水质产生影响。</w:t>
      </w:r>
    </w:p>
    <w:p w14:paraId="2B46946F">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综上可知，本项目地表水功能敏感性分区为低敏感（F3），环境敏感目标分级为S3。因此根据导则附录D中表D.2，本项目地表水环境敏感程度分级为环境低度敏感区（E3）。</w:t>
      </w:r>
    </w:p>
    <w:p w14:paraId="146CCCEB">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3、地下水环境</w:t>
      </w:r>
    </w:p>
    <w:p w14:paraId="7B8C7875">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依据地下水环境敏感性与包气带防污性能，共分为三种类型。</w:t>
      </w:r>
    </w:p>
    <w:p w14:paraId="47A2490D">
      <w:pPr>
        <w:pStyle w:val="1398"/>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表</w:t>
      </w:r>
      <w:r>
        <w:rPr>
          <w:rFonts w:hint="default" w:ascii="Times New Roman" w:hAnsi="Times New Roman" w:eastAsia="宋体" w:cs="Times New Roman"/>
          <w:color w:val="auto"/>
          <w:sz w:val="24"/>
          <w:szCs w:val="32"/>
          <w:lang w:eastAsia="zh-CN"/>
        </w:rPr>
        <w:t>3.1-</w:t>
      </w:r>
      <w:r>
        <w:rPr>
          <w:rFonts w:hint="default" w:ascii="Times New Roman" w:hAnsi="Times New Roman" w:eastAsia="宋体" w:cs="Times New Roman"/>
          <w:color w:val="auto"/>
          <w:sz w:val="24"/>
          <w:szCs w:val="32"/>
        </w:rPr>
        <w:t>5   地下水功能敏感性分区</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58"/>
        <w:gridCol w:w="8329"/>
      </w:tblGrid>
      <w:tr w14:paraId="4EDA1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958" w:type="dxa"/>
            <w:shd w:val="clear" w:color="auto" w:fill="auto"/>
            <w:vAlign w:val="center"/>
          </w:tcPr>
          <w:p w14:paraId="09AA0DAD">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分级</w:t>
            </w:r>
          </w:p>
        </w:tc>
        <w:tc>
          <w:tcPr>
            <w:tcW w:w="8328" w:type="dxa"/>
            <w:shd w:val="clear" w:color="auto" w:fill="auto"/>
            <w:vAlign w:val="center"/>
          </w:tcPr>
          <w:p w14:paraId="7A723E09">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地下水环境敏感特征</w:t>
            </w:r>
          </w:p>
        </w:tc>
      </w:tr>
      <w:tr w14:paraId="7A541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958" w:type="dxa"/>
            <w:shd w:val="clear" w:color="auto" w:fill="auto"/>
            <w:vAlign w:val="center"/>
          </w:tcPr>
          <w:p w14:paraId="7B44E824">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敏感G1</w:t>
            </w:r>
          </w:p>
        </w:tc>
        <w:tc>
          <w:tcPr>
            <w:tcW w:w="8328" w:type="dxa"/>
            <w:shd w:val="clear" w:color="auto" w:fill="auto"/>
            <w:vAlign w:val="center"/>
          </w:tcPr>
          <w:p w14:paraId="1A8B5C47">
            <w:pPr>
              <w:pStyle w:val="369"/>
              <w:rPr>
                <w:rFonts w:hint="default" w:ascii="Times New Roman" w:hAnsi="Times New Roman" w:eastAsia="宋体" w:cs="Times New Roman"/>
                <w:color w:val="auto"/>
              </w:rPr>
            </w:pPr>
            <w:r>
              <w:rPr>
                <w:rFonts w:hint="default" w:ascii="Times New Roman" w:hAnsi="Times New Roman" w:eastAsia="宋体" w:cs="Times New Roman"/>
                <w:color w:val="auto"/>
              </w:rPr>
              <w:t>集中式饮用水水源（包括已建成的、备用、应急水源，在建和规划的饮用水水源）准保护区；除了集中式饮用水水源以外的国家或地方政府设定的与地下水环境相关的其他保护区，如热水、矿泉水、温泉等特殊地下水资源保护区</w:t>
            </w:r>
          </w:p>
        </w:tc>
      </w:tr>
      <w:tr w14:paraId="31D28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958" w:type="dxa"/>
            <w:shd w:val="clear" w:color="auto" w:fill="auto"/>
            <w:vAlign w:val="center"/>
          </w:tcPr>
          <w:p w14:paraId="7E18F18D">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较敏感G2</w:t>
            </w:r>
          </w:p>
        </w:tc>
        <w:tc>
          <w:tcPr>
            <w:tcW w:w="8328" w:type="dxa"/>
            <w:shd w:val="clear" w:color="auto" w:fill="auto"/>
            <w:vAlign w:val="center"/>
          </w:tcPr>
          <w:p w14:paraId="46FB9324">
            <w:pPr>
              <w:pStyle w:val="369"/>
              <w:rPr>
                <w:rFonts w:hint="default" w:ascii="Times New Roman" w:hAnsi="Times New Roman" w:eastAsia="宋体" w:cs="Times New Roman"/>
                <w:color w:val="auto"/>
              </w:rPr>
            </w:pPr>
            <w:r>
              <w:rPr>
                <w:rFonts w:hint="default" w:ascii="Times New Roman" w:hAnsi="Times New Roman" w:eastAsia="宋体" w:cs="Times New Roman"/>
                <w:color w:val="auto"/>
              </w:rPr>
              <w:t>集中式饮用水水源（包括已建成的、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w:t>
            </w:r>
          </w:p>
        </w:tc>
      </w:tr>
      <w:tr w14:paraId="74A22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958" w:type="dxa"/>
            <w:shd w:val="clear" w:color="auto" w:fill="auto"/>
            <w:vAlign w:val="center"/>
          </w:tcPr>
          <w:p w14:paraId="6502452F">
            <w:pPr>
              <w:pStyle w:val="369"/>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不敏感G3</w:t>
            </w:r>
          </w:p>
        </w:tc>
        <w:tc>
          <w:tcPr>
            <w:tcW w:w="8328" w:type="dxa"/>
            <w:shd w:val="clear" w:color="auto" w:fill="auto"/>
            <w:vAlign w:val="center"/>
          </w:tcPr>
          <w:p w14:paraId="260655C5">
            <w:pPr>
              <w:pStyle w:val="369"/>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上述地区之外的其他地区</w:t>
            </w:r>
          </w:p>
        </w:tc>
      </w:tr>
    </w:tbl>
    <w:p w14:paraId="7D41E9F9">
      <w:pPr>
        <w:pStyle w:val="1398"/>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表</w:t>
      </w:r>
      <w:r>
        <w:rPr>
          <w:rFonts w:hint="default" w:ascii="Times New Roman" w:hAnsi="Times New Roman" w:eastAsia="宋体" w:cs="Times New Roman"/>
          <w:color w:val="auto"/>
          <w:sz w:val="24"/>
          <w:szCs w:val="32"/>
          <w:lang w:eastAsia="zh-CN"/>
        </w:rPr>
        <w:t>3.1-</w:t>
      </w:r>
      <w:r>
        <w:rPr>
          <w:rFonts w:hint="default" w:ascii="Times New Roman" w:hAnsi="Times New Roman" w:eastAsia="宋体" w:cs="Times New Roman"/>
          <w:color w:val="auto"/>
          <w:sz w:val="24"/>
          <w:szCs w:val="32"/>
        </w:rPr>
        <w:t>6   包气带防污性能分级</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58"/>
        <w:gridCol w:w="8329"/>
      </w:tblGrid>
      <w:tr w14:paraId="7A150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958" w:type="dxa"/>
            <w:shd w:val="clear" w:color="auto" w:fill="auto"/>
            <w:vAlign w:val="center"/>
          </w:tcPr>
          <w:p w14:paraId="3CD94DA7">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分级</w:t>
            </w:r>
          </w:p>
        </w:tc>
        <w:tc>
          <w:tcPr>
            <w:tcW w:w="8328" w:type="dxa"/>
            <w:shd w:val="clear" w:color="auto" w:fill="auto"/>
            <w:vAlign w:val="center"/>
          </w:tcPr>
          <w:p w14:paraId="69D4E1F4">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包气带岩土的渗透性能</w:t>
            </w:r>
          </w:p>
        </w:tc>
      </w:tr>
      <w:tr w14:paraId="3B940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958" w:type="dxa"/>
            <w:shd w:val="clear" w:color="auto" w:fill="auto"/>
            <w:vAlign w:val="center"/>
          </w:tcPr>
          <w:p w14:paraId="70C774CA">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D3</w:t>
            </w:r>
          </w:p>
        </w:tc>
        <w:tc>
          <w:tcPr>
            <w:tcW w:w="8328" w:type="dxa"/>
            <w:shd w:val="clear" w:color="auto" w:fill="auto"/>
            <w:vAlign w:val="center"/>
          </w:tcPr>
          <w:p w14:paraId="2B7DC280">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Mb≥1.0m，K≤1.0☓10</w:t>
            </w:r>
            <w:r>
              <w:rPr>
                <w:rFonts w:hint="default" w:ascii="Times New Roman" w:hAnsi="Times New Roman" w:eastAsia="宋体" w:cs="Times New Roman"/>
                <w:color w:val="auto"/>
                <w:vertAlign w:val="superscript"/>
              </w:rPr>
              <w:t>-6</w:t>
            </w:r>
            <w:r>
              <w:rPr>
                <w:rFonts w:hint="default" w:ascii="Times New Roman" w:hAnsi="Times New Roman" w:eastAsia="宋体" w:cs="Times New Roman"/>
                <w:color w:val="auto"/>
              </w:rPr>
              <w:t>cm/s，且分布连续、稳定</w:t>
            </w:r>
          </w:p>
        </w:tc>
      </w:tr>
      <w:tr w14:paraId="4402B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8" w:type="dxa"/>
            <w:shd w:val="clear" w:color="auto" w:fill="auto"/>
            <w:vAlign w:val="center"/>
          </w:tcPr>
          <w:p w14:paraId="30DFF2ED">
            <w:pPr>
              <w:pStyle w:val="369"/>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D2</w:t>
            </w:r>
          </w:p>
        </w:tc>
        <w:tc>
          <w:tcPr>
            <w:tcW w:w="8328" w:type="dxa"/>
            <w:shd w:val="clear" w:color="auto" w:fill="auto"/>
            <w:vAlign w:val="center"/>
          </w:tcPr>
          <w:p w14:paraId="7E3EAE95">
            <w:pPr>
              <w:pStyle w:val="369"/>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0.5m≤Mb＜1.0m，K≤1.0☓10</w:t>
            </w:r>
            <w:r>
              <w:rPr>
                <w:rFonts w:hint="default" w:ascii="Times New Roman" w:hAnsi="Times New Roman" w:eastAsia="宋体" w:cs="Times New Roman"/>
                <w:b/>
                <w:bCs/>
                <w:color w:val="auto"/>
                <w:vertAlign w:val="superscript"/>
              </w:rPr>
              <w:t>-6</w:t>
            </w:r>
            <w:r>
              <w:rPr>
                <w:rFonts w:hint="default" w:ascii="Times New Roman" w:hAnsi="Times New Roman" w:eastAsia="宋体" w:cs="Times New Roman"/>
                <w:b/>
                <w:bCs/>
                <w:color w:val="auto"/>
              </w:rPr>
              <w:t>cm/s，且分布连续、稳定</w:t>
            </w:r>
          </w:p>
          <w:p w14:paraId="6BD79D0D">
            <w:pPr>
              <w:pStyle w:val="369"/>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Mb≥1.0m，1.0☓10</w:t>
            </w:r>
            <w:r>
              <w:rPr>
                <w:rFonts w:hint="default" w:ascii="Times New Roman" w:hAnsi="Times New Roman" w:eastAsia="宋体" w:cs="Times New Roman"/>
                <w:b/>
                <w:bCs/>
                <w:color w:val="auto"/>
                <w:vertAlign w:val="superscript"/>
              </w:rPr>
              <w:t>-6</w:t>
            </w:r>
            <w:r>
              <w:rPr>
                <w:rFonts w:hint="default" w:ascii="Times New Roman" w:hAnsi="Times New Roman" w:eastAsia="宋体" w:cs="Times New Roman"/>
                <w:b/>
                <w:bCs/>
                <w:color w:val="auto"/>
              </w:rPr>
              <w:t>cm/s＜K≤1.0☓10</w:t>
            </w:r>
            <w:r>
              <w:rPr>
                <w:rFonts w:hint="default" w:ascii="Times New Roman" w:hAnsi="Times New Roman" w:eastAsia="宋体" w:cs="Times New Roman"/>
                <w:b/>
                <w:bCs/>
                <w:color w:val="auto"/>
                <w:vertAlign w:val="superscript"/>
              </w:rPr>
              <w:t>-4</w:t>
            </w:r>
            <w:r>
              <w:rPr>
                <w:rFonts w:hint="default" w:ascii="Times New Roman" w:hAnsi="Times New Roman" w:eastAsia="宋体" w:cs="Times New Roman"/>
                <w:b/>
                <w:bCs/>
                <w:color w:val="auto"/>
              </w:rPr>
              <w:t>cm/s，且分布连续、稳定</w:t>
            </w:r>
          </w:p>
        </w:tc>
      </w:tr>
      <w:tr w14:paraId="5D400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958" w:type="dxa"/>
            <w:shd w:val="clear" w:color="auto" w:fill="auto"/>
            <w:vAlign w:val="center"/>
          </w:tcPr>
          <w:p w14:paraId="36DF4C88">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D1</w:t>
            </w:r>
          </w:p>
        </w:tc>
        <w:tc>
          <w:tcPr>
            <w:tcW w:w="8328" w:type="dxa"/>
            <w:shd w:val="clear" w:color="auto" w:fill="auto"/>
            <w:vAlign w:val="center"/>
          </w:tcPr>
          <w:p w14:paraId="38DE41FA">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岩土层不满足上述“D2”和“D3”条件</w:t>
            </w:r>
          </w:p>
        </w:tc>
      </w:tr>
      <w:tr w14:paraId="71267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9286" w:type="dxa"/>
            <w:gridSpan w:val="2"/>
            <w:shd w:val="clear" w:color="auto" w:fill="auto"/>
            <w:vAlign w:val="center"/>
          </w:tcPr>
          <w:p w14:paraId="7051C675">
            <w:pPr>
              <w:pStyle w:val="369"/>
              <w:rPr>
                <w:rFonts w:hint="default" w:ascii="Times New Roman" w:hAnsi="Times New Roman" w:eastAsia="宋体" w:cs="Times New Roman"/>
                <w:color w:val="auto"/>
              </w:rPr>
            </w:pPr>
            <w:r>
              <w:rPr>
                <w:rFonts w:hint="default" w:ascii="Times New Roman" w:hAnsi="Times New Roman" w:eastAsia="宋体" w:cs="Times New Roman"/>
                <w:color w:val="auto"/>
              </w:rPr>
              <w:t>Mb：岩土层单层厚度；K：渗透系数。</w:t>
            </w:r>
          </w:p>
        </w:tc>
      </w:tr>
    </w:tbl>
    <w:p w14:paraId="194DA299">
      <w:pPr>
        <w:pStyle w:val="1398"/>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表</w:t>
      </w:r>
      <w:r>
        <w:rPr>
          <w:rFonts w:hint="default" w:ascii="Times New Roman" w:hAnsi="Times New Roman" w:eastAsia="宋体" w:cs="Times New Roman"/>
          <w:color w:val="auto"/>
          <w:sz w:val="24"/>
          <w:szCs w:val="32"/>
          <w:lang w:eastAsia="zh-CN"/>
        </w:rPr>
        <w:t>3.1-</w:t>
      </w:r>
      <w:r>
        <w:rPr>
          <w:rFonts w:hint="default" w:ascii="Times New Roman" w:hAnsi="Times New Roman" w:eastAsia="宋体" w:cs="Times New Roman"/>
          <w:color w:val="auto"/>
          <w:sz w:val="24"/>
          <w:szCs w:val="32"/>
        </w:rPr>
        <w:t>7   地下水环境敏感程度分级</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856"/>
        <w:gridCol w:w="2647"/>
        <w:gridCol w:w="2409"/>
        <w:gridCol w:w="2375"/>
      </w:tblGrid>
      <w:tr w14:paraId="2DAAB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855" w:type="dxa"/>
            <w:vMerge w:val="restart"/>
            <w:shd w:val="clear" w:color="auto" w:fill="auto"/>
            <w:vAlign w:val="center"/>
          </w:tcPr>
          <w:p w14:paraId="75220156">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环境敏感目标</w:t>
            </w:r>
          </w:p>
        </w:tc>
        <w:tc>
          <w:tcPr>
            <w:tcW w:w="7431" w:type="dxa"/>
            <w:gridSpan w:val="3"/>
            <w:shd w:val="clear" w:color="auto" w:fill="auto"/>
            <w:vAlign w:val="center"/>
          </w:tcPr>
          <w:p w14:paraId="04EA048D">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地下水功能敏感性</w:t>
            </w:r>
          </w:p>
        </w:tc>
      </w:tr>
      <w:tr w14:paraId="1ABBF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855" w:type="dxa"/>
            <w:vMerge w:val="continue"/>
            <w:shd w:val="clear" w:color="auto" w:fill="auto"/>
            <w:vAlign w:val="center"/>
          </w:tcPr>
          <w:p w14:paraId="3B5F8849">
            <w:pPr>
              <w:pStyle w:val="369"/>
              <w:jc w:val="center"/>
              <w:rPr>
                <w:rFonts w:hint="default" w:ascii="Times New Roman" w:hAnsi="Times New Roman" w:eastAsia="宋体" w:cs="Times New Roman"/>
                <w:color w:val="auto"/>
              </w:rPr>
            </w:pPr>
          </w:p>
        </w:tc>
        <w:tc>
          <w:tcPr>
            <w:tcW w:w="2647" w:type="dxa"/>
            <w:shd w:val="clear" w:color="auto" w:fill="auto"/>
            <w:vAlign w:val="center"/>
          </w:tcPr>
          <w:p w14:paraId="6C55623B">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G1</w:t>
            </w:r>
          </w:p>
        </w:tc>
        <w:tc>
          <w:tcPr>
            <w:tcW w:w="2409" w:type="dxa"/>
            <w:shd w:val="clear" w:color="auto" w:fill="auto"/>
            <w:vAlign w:val="center"/>
          </w:tcPr>
          <w:p w14:paraId="6539049A">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G2</w:t>
            </w:r>
          </w:p>
        </w:tc>
        <w:tc>
          <w:tcPr>
            <w:tcW w:w="2375" w:type="dxa"/>
            <w:shd w:val="clear" w:color="auto" w:fill="auto"/>
            <w:vAlign w:val="center"/>
          </w:tcPr>
          <w:p w14:paraId="06EC2FCE">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G3</w:t>
            </w:r>
          </w:p>
        </w:tc>
      </w:tr>
      <w:tr w14:paraId="4622F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855" w:type="dxa"/>
            <w:shd w:val="clear" w:color="auto" w:fill="auto"/>
            <w:vAlign w:val="center"/>
          </w:tcPr>
          <w:p w14:paraId="7EFA1C5E">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D1</w:t>
            </w:r>
          </w:p>
        </w:tc>
        <w:tc>
          <w:tcPr>
            <w:tcW w:w="2647" w:type="dxa"/>
            <w:shd w:val="clear" w:color="auto" w:fill="auto"/>
            <w:vAlign w:val="center"/>
          </w:tcPr>
          <w:p w14:paraId="43003FC9">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E1</w:t>
            </w:r>
          </w:p>
        </w:tc>
        <w:tc>
          <w:tcPr>
            <w:tcW w:w="2409" w:type="dxa"/>
            <w:shd w:val="clear" w:color="auto" w:fill="auto"/>
            <w:vAlign w:val="center"/>
          </w:tcPr>
          <w:p w14:paraId="091AB8ED">
            <w:pPr>
              <w:pStyle w:val="369"/>
              <w:jc w:val="center"/>
              <w:rPr>
                <w:rFonts w:hint="default" w:ascii="Times New Roman" w:hAnsi="Times New Roman" w:eastAsia="宋体" w:cs="Times New Roman"/>
                <w:b/>
                <w:bCs/>
                <w:color w:val="auto"/>
              </w:rPr>
            </w:pPr>
            <w:r>
              <w:rPr>
                <w:rFonts w:hint="default" w:ascii="Times New Roman" w:hAnsi="Times New Roman" w:eastAsia="宋体" w:cs="Times New Roman"/>
                <w:color w:val="auto"/>
              </w:rPr>
              <w:t>E1</w:t>
            </w:r>
          </w:p>
        </w:tc>
        <w:tc>
          <w:tcPr>
            <w:tcW w:w="2375" w:type="dxa"/>
            <w:shd w:val="clear" w:color="auto" w:fill="auto"/>
            <w:vAlign w:val="center"/>
          </w:tcPr>
          <w:p w14:paraId="626FFC1C">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E2</w:t>
            </w:r>
          </w:p>
        </w:tc>
      </w:tr>
      <w:tr w14:paraId="13627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5" w:type="dxa"/>
            <w:shd w:val="clear" w:color="auto" w:fill="auto"/>
            <w:vAlign w:val="center"/>
          </w:tcPr>
          <w:p w14:paraId="6004676A">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D2</w:t>
            </w:r>
          </w:p>
        </w:tc>
        <w:tc>
          <w:tcPr>
            <w:tcW w:w="2647" w:type="dxa"/>
            <w:shd w:val="clear" w:color="auto" w:fill="auto"/>
            <w:vAlign w:val="center"/>
          </w:tcPr>
          <w:p w14:paraId="7555476B">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E1</w:t>
            </w:r>
          </w:p>
        </w:tc>
        <w:tc>
          <w:tcPr>
            <w:tcW w:w="2409" w:type="dxa"/>
            <w:shd w:val="clear" w:color="auto" w:fill="auto"/>
            <w:vAlign w:val="center"/>
          </w:tcPr>
          <w:p w14:paraId="419D5275">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E2</w:t>
            </w:r>
          </w:p>
        </w:tc>
        <w:tc>
          <w:tcPr>
            <w:tcW w:w="2375" w:type="dxa"/>
            <w:shd w:val="clear" w:color="auto" w:fill="auto"/>
            <w:vAlign w:val="center"/>
          </w:tcPr>
          <w:p w14:paraId="47C8DC21">
            <w:pPr>
              <w:pStyle w:val="369"/>
              <w:jc w:val="center"/>
              <w:rPr>
                <w:rFonts w:hint="default" w:ascii="Times New Roman" w:hAnsi="Times New Roman" w:eastAsia="宋体" w:cs="Times New Roman"/>
                <w:color w:val="auto"/>
              </w:rPr>
            </w:pPr>
            <w:r>
              <w:rPr>
                <w:rFonts w:hint="default" w:ascii="Times New Roman" w:hAnsi="Times New Roman" w:eastAsia="宋体" w:cs="Times New Roman"/>
                <w:b/>
                <w:bCs/>
                <w:color w:val="auto"/>
              </w:rPr>
              <w:t>E3</w:t>
            </w:r>
          </w:p>
        </w:tc>
      </w:tr>
      <w:tr w14:paraId="681A6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5" w:type="dxa"/>
            <w:shd w:val="clear" w:color="auto" w:fill="auto"/>
            <w:vAlign w:val="center"/>
          </w:tcPr>
          <w:p w14:paraId="797F3A25">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D3</w:t>
            </w:r>
          </w:p>
        </w:tc>
        <w:tc>
          <w:tcPr>
            <w:tcW w:w="2647" w:type="dxa"/>
            <w:shd w:val="clear" w:color="auto" w:fill="auto"/>
            <w:vAlign w:val="center"/>
          </w:tcPr>
          <w:p w14:paraId="3FBF2C70">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E2</w:t>
            </w:r>
          </w:p>
        </w:tc>
        <w:tc>
          <w:tcPr>
            <w:tcW w:w="2409" w:type="dxa"/>
            <w:shd w:val="clear" w:color="auto" w:fill="auto"/>
            <w:vAlign w:val="center"/>
          </w:tcPr>
          <w:p w14:paraId="08039932">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E3</w:t>
            </w:r>
          </w:p>
        </w:tc>
        <w:tc>
          <w:tcPr>
            <w:tcW w:w="2375" w:type="dxa"/>
            <w:shd w:val="clear" w:color="auto" w:fill="auto"/>
            <w:vAlign w:val="center"/>
          </w:tcPr>
          <w:p w14:paraId="5F47834F">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E3</w:t>
            </w:r>
          </w:p>
        </w:tc>
      </w:tr>
    </w:tbl>
    <w:p w14:paraId="38341F33">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根据现场勘查及资料分析，本项目位于</w:t>
      </w:r>
      <w:r>
        <w:rPr>
          <w:rFonts w:hint="default" w:ascii="Times New Roman" w:hAnsi="Times New Roman" w:cs="Times New Roman"/>
          <w:color w:val="auto"/>
          <w:kern w:val="0"/>
          <w:sz w:val="24"/>
          <w:lang w:eastAsia="zh-CN"/>
        </w:rPr>
        <w:t>山东省淄博市淄川区双杨镇赵瓦村102省道与张博路交叉口东北200米</w:t>
      </w:r>
      <w:r>
        <w:rPr>
          <w:rFonts w:hint="default" w:ascii="Times New Roman" w:hAnsi="Times New Roman" w:eastAsia="宋体" w:cs="Times New Roman"/>
          <w:color w:val="auto"/>
          <w:kern w:val="0"/>
          <w:sz w:val="24"/>
        </w:rPr>
        <w:t>，周围无</w:t>
      </w:r>
      <w:r>
        <w:rPr>
          <w:rFonts w:hint="default" w:ascii="Times New Roman" w:hAnsi="Times New Roman" w:eastAsia="宋体" w:cs="Times New Roman"/>
          <w:color w:val="auto"/>
          <w:sz w:val="24"/>
        </w:rPr>
        <w:t>环境敏感区。</w:t>
      </w:r>
    </w:p>
    <w:p w14:paraId="0B6ADE9B">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因此，本项目地下水功能敏感性分区为不敏感（G3），包气带防污性能分级为D1。因此根据导则附录D中表D.5，本项目地下水环境敏感程度分级为环境低度敏感区（E3）。</w:t>
      </w:r>
    </w:p>
    <w:p w14:paraId="1D1C4213">
      <w:pPr>
        <w:keepNext/>
        <w:keepLines/>
        <w:widowControl/>
        <w:spacing w:before="120" w:after="120" w:line="360" w:lineRule="auto"/>
        <w:outlineLvl w:val="2"/>
        <w:rPr>
          <w:rFonts w:hint="default" w:ascii="Times New Roman" w:hAnsi="Times New Roman" w:eastAsia="宋体" w:cs="Times New Roman"/>
          <w:b/>
          <w:bCs/>
          <w:color w:val="auto"/>
          <w:kern w:val="0"/>
          <w:sz w:val="30"/>
          <w:szCs w:val="30"/>
        </w:rPr>
      </w:pPr>
      <w:bookmarkStart w:id="47" w:name="_Toc23046"/>
      <w:r>
        <w:rPr>
          <w:rFonts w:hint="default" w:ascii="Times New Roman" w:hAnsi="Times New Roman" w:eastAsia="宋体" w:cs="Times New Roman"/>
          <w:b/>
          <w:bCs/>
          <w:color w:val="auto"/>
          <w:kern w:val="0"/>
          <w:sz w:val="30"/>
          <w:szCs w:val="30"/>
          <w:lang w:val="en-US" w:eastAsia="zh-CN"/>
        </w:rPr>
        <w:t>3.</w:t>
      </w:r>
      <w:r>
        <w:rPr>
          <w:rFonts w:hint="default" w:ascii="Times New Roman" w:hAnsi="Times New Roman" w:eastAsia="宋体" w:cs="Times New Roman"/>
          <w:b/>
          <w:bCs/>
          <w:color w:val="auto"/>
          <w:kern w:val="0"/>
          <w:sz w:val="30"/>
          <w:szCs w:val="30"/>
        </w:rPr>
        <w:t>2 危险物质及工艺系统危险性（P）的确定</w:t>
      </w:r>
      <w:bookmarkEnd w:id="47"/>
    </w:p>
    <w:p w14:paraId="1FC9108E">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1、Q值的确定</w:t>
      </w:r>
    </w:p>
    <w:p w14:paraId="123DD848">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计算所涉及的每种环境风险物质在厂界内的最大存在总量与其在《建设项目环境风险评价技术导则》（HJ169-2018）附录 B 中对应的临界量的比值</w:t>
      </w:r>
      <w:r>
        <w:rPr>
          <w:rFonts w:hint="default" w:ascii="Times New Roman" w:hAnsi="Times New Roman" w:cs="Times New Roman"/>
          <w:color w:val="auto"/>
          <w:kern w:val="0"/>
          <w:sz w:val="24"/>
          <w:lang w:eastAsia="zh-CN"/>
        </w:rPr>
        <w:t>（</w:t>
      </w:r>
      <w:r>
        <w:rPr>
          <w:rFonts w:hint="default" w:ascii="Times New Roman" w:hAnsi="Times New Roman" w:eastAsia="宋体" w:cs="Times New Roman"/>
          <w:color w:val="auto"/>
          <w:kern w:val="0"/>
          <w:sz w:val="24"/>
        </w:rPr>
        <w:t>Q</w:t>
      </w:r>
      <w:r>
        <w:rPr>
          <w:rFonts w:hint="eastAsia" w:cs="Times New Roman"/>
          <w:color w:val="auto"/>
          <w:kern w:val="0"/>
          <w:sz w:val="24"/>
          <w:lang w:eastAsia="zh-CN"/>
        </w:rPr>
        <w:t>）</w:t>
      </w:r>
      <w:r>
        <w:rPr>
          <w:rFonts w:hint="default" w:ascii="Times New Roman" w:hAnsi="Times New Roman" w:eastAsia="宋体" w:cs="Times New Roman"/>
          <w:color w:val="auto"/>
          <w:kern w:val="0"/>
          <w:sz w:val="24"/>
        </w:rPr>
        <w:t>，</w:t>
      </w:r>
    </w:p>
    <w:p w14:paraId="22E512DC">
      <w:pPr>
        <w:spacing w:line="360" w:lineRule="auto"/>
        <w:ind w:firstLine="480" w:firstLineChars="200"/>
        <w:rPr>
          <w:rFonts w:hint="default" w:ascii="Times New Roman" w:hAnsi="Times New Roman" w:eastAsia="宋体" w:cs="Times New Roman"/>
          <w:color w:val="auto"/>
          <w:kern w:val="0"/>
          <w:sz w:val="28"/>
          <w:szCs w:val="28"/>
        </w:rPr>
      </w:pPr>
      <w:r>
        <w:rPr>
          <w:rFonts w:hint="default" w:ascii="Times New Roman" w:hAnsi="Times New Roman" w:eastAsia="宋体" w:cs="Times New Roman"/>
          <w:color w:val="auto"/>
          <w:kern w:val="0"/>
          <w:sz w:val="24"/>
        </w:rPr>
        <w:t>计算公式如下：</w:t>
      </w:r>
    </w:p>
    <w:p w14:paraId="5C20871D">
      <w:pPr>
        <w:spacing w:line="360" w:lineRule="auto"/>
        <w:ind w:firstLine="56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8"/>
        </w:rPr>
        <mc:AlternateContent>
          <mc:Choice Requires="wps">
            <w:drawing>
              <wp:anchor distT="0" distB="0" distL="114300" distR="114300" simplePos="0" relativeHeight="251667456" behindDoc="0" locked="0" layoutInCell="1" allowOverlap="1">
                <wp:simplePos x="0" y="0"/>
                <wp:positionH relativeFrom="column">
                  <wp:posOffset>1309370</wp:posOffset>
                </wp:positionH>
                <wp:positionV relativeFrom="paragraph">
                  <wp:posOffset>412750</wp:posOffset>
                </wp:positionV>
                <wp:extent cx="2058035" cy="676275"/>
                <wp:effectExtent l="0" t="0" r="18415" b="9525"/>
                <wp:wrapNone/>
                <wp:docPr id="123" name="矩形 123"/>
                <wp:cNvGraphicFramePr/>
                <a:graphic xmlns:a="http://schemas.openxmlformats.org/drawingml/2006/main">
                  <a:graphicData uri="http://schemas.microsoft.com/office/word/2010/wordprocessingShape">
                    <wps:wsp>
                      <wps:cNvSpPr/>
                      <wps:spPr>
                        <a:xfrm>
                          <a:off x="0" y="0"/>
                          <a:ext cx="2058035" cy="676275"/>
                        </a:xfrm>
                        <a:prstGeom prst="rect">
                          <a:avLst/>
                        </a:prstGeom>
                        <a:solidFill>
                          <a:srgbClr val="FFFFFF"/>
                        </a:solidFill>
                        <a:ln w="9525">
                          <a:noFill/>
                        </a:ln>
                      </wps:spPr>
                      <wps:txbx>
                        <w:txbxContent>
                          <w:p w14:paraId="6BC26436">
                            <w:r>
                              <w:drawing>
                                <wp:inline distT="0" distB="0" distL="114300" distR="114300">
                                  <wp:extent cx="1862455" cy="598170"/>
                                  <wp:effectExtent l="0" t="0" r="4445" b="11430"/>
                                  <wp:docPr id="14"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5"/>
                                          <pic:cNvPicPr>
                                            <a:picLocks noChangeAspect="1"/>
                                          </pic:cNvPicPr>
                                        </pic:nvPicPr>
                                        <pic:blipFill>
                                          <a:blip r:embed="rId28"/>
                                          <a:stretch>
                                            <a:fillRect/>
                                          </a:stretch>
                                        </pic:blipFill>
                                        <pic:spPr>
                                          <a:xfrm>
                                            <a:off x="0" y="0"/>
                                            <a:ext cx="1862455" cy="598170"/>
                                          </a:xfrm>
                                          <a:prstGeom prst="rect">
                                            <a:avLst/>
                                          </a:prstGeom>
                                          <a:noFill/>
                                          <a:ln w="9525">
                                            <a:noFill/>
                                          </a:ln>
                                        </pic:spPr>
                                      </pic:pic>
                                    </a:graphicData>
                                  </a:graphic>
                                </wp:inline>
                              </w:drawing>
                            </w:r>
                          </w:p>
                        </w:txbxContent>
                      </wps:txbx>
                      <wps:bodyPr upright="1"/>
                    </wps:wsp>
                  </a:graphicData>
                </a:graphic>
              </wp:anchor>
            </w:drawing>
          </mc:Choice>
          <mc:Fallback>
            <w:pict>
              <v:rect id="_x0000_s1026" o:spid="_x0000_s1026" o:spt="1" style="position:absolute;left:0pt;margin-left:103.1pt;margin-top:32.5pt;height:53.25pt;width:162.05pt;z-index:251667456;mso-width-relative:page;mso-height-relative:page;" fillcolor="#FFFFFF" filled="t" stroked="f" coordsize="21600,21600" o:gfxdata="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9sRGT9cAAAAKAQAADwAAAAAAAAABACAAAAAiAAAAZHJzL2Rvd25yZXYueG1s&#10;UEsBAhQAFAAAAAgAh07iQHqKbrzAAQAAdwMAAA4AAAAAAAAAAQAgAAAAJgEAAGRycy9lMm9Eb2Mu&#10;eG1sUEsFBgAAAAAGAAYAWQEAAFgFAAAAAA==&#10;">
                <v:fill on="t" focussize="0,0"/>
                <v:stroke on="f"/>
                <v:imagedata o:title=""/>
                <o:lock v:ext="edit" aspectratio="f"/>
                <v:textbox>
                  <w:txbxContent>
                    <w:p w14:paraId="6BC26436">
                      <w:r>
                        <w:drawing>
                          <wp:inline distT="0" distB="0" distL="114300" distR="114300">
                            <wp:extent cx="1862455" cy="598170"/>
                            <wp:effectExtent l="0" t="0" r="4445" b="11430"/>
                            <wp:docPr id="14"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5"/>
                                    <pic:cNvPicPr>
                                      <a:picLocks noChangeAspect="1"/>
                                    </pic:cNvPicPr>
                                  </pic:nvPicPr>
                                  <pic:blipFill>
                                    <a:blip r:embed="rId28"/>
                                    <a:stretch>
                                      <a:fillRect/>
                                    </a:stretch>
                                  </pic:blipFill>
                                  <pic:spPr>
                                    <a:xfrm>
                                      <a:off x="0" y="0"/>
                                      <a:ext cx="1862455" cy="598170"/>
                                    </a:xfrm>
                                    <a:prstGeom prst="rect">
                                      <a:avLst/>
                                    </a:prstGeom>
                                    <a:noFill/>
                                    <a:ln w="9525">
                                      <a:noFill/>
                                    </a:ln>
                                  </pic:spPr>
                                </pic:pic>
                              </a:graphicData>
                            </a:graphic>
                          </wp:inline>
                        </w:drawing>
                      </w:r>
                    </w:p>
                  </w:txbxContent>
                </v:textbox>
              </v:rect>
            </w:pict>
          </mc:Fallback>
        </mc:AlternateContent>
      </w:r>
      <w:r>
        <w:rPr>
          <w:rFonts w:hint="default" w:ascii="Times New Roman" w:hAnsi="Times New Roman" w:eastAsia="宋体" w:cs="Times New Roman"/>
          <w:color w:val="auto"/>
          <w:sz w:val="24"/>
        </w:rPr>
        <w:t>单元存在的危险物质为多品种时，则按下式计算，若满足下式，则定为重大危险源。</w:t>
      </w:r>
    </w:p>
    <w:p w14:paraId="328930E1">
      <w:pPr>
        <w:spacing w:line="360" w:lineRule="auto"/>
        <w:ind w:firstLine="480" w:firstLineChars="200"/>
        <w:rPr>
          <w:rFonts w:hint="default" w:ascii="Times New Roman" w:hAnsi="Times New Roman" w:eastAsia="宋体" w:cs="Times New Roman"/>
          <w:color w:val="auto"/>
          <w:sz w:val="24"/>
        </w:rPr>
      </w:pPr>
    </w:p>
    <w:p w14:paraId="56B24D7F">
      <w:pPr>
        <w:pStyle w:val="80"/>
        <w:rPr>
          <w:rFonts w:hint="default" w:ascii="Times New Roman" w:hAnsi="Times New Roman" w:eastAsia="宋体" w:cs="Times New Roman"/>
          <w:color w:val="auto"/>
        </w:rPr>
      </w:pPr>
    </w:p>
    <w:p w14:paraId="43CAA393">
      <w:pPr>
        <w:pStyle w:val="80"/>
        <w:rPr>
          <w:rFonts w:hint="default" w:ascii="Times New Roman" w:hAnsi="Times New Roman" w:eastAsia="宋体" w:cs="Times New Roman"/>
          <w:color w:val="auto"/>
        </w:rPr>
      </w:pPr>
    </w:p>
    <w:p w14:paraId="455DB03A">
      <w:pPr>
        <w:rPr>
          <w:rFonts w:hint="default" w:ascii="Times New Roman" w:hAnsi="Times New Roman" w:eastAsia="宋体" w:cs="Times New Roman"/>
          <w:color w:val="auto"/>
        </w:rPr>
      </w:pPr>
    </w:p>
    <w:p w14:paraId="6EC5650A">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式中：q</w:t>
      </w:r>
      <w:r>
        <w:rPr>
          <w:rFonts w:hint="default" w:ascii="Times New Roman" w:hAnsi="Times New Roman" w:eastAsia="宋体" w:cs="Times New Roman"/>
          <w:color w:val="auto"/>
          <w:sz w:val="24"/>
          <w:vertAlign w:val="subscript"/>
        </w:rPr>
        <w:t>1</w:t>
      </w:r>
      <w:r>
        <w:rPr>
          <w:rFonts w:hint="default" w:ascii="Times New Roman" w:hAnsi="Times New Roman" w:eastAsia="宋体" w:cs="Times New Roman"/>
          <w:color w:val="auto"/>
          <w:sz w:val="24"/>
        </w:rPr>
        <w:t>、q</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……q</w:t>
      </w:r>
      <w:r>
        <w:rPr>
          <w:rFonts w:hint="default" w:ascii="Times New Roman" w:hAnsi="Times New Roman" w:eastAsia="宋体" w:cs="Times New Roman"/>
          <w:color w:val="auto"/>
          <w:sz w:val="24"/>
          <w:vertAlign w:val="subscript"/>
        </w:rPr>
        <w:t>n</w:t>
      </w:r>
      <w:r>
        <w:rPr>
          <w:rFonts w:hint="default" w:ascii="Times New Roman" w:hAnsi="Times New Roman" w:eastAsia="宋体" w:cs="Times New Roman"/>
          <w:color w:val="auto"/>
          <w:sz w:val="24"/>
        </w:rPr>
        <w:t>——每种危险物质实际存在量，t；</w:t>
      </w:r>
    </w:p>
    <w:p w14:paraId="3F16F2DF">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Q</w:t>
      </w:r>
      <w:r>
        <w:rPr>
          <w:rFonts w:hint="default" w:ascii="Times New Roman" w:hAnsi="Times New Roman" w:eastAsia="宋体" w:cs="Times New Roman"/>
          <w:color w:val="auto"/>
          <w:sz w:val="24"/>
          <w:vertAlign w:val="subscript"/>
        </w:rPr>
        <w:t>1</w:t>
      </w:r>
      <w:r>
        <w:rPr>
          <w:rFonts w:hint="default" w:ascii="Times New Roman" w:hAnsi="Times New Roman" w:eastAsia="宋体" w:cs="Times New Roman"/>
          <w:color w:val="auto"/>
          <w:sz w:val="24"/>
        </w:rPr>
        <w:t>、Q</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…Q</w:t>
      </w:r>
      <w:r>
        <w:rPr>
          <w:rFonts w:hint="default" w:ascii="Times New Roman" w:hAnsi="Times New Roman" w:eastAsia="宋体" w:cs="Times New Roman"/>
          <w:color w:val="auto"/>
          <w:sz w:val="24"/>
          <w:vertAlign w:val="subscript"/>
        </w:rPr>
        <w:t>n</w:t>
      </w:r>
      <w:r>
        <w:rPr>
          <w:rFonts w:hint="default" w:ascii="Times New Roman" w:hAnsi="Times New Roman" w:eastAsia="宋体" w:cs="Times New Roman"/>
          <w:color w:val="auto"/>
          <w:sz w:val="24"/>
        </w:rPr>
        <w:t>——与各危险物质相对应的生产场所或贮存区的临界量，t。</w:t>
      </w:r>
    </w:p>
    <w:p w14:paraId="23078CAD">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计算出Q值后，当Q＜1 时，该项目环境风险潜势为I。</w:t>
      </w:r>
    </w:p>
    <w:p w14:paraId="3D0DFEF3">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当Q≥1时，将Q值划分为：</w:t>
      </w:r>
      <w:r>
        <w:rPr>
          <w:rFonts w:hint="eastAsia" w:cs="Times New Roman"/>
          <w:color w:val="auto"/>
          <w:kern w:val="0"/>
          <w:sz w:val="24"/>
          <w:lang w:eastAsia="zh-CN"/>
        </w:rPr>
        <w:t>(</w:t>
      </w:r>
      <w:r>
        <w:rPr>
          <w:rFonts w:hint="default" w:ascii="Times New Roman" w:hAnsi="Times New Roman" w:eastAsia="宋体" w:cs="Times New Roman"/>
          <w:color w:val="auto"/>
          <w:kern w:val="0"/>
          <w:sz w:val="24"/>
        </w:rPr>
        <w:t>1)1≤Q＜10；</w:t>
      </w:r>
      <w:r>
        <w:rPr>
          <w:rFonts w:hint="eastAsia" w:cs="Times New Roman"/>
          <w:color w:val="auto"/>
          <w:kern w:val="0"/>
          <w:sz w:val="24"/>
          <w:lang w:eastAsia="zh-CN"/>
        </w:rPr>
        <w:t>(</w:t>
      </w:r>
      <w:r>
        <w:rPr>
          <w:rFonts w:hint="default" w:ascii="Times New Roman" w:hAnsi="Times New Roman" w:eastAsia="宋体" w:cs="Times New Roman"/>
          <w:color w:val="auto"/>
          <w:kern w:val="0"/>
          <w:sz w:val="24"/>
        </w:rPr>
        <w:t>2)10≤Q＜100；</w:t>
      </w:r>
      <w:r>
        <w:rPr>
          <w:rFonts w:hint="eastAsia" w:cs="Times New Roman"/>
          <w:color w:val="auto"/>
          <w:kern w:val="0"/>
          <w:sz w:val="24"/>
          <w:lang w:eastAsia="zh-CN"/>
        </w:rPr>
        <w:t>(</w:t>
      </w:r>
      <w:r>
        <w:rPr>
          <w:rFonts w:hint="default" w:ascii="Times New Roman" w:hAnsi="Times New Roman" w:eastAsia="宋体" w:cs="Times New Roman"/>
          <w:color w:val="auto"/>
          <w:kern w:val="0"/>
          <w:sz w:val="24"/>
        </w:rPr>
        <w:t>3)Q≥100，分别以Q</w:t>
      </w:r>
      <w:r>
        <w:rPr>
          <w:rFonts w:hint="default" w:ascii="Times New Roman" w:hAnsi="Times New Roman" w:eastAsia="宋体" w:cs="Times New Roman"/>
          <w:color w:val="auto"/>
          <w:kern w:val="0"/>
          <w:sz w:val="24"/>
          <w:vertAlign w:val="subscript"/>
        </w:rPr>
        <w:t>1</w:t>
      </w:r>
      <w:r>
        <w:rPr>
          <w:rFonts w:hint="default" w:ascii="Times New Roman" w:hAnsi="Times New Roman" w:eastAsia="宋体" w:cs="Times New Roman"/>
          <w:color w:val="auto"/>
          <w:kern w:val="0"/>
          <w:sz w:val="24"/>
        </w:rPr>
        <w:t>、Q</w:t>
      </w:r>
      <w:r>
        <w:rPr>
          <w:rFonts w:hint="default" w:ascii="Times New Roman" w:hAnsi="Times New Roman" w:eastAsia="宋体" w:cs="Times New Roman"/>
          <w:color w:val="auto"/>
          <w:kern w:val="0"/>
          <w:sz w:val="24"/>
          <w:vertAlign w:val="subscript"/>
        </w:rPr>
        <w:t>2</w:t>
      </w:r>
      <w:r>
        <w:rPr>
          <w:rFonts w:hint="default" w:ascii="Times New Roman" w:hAnsi="Times New Roman" w:eastAsia="宋体" w:cs="Times New Roman"/>
          <w:color w:val="auto"/>
          <w:kern w:val="0"/>
          <w:sz w:val="24"/>
        </w:rPr>
        <w:t>和Q</w:t>
      </w:r>
      <w:r>
        <w:rPr>
          <w:rFonts w:hint="default" w:ascii="Times New Roman" w:hAnsi="Times New Roman" w:eastAsia="宋体" w:cs="Times New Roman"/>
          <w:color w:val="auto"/>
          <w:kern w:val="0"/>
          <w:sz w:val="24"/>
          <w:vertAlign w:val="subscript"/>
        </w:rPr>
        <w:t>3</w:t>
      </w:r>
      <w:r>
        <w:rPr>
          <w:rFonts w:hint="default" w:ascii="Times New Roman" w:hAnsi="Times New Roman" w:eastAsia="宋体" w:cs="Times New Roman"/>
          <w:color w:val="auto"/>
          <w:kern w:val="0"/>
          <w:sz w:val="24"/>
        </w:rPr>
        <w:t>表示。</w:t>
      </w:r>
    </w:p>
    <w:p w14:paraId="66C546F7">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cs="Times New Roman"/>
          <w:color w:val="auto"/>
          <w:kern w:val="0"/>
          <w:sz w:val="24"/>
          <w:lang w:eastAsia="zh-CN"/>
        </w:rPr>
        <w:t>根据</w:t>
      </w:r>
      <w:r>
        <w:rPr>
          <w:rFonts w:hint="default" w:ascii="Times New Roman" w:hAnsi="Times New Roman" w:eastAsia="宋体" w:cs="Times New Roman"/>
          <w:color w:val="auto"/>
          <w:kern w:val="0"/>
          <w:sz w:val="24"/>
        </w:rPr>
        <w:t>风险调查结果，本项目风险物质在厂区内最大存在量和临界量计算的Q值情况见表</w:t>
      </w:r>
      <w:r>
        <w:rPr>
          <w:rFonts w:hint="default" w:ascii="Times New Roman" w:hAnsi="Times New Roman" w:eastAsia="宋体" w:cs="Times New Roman"/>
          <w:color w:val="auto"/>
          <w:kern w:val="0"/>
          <w:sz w:val="24"/>
          <w:lang w:eastAsia="zh-CN"/>
        </w:rPr>
        <w:t>3.</w:t>
      </w:r>
      <w:r>
        <w:rPr>
          <w:rFonts w:hint="default" w:ascii="Times New Roman" w:hAnsi="Times New Roman" w:eastAsia="宋体" w:cs="Times New Roman"/>
          <w:color w:val="auto"/>
          <w:kern w:val="0"/>
          <w:sz w:val="24"/>
          <w:lang w:val="en-US" w:eastAsia="zh-CN"/>
        </w:rPr>
        <w:t>2-1</w:t>
      </w:r>
      <w:r>
        <w:rPr>
          <w:rFonts w:hint="default" w:ascii="Times New Roman" w:hAnsi="Times New Roman" w:eastAsia="宋体" w:cs="Times New Roman"/>
          <w:color w:val="auto"/>
          <w:kern w:val="0"/>
          <w:sz w:val="24"/>
        </w:rPr>
        <w:t>。</w:t>
      </w:r>
    </w:p>
    <w:p w14:paraId="54A08F89">
      <w:pPr>
        <w:jc w:val="center"/>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表</w:t>
      </w:r>
      <w:r>
        <w:rPr>
          <w:rFonts w:hint="default" w:ascii="Times New Roman" w:hAnsi="Times New Roman" w:eastAsia="宋体" w:cs="Times New Roman"/>
          <w:b/>
          <w:bCs/>
          <w:color w:val="auto"/>
          <w:kern w:val="0"/>
          <w:sz w:val="24"/>
          <w:lang w:eastAsia="zh-CN"/>
        </w:rPr>
        <w:t>3.</w:t>
      </w:r>
      <w:r>
        <w:rPr>
          <w:rFonts w:hint="default" w:ascii="Times New Roman" w:hAnsi="Times New Roman" w:eastAsia="宋体" w:cs="Times New Roman"/>
          <w:b/>
          <w:bCs/>
          <w:color w:val="auto"/>
          <w:kern w:val="0"/>
          <w:sz w:val="24"/>
          <w:lang w:val="en-US" w:eastAsia="zh-CN"/>
        </w:rPr>
        <w:t>2-1</w:t>
      </w:r>
      <w:r>
        <w:rPr>
          <w:rFonts w:hint="default" w:ascii="Times New Roman" w:hAnsi="Times New Roman" w:eastAsia="宋体" w:cs="Times New Roman"/>
          <w:b/>
          <w:bCs/>
          <w:color w:val="auto"/>
          <w:kern w:val="0"/>
          <w:sz w:val="24"/>
        </w:rPr>
        <w:t xml:space="preserve">  风险物质在厂区内最大存在量和临界量计算的Q值情况表</w:t>
      </w:r>
    </w:p>
    <w:tbl>
      <w:tblPr>
        <w:tblStyle w:val="81"/>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318"/>
        <w:gridCol w:w="2319"/>
        <w:gridCol w:w="2120"/>
        <w:gridCol w:w="2523"/>
      </w:tblGrid>
      <w:tr w14:paraId="4CA20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exact"/>
        </w:trPr>
        <w:tc>
          <w:tcPr>
            <w:tcW w:w="1249" w:type="pct"/>
            <w:shd w:val="clear" w:color="auto" w:fill="auto"/>
            <w:vAlign w:val="center"/>
          </w:tcPr>
          <w:p w14:paraId="75F050CA">
            <w:pPr>
              <w:jc w:val="center"/>
              <w:rPr>
                <w:rFonts w:hint="default" w:ascii="Times New Roman" w:hAnsi="Times New Roman" w:eastAsia="宋体" w:cs="Times New Roman"/>
                <w:color w:val="auto"/>
              </w:rPr>
            </w:pPr>
            <w:r>
              <w:rPr>
                <w:rFonts w:hint="default" w:ascii="Times New Roman" w:hAnsi="Times New Roman" w:eastAsia="宋体" w:cs="Times New Roman"/>
                <w:color w:val="auto"/>
                <w:kern w:val="0"/>
                <w:szCs w:val="21"/>
              </w:rPr>
              <w:t>危险物质</w:t>
            </w:r>
          </w:p>
        </w:tc>
        <w:tc>
          <w:tcPr>
            <w:tcW w:w="1249" w:type="pct"/>
            <w:shd w:val="clear" w:color="auto" w:fill="auto"/>
            <w:vAlign w:val="center"/>
          </w:tcPr>
          <w:p w14:paraId="796F1899">
            <w:pPr>
              <w:jc w:val="center"/>
              <w:rPr>
                <w:rFonts w:hint="default" w:ascii="Times New Roman" w:hAnsi="Times New Roman" w:eastAsia="宋体" w:cs="Times New Roman"/>
                <w:color w:val="auto"/>
              </w:rPr>
            </w:pPr>
            <w:r>
              <w:rPr>
                <w:rFonts w:hint="default" w:ascii="Times New Roman" w:hAnsi="Times New Roman" w:eastAsia="宋体" w:cs="Times New Roman"/>
                <w:color w:val="auto"/>
                <w:kern w:val="0"/>
                <w:szCs w:val="21"/>
              </w:rPr>
              <w:t>最大存在量/t</w:t>
            </w:r>
          </w:p>
        </w:tc>
        <w:tc>
          <w:tcPr>
            <w:tcW w:w="1141" w:type="pct"/>
            <w:shd w:val="clear" w:color="auto" w:fill="auto"/>
            <w:vAlign w:val="center"/>
          </w:tcPr>
          <w:p w14:paraId="20819BB3">
            <w:pPr>
              <w:jc w:val="center"/>
              <w:rPr>
                <w:rFonts w:hint="default" w:ascii="Times New Roman" w:hAnsi="Times New Roman" w:eastAsia="宋体" w:cs="Times New Roman"/>
                <w:color w:val="auto"/>
              </w:rPr>
            </w:pPr>
            <w:r>
              <w:rPr>
                <w:rFonts w:hint="default" w:ascii="Times New Roman" w:hAnsi="Times New Roman" w:eastAsia="宋体" w:cs="Times New Roman"/>
                <w:color w:val="auto"/>
                <w:kern w:val="0"/>
                <w:szCs w:val="21"/>
              </w:rPr>
              <w:t>临界量/t</w:t>
            </w:r>
          </w:p>
        </w:tc>
        <w:tc>
          <w:tcPr>
            <w:tcW w:w="1359" w:type="pct"/>
            <w:shd w:val="clear" w:color="auto" w:fill="auto"/>
            <w:vAlign w:val="center"/>
          </w:tcPr>
          <w:p w14:paraId="78C7FBAD">
            <w:pPr>
              <w:jc w:val="center"/>
              <w:rPr>
                <w:rFonts w:hint="default" w:ascii="Times New Roman" w:hAnsi="Times New Roman" w:eastAsia="宋体" w:cs="Times New Roman"/>
                <w:color w:val="auto"/>
              </w:rPr>
            </w:pPr>
            <w:r>
              <w:rPr>
                <w:rFonts w:hint="default" w:ascii="Times New Roman" w:hAnsi="Times New Roman" w:eastAsia="宋体" w:cs="Times New Roman"/>
                <w:color w:val="auto"/>
                <w:kern w:val="0"/>
                <w:szCs w:val="21"/>
              </w:rPr>
              <w:t>该种物质的Q值</w:t>
            </w:r>
          </w:p>
        </w:tc>
      </w:tr>
      <w:tr w14:paraId="73A3F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exact"/>
        </w:trPr>
        <w:tc>
          <w:tcPr>
            <w:tcW w:w="1249" w:type="pct"/>
            <w:shd w:val="clear" w:color="auto" w:fill="auto"/>
            <w:vAlign w:val="center"/>
          </w:tcPr>
          <w:p w14:paraId="728812C5">
            <w:pPr>
              <w:pStyle w:val="200"/>
              <w:spacing w:before="24" w:after="24"/>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天然气</w:t>
            </w:r>
          </w:p>
        </w:tc>
        <w:tc>
          <w:tcPr>
            <w:tcW w:w="1249" w:type="pct"/>
            <w:shd w:val="clear" w:color="auto" w:fill="auto"/>
            <w:vAlign w:val="center"/>
          </w:tcPr>
          <w:p w14:paraId="57D5297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0.1</w:t>
            </w:r>
          </w:p>
        </w:tc>
        <w:tc>
          <w:tcPr>
            <w:tcW w:w="1141" w:type="pct"/>
            <w:shd w:val="clear" w:color="auto" w:fill="auto"/>
            <w:vAlign w:val="center"/>
          </w:tcPr>
          <w:p w14:paraId="0A851646">
            <w:pPr>
              <w:pStyle w:val="200"/>
              <w:spacing w:before="24" w:after="24"/>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w:t>
            </w:r>
          </w:p>
        </w:tc>
        <w:tc>
          <w:tcPr>
            <w:tcW w:w="1359" w:type="pct"/>
            <w:shd w:val="clear" w:color="auto" w:fill="auto"/>
            <w:vAlign w:val="center"/>
          </w:tcPr>
          <w:p w14:paraId="6986F08E">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0.01</w:t>
            </w:r>
          </w:p>
        </w:tc>
      </w:tr>
      <w:tr w14:paraId="326B4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exact"/>
        </w:trPr>
        <w:tc>
          <w:tcPr>
            <w:tcW w:w="1249" w:type="pct"/>
            <w:shd w:val="clear" w:color="auto" w:fill="auto"/>
            <w:vAlign w:val="center"/>
          </w:tcPr>
          <w:p w14:paraId="31BD4047">
            <w:pPr>
              <w:pStyle w:val="200"/>
              <w:spacing w:before="24" w:after="24"/>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硫酸铵</w:t>
            </w:r>
          </w:p>
        </w:tc>
        <w:tc>
          <w:tcPr>
            <w:tcW w:w="1249" w:type="pct"/>
            <w:shd w:val="clear" w:color="auto" w:fill="auto"/>
            <w:vAlign w:val="center"/>
          </w:tcPr>
          <w:p w14:paraId="5F183D7B">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5000</w:t>
            </w:r>
          </w:p>
        </w:tc>
        <w:tc>
          <w:tcPr>
            <w:tcW w:w="1141" w:type="pct"/>
            <w:shd w:val="clear" w:color="auto" w:fill="auto"/>
            <w:vAlign w:val="center"/>
          </w:tcPr>
          <w:p w14:paraId="21AD1CB6">
            <w:pPr>
              <w:pStyle w:val="200"/>
              <w:spacing w:before="24" w:after="24"/>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0</w:t>
            </w:r>
          </w:p>
        </w:tc>
        <w:tc>
          <w:tcPr>
            <w:tcW w:w="1359" w:type="pct"/>
            <w:shd w:val="clear" w:color="auto" w:fill="auto"/>
            <w:vAlign w:val="center"/>
          </w:tcPr>
          <w:p w14:paraId="6D49392F">
            <w:pPr>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00</w:t>
            </w:r>
          </w:p>
        </w:tc>
      </w:tr>
      <w:tr w14:paraId="37C63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exact"/>
        </w:trPr>
        <w:tc>
          <w:tcPr>
            <w:tcW w:w="1249" w:type="pct"/>
            <w:shd w:val="clear" w:color="auto" w:fill="auto"/>
            <w:vAlign w:val="center"/>
          </w:tcPr>
          <w:p w14:paraId="71BF5E19">
            <w:pPr>
              <w:pStyle w:val="200"/>
              <w:spacing w:before="24" w:after="24"/>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液压油</w:t>
            </w:r>
          </w:p>
        </w:tc>
        <w:tc>
          <w:tcPr>
            <w:tcW w:w="1249" w:type="pct"/>
            <w:shd w:val="clear" w:color="auto" w:fill="auto"/>
            <w:vAlign w:val="center"/>
          </w:tcPr>
          <w:p w14:paraId="1BEE1A2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w:t>
            </w:r>
          </w:p>
        </w:tc>
        <w:tc>
          <w:tcPr>
            <w:tcW w:w="1141" w:type="pct"/>
            <w:shd w:val="clear" w:color="auto" w:fill="auto"/>
            <w:vAlign w:val="center"/>
          </w:tcPr>
          <w:p w14:paraId="7766C2C6">
            <w:pPr>
              <w:pStyle w:val="200"/>
              <w:spacing w:before="24" w:after="24"/>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2500</w:t>
            </w:r>
          </w:p>
        </w:tc>
        <w:tc>
          <w:tcPr>
            <w:tcW w:w="1359" w:type="pct"/>
            <w:shd w:val="clear" w:color="auto" w:fill="auto"/>
            <w:vAlign w:val="center"/>
          </w:tcPr>
          <w:p w14:paraId="2B503A2F">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0.0008</w:t>
            </w:r>
          </w:p>
        </w:tc>
      </w:tr>
      <w:tr w14:paraId="24760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46" w:hRule="exact"/>
        </w:trPr>
        <w:tc>
          <w:tcPr>
            <w:tcW w:w="1249" w:type="pct"/>
            <w:shd w:val="clear" w:color="auto" w:fill="auto"/>
            <w:vAlign w:val="center"/>
          </w:tcPr>
          <w:p w14:paraId="72ECBA22">
            <w:pPr>
              <w:pStyle w:val="200"/>
              <w:spacing w:before="24" w:after="24"/>
              <w:rPr>
                <w:rFonts w:hint="default"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水喷淋废水（NH</w:t>
            </w:r>
            <w:r>
              <w:rPr>
                <w:rFonts w:hint="eastAsia" w:ascii="Times New Roman" w:cs="Times New Roman"/>
                <w:color w:val="auto"/>
                <w:sz w:val="21"/>
                <w:szCs w:val="21"/>
                <w:highlight w:val="none"/>
                <w:vertAlign w:val="subscript"/>
                <w:lang w:val="en-US" w:eastAsia="zh-CN"/>
              </w:rPr>
              <w:t>3</w:t>
            </w:r>
            <w:r>
              <w:rPr>
                <w:rFonts w:hint="eastAsia" w:ascii="Times New Roman" w:cs="Times New Roman"/>
                <w:color w:val="auto"/>
                <w:sz w:val="21"/>
                <w:szCs w:val="21"/>
                <w:highlight w:val="none"/>
                <w:lang w:val="en-US" w:eastAsia="zh-CN"/>
              </w:rPr>
              <w:t>-N 浓度为24214mg/L）</w:t>
            </w:r>
          </w:p>
        </w:tc>
        <w:tc>
          <w:tcPr>
            <w:tcW w:w="1249" w:type="pct"/>
            <w:shd w:val="clear" w:color="auto" w:fill="auto"/>
            <w:vAlign w:val="center"/>
          </w:tcPr>
          <w:p w14:paraId="4BFD8F7E">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13.835</w:t>
            </w:r>
          </w:p>
        </w:tc>
        <w:tc>
          <w:tcPr>
            <w:tcW w:w="1141" w:type="pct"/>
            <w:shd w:val="clear" w:color="auto" w:fill="auto"/>
            <w:vAlign w:val="center"/>
          </w:tcPr>
          <w:p w14:paraId="398677DB">
            <w:pPr>
              <w:pStyle w:val="200"/>
              <w:spacing w:before="24" w:after="24"/>
              <w:rPr>
                <w:rFonts w:hint="default"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5</w:t>
            </w:r>
          </w:p>
        </w:tc>
        <w:tc>
          <w:tcPr>
            <w:tcW w:w="1359" w:type="pct"/>
            <w:shd w:val="clear" w:color="auto" w:fill="auto"/>
            <w:vAlign w:val="center"/>
          </w:tcPr>
          <w:p w14:paraId="0F3B4CCD">
            <w:pPr>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2.767</w:t>
            </w:r>
          </w:p>
        </w:tc>
      </w:tr>
      <w:tr w14:paraId="05E4C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9" w:hRule="exact"/>
        </w:trPr>
        <w:tc>
          <w:tcPr>
            <w:tcW w:w="3640" w:type="pct"/>
            <w:gridSpan w:val="3"/>
            <w:shd w:val="clear" w:color="auto" w:fill="auto"/>
            <w:vAlign w:val="center"/>
          </w:tcPr>
          <w:p w14:paraId="2FCA4A71">
            <w:pPr>
              <w:pStyle w:val="200"/>
              <w:spacing w:before="24" w:after="24"/>
              <w:rPr>
                <w:rFonts w:hint="default" w:asci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总计</w:t>
            </w:r>
          </w:p>
        </w:tc>
        <w:tc>
          <w:tcPr>
            <w:tcW w:w="1359" w:type="pct"/>
            <w:shd w:val="clear" w:color="auto" w:fill="auto"/>
            <w:vAlign w:val="center"/>
          </w:tcPr>
          <w:p w14:paraId="60FA294B">
            <w:pPr>
              <w:jc w:val="center"/>
              <w:rPr>
                <w:rFonts w:hint="default" w:cs="Times New Roman"/>
                <w:color w:val="auto"/>
                <w:highlight w:val="none"/>
                <w:lang w:val="en-US" w:eastAsia="zh-CN"/>
              </w:rPr>
            </w:pPr>
            <w:r>
              <w:rPr>
                <w:rFonts w:hint="eastAsia" w:cs="Times New Roman"/>
                <w:color w:val="auto"/>
                <w:highlight w:val="none"/>
                <w:lang w:val="en-US" w:eastAsia="zh-CN"/>
              </w:rPr>
              <w:t>402.7778</w:t>
            </w:r>
          </w:p>
        </w:tc>
      </w:tr>
    </w:tbl>
    <w:p w14:paraId="4BB11108">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由上表可以看出，</w:t>
      </w:r>
      <w:r>
        <w:rPr>
          <w:rFonts w:hint="default" w:ascii="Times New Roman" w:hAnsi="Times New Roman" w:eastAsia="宋体" w:cs="Times New Roman"/>
          <w:color w:val="auto"/>
          <w:kern w:val="0"/>
          <w:sz w:val="24"/>
          <w:lang w:eastAsia="zh-CN"/>
        </w:rPr>
        <w:t>本项目</w:t>
      </w:r>
      <w:r>
        <w:rPr>
          <w:rFonts w:hint="default" w:ascii="Times New Roman" w:hAnsi="Times New Roman" w:eastAsia="宋体" w:cs="Times New Roman"/>
          <w:color w:val="auto"/>
          <w:kern w:val="0"/>
          <w:sz w:val="24"/>
        </w:rPr>
        <w:t>环境风险物质与临界量的比值Q为</w:t>
      </w:r>
      <w:r>
        <w:rPr>
          <w:rFonts w:hint="eastAsia" w:cs="Times New Roman"/>
          <w:color w:val="auto"/>
          <w:kern w:val="0"/>
          <w:sz w:val="24"/>
          <w:lang w:eastAsia="zh-CN"/>
        </w:rPr>
        <w:t>402.7778</w:t>
      </w:r>
      <w:r>
        <w:rPr>
          <w:rFonts w:hint="default" w:ascii="Times New Roman" w:hAnsi="Times New Roman" w:eastAsia="宋体" w:cs="Times New Roman"/>
          <w:color w:val="auto"/>
          <w:kern w:val="0"/>
          <w:sz w:val="24"/>
        </w:rPr>
        <w:t>以Q</w:t>
      </w:r>
      <w:r>
        <w:rPr>
          <w:rFonts w:hint="eastAsia" w:cs="Times New Roman"/>
          <w:color w:val="auto"/>
          <w:kern w:val="0"/>
          <w:sz w:val="24"/>
          <w:vertAlign w:val="subscript"/>
          <w:lang w:val="en-US" w:eastAsia="zh-CN"/>
        </w:rPr>
        <w:t>3</w:t>
      </w:r>
      <w:r>
        <w:rPr>
          <w:rFonts w:hint="default" w:ascii="Times New Roman" w:hAnsi="Times New Roman" w:eastAsia="宋体" w:cs="Times New Roman"/>
          <w:color w:val="auto"/>
          <w:kern w:val="0"/>
          <w:sz w:val="24"/>
        </w:rPr>
        <w:t>表示。</w:t>
      </w:r>
    </w:p>
    <w:p w14:paraId="45252E4B">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2、M 值的确定</w:t>
      </w:r>
    </w:p>
    <w:p w14:paraId="36D0D494">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分析项目所属行业及生产工艺特点，按照表C.1评估生产工艺情况，具有多套工艺单元的项目，对每套生产工艺分别评分求和。将M划分为（1）M＞20；（2）10＜M≤20；（3）5＜M≤10；（4）M=5，分别以M1、M2、M3和M4表示。</w:t>
      </w:r>
      <w:r>
        <w:rPr>
          <w:rFonts w:hint="default" w:ascii="Times New Roman" w:hAnsi="Times New Roman" w:eastAsia="宋体" w:cs="Times New Roman"/>
          <w:color w:val="auto"/>
          <w:kern w:val="0"/>
          <w:sz w:val="24"/>
          <w:lang w:eastAsia="zh-CN"/>
        </w:rPr>
        <w:t>本项目</w:t>
      </w:r>
      <w:r>
        <w:rPr>
          <w:rFonts w:hint="default" w:ascii="Times New Roman" w:hAnsi="Times New Roman" w:eastAsia="宋体" w:cs="Times New Roman"/>
          <w:color w:val="auto"/>
          <w:kern w:val="0"/>
          <w:sz w:val="24"/>
        </w:rPr>
        <w:t>所属行业及生产工艺评估指标及分值得分见表</w:t>
      </w:r>
      <w:r>
        <w:rPr>
          <w:rFonts w:hint="default" w:ascii="Times New Roman" w:hAnsi="Times New Roman" w:eastAsia="宋体" w:cs="Times New Roman"/>
          <w:color w:val="auto"/>
          <w:kern w:val="0"/>
          <w:sz w:val="24"/>
          <w:lang w:eastAsia="zh-CN"/>
        </w:rPr>
        <w:t>3.</w:t>
      </w:r>
      <w:r>
        <w:rPr>
          <w:rFonts w:hint="default" w:ascii="Times New Roman" w:hAnsi="Times New Roman" w:eastAsia="宋体" w:cs="Times New Roman"/>
          <w:color w:val="auto"/>
          <w:kern w:val="0"/>
          <w:sz w:val="24"/>
          <w:lang w:val="en-US" w:eastAsia="zh-CN"/>
        </w:rPr>
        <w:t>2-2</w:t>
      </w:r>
      <w:r>
        <w:rPr>
          <w:rFonts w:hint="default" w:ascii="Times New Roman" w:hAnsi="Times New Roman" w:eastAsia="宋体" w:cs="Times New Roman"/>
          <w:color w:val="auto"/>
          <w:kern w:val="0"/>
          <w:sz w:val="24"/>
        </w:rPr>
        <w:t>。</w:t>
      </w:r>
    </w:p>
    <w:p w14:paraId="429A74B3">
      <w:pPr>
        <w:jc w:val="center"/>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表</w:t>
      </w:r>
      <w:r>
        <w:rPr>
          <w:rFonts w:hint="default" w:ascii="Times New Roman" w:hAnsi="Times New Roman" w:eastAsia="宋体" w:cs="Times New Roman"/>
          <w:b/>
          <w:bCs/>
          <w:color w:val="auto"/>
          <w:kern w:val="0"/>
          <w:sz w:val="24"/>
          <w:lang w:eastAsia="zh-CN"/>
        </w:rPr>
        <w:t>3.</w:t>
      </w:r>
      <w:r>
        <w:rPr>
          <w:rFonts w:hint="default" w:ascii="Times New Roman" w:hAnsi="Times New Roman" w:eastAsia="宋体" w:cs="Times New Roman"/>
          <w:b/>
          <w:bCs/>
          <w:color w:val="auto"/>
          <w:kern w:val="0"/>
          <w:sz w:val="24"/>
          <w:lang w:val="en-US" w:eastAsia="zh-CN"/>
        </w:rPr>
        <w:t>2-2</w:t>
      </w:r>
      <w:r>
        <w:rPr>
          <w:rFonts w:hint="default" w:ascii="Times New Roman" w:hAnsi="Times New Roman" w:eastAsia="宋体" w:cs="Times New Roman"/>
          <w:b/>
          <w:bCs/>
          <w:color w:val="auto"/>
          <w:kern w:val="0"/>
          <w:sz w:val="24"/>
        </w:rPr>
        <w:t xml:space="preserve"> </w:t>
      </w:r>
      <w:r>
        <w:rPr>
          <w:rFonts w:hint="default" w:ascii="Times New Roman" w:hAnsi="Times New Roman" w:eastAsia="宋体" w:cs="Times New Roman"/>
          <w:b/>
          <w:bCs/>
          <w:color w:val="auto"/>
          <w:kern w:val="0"/>
          <w:sz w:val="24"/>
          <w:lang w:eastAsia="zh-CN"/>
        </w:rPr>
        <w:t>本项目</w:t>
      </w:r>
      <w:r>
        <w:rPr>
          <w:rFonts w:hint="default" w:ascii="Times New Roman" w:hAnsi="Times New Roman" w:eastAsia="宋体" w:cs="Times New Roman"/>
          <w:b/>
          <w:bCs/>
          <w:color w:val="auto"/>
          <w:kern w:val="0"/>
          <w:sz w:val="24"/>
        </w:rPr>
        <w:t>所属行业及生产工艺评估指标M分值确定</w:t>
      </w:r>
    </w:p>
    <w:tbl>
      <w:tblPr>
        <w:tblStyle w:val="8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857"/>
        <w:gridCol w:w="3566"/>
        <w:gridCol w:w="915"/>
        <w:gridCol w:w="1667"/>
        <w:gridCol w:w="1282"/>
      </w:tblGrid>
      <w:tr w14:paraId="55991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857" w:type="dxa"/>
            <w:shd w:val="clear" w:color="auto" w:fill="auto"/>
            <w:vAlign w:val="center"/>
          </w:tcPr>
          <w:p w14:paraId="6B9E300D">
            <w:pP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行业</w:t>
            </w:r>
          </w:p>
        </w:tc>
        <w:tc>
          <w:tcPr>
            <w:tcW w:w="3566" w:type="dxa"/>
            <w:shd w:val="clear" w:color="auto" w:fill="auto"/>
            <w:vAlign w:val="center"/>
          </w:tcPr>
          <w:p w14:paraId="752A537B">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评 估 依 据</w:t>
            </w:r>
          </w:p>
        </w:tc>
        <w:tc>
          <w:tcPr>
            <w:tcW w:w="915" w:type="dxa"/>
            <w:shd w:val="clear" w:color="auto" w:fill="auto"/>
            <w:vAlign w:val="center"/>
          </w:tcPr>
          <w:p w14:paraId="4B4EF732">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分值</w:t>
            </w:r>
          </w:p>
        </w:tc>
        <w:tc>
          <w:tcPr>
            <w:tcW w:w="1667" w:type="dxa"/>
            <w:shd w:val="clear" w:color="auto" w:fill="auto"/>
            <w:vAlign w:val="center"/>
          </w:tcPr>
          <w:p w14:paraId="3CE3E1EA">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本项目</w:t>
            </w:r>
          </w:p>
        </w:tc>
        <w:tc>
          <w:tcPr>
            <w:tcW w:w="1282" w:type="dxa"/>
            <w:shd w:val="clear" w:color="auto" w:fill="auto"/>
            <w:vAlign w:val="center"/>
          </w:tcPr>
          <w:p w14:paraId="2BA4687E">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M值</w:t>
            </w:r>
          </w:p>
        </w:tc>
      </w:tr>
      <w:tr w14:paraId="03E87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857" w:type="dxa"/>
            <w:vMerge w:val="restart"/>
            <w:shd w:val="clear" w:color="auto" w:fill="auto"/>
            <w:vAlign w:val="center"/>
          </w:tcPr>
          <w:p w14:paraId="07F4D40B">
            <w:pP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石化、化工、医药、轻工、化纤、有色冶炼等</w:t>
            </w:r>
          </w:p>
        </w:tc>
        <w:tc>
          <w:tcPr>
            <w:tcW w:w="3566" w:type="dxa"/>
            <w:shd w:val="clear" w:color="auto" w:fill="auto"/>
            <w:vAlign w:val="center"/>
          </w:tcPr>
          <w:p w14:paraId="2970D59A">
            <w:pP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915" w:type="dxa"/>
            <w:shd w:val="clear" w:color="auto" w:fill="auto"/>
            <w:vAlign w:val="center"/>
          </w:tcPr>
          <w:p w14:paraId="47AE0051">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10/套</w:t>
            </w:r>
          </w:p>
        </w:tc>
        <w:tc>
          <w:tcPr>
            <w:tcW w:w="1667" w:type="dxa"/>
            <w:shd w:val="clear" w:color="auto" w:fill="auto"/>
            <w:vAlign w:val="center"/>
          </w:tcPr>
          <w:p w14:paraId="0B0527B4">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w:t>
            </w:r>
          </w:p>
        </w:tc>
        <w:tc>
          <w:tcPr>
            <w:tcW w:w="1282" w:type="dxa"/>
            <w:shd w:val="clear" w:color="auto" w:fill="auto"/>
            <w:vAlign w:val="center"/>
          </w:tcPr>
          <w:p w14:paraId="39476511">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0</w:t>
            </w:r>
          </w:p>
        </w:tc>
      </w:tr>
      <w:tr w14:paraId="42EA3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857" w:type="dxa"/>
            <w:vMerge w:val="continue"/>
            <w:shd w:val="clear" w:color="auto" w:fill="auto"/>
            <w:vAlign w:val="center"/>
          </w:tcPr>
          <w:p w14:paraId="4D23E547">
            <w:pPr>
              <w:rPr>
                <w:rFonts w:hint="default" w:ascii="Times New Roman" w:hAnsi="Times New Roman" w:eastAsia="宋体" w:cs="Times New Roman"/>
                <w:color w:val="auto"/>
                <w:kern w:val="0"/>
                <w:szCs w:val="21"/>
              </w:rPr>
            </w:pPr>
          </w:p>
        </w:tc>
        <w:tc>
          <w:tcPr>
            <w:tcW w:w="3566" w:type="dxa"/>
            <w:shd w:val="clear" w:color="auto" w:fill="auto"/>
            <w:vAlign w:val="center"/>
          </w:tcPr>
          <w:p w14:paraId="4E8A2D97">
            <w:pP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无机酸制酸工艺、焦化工艺</w:t>
            </w:r>
          </w:p>
        </w:tc>
        <w:tc>
          <w:tcPr>
            <w:tcW w:w="915" w:type="dxa"/>
            <w:shd w:val="clear" w:color="auto" w:fill="auto"/>
            <w:vAlign w:val="center"/>
          </w:tcPr>
          <w:p w14:paraId="1CF1F86F">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5/套</w:t>
            </w:r>
          </w:p>
        </w:tc>
        <w:tc>
          <w:tcPr>
            <w:tcW w:w="1667" w:type="dxa"/>
            <w:shd w:val="clear" w:color="auto" w:fill="auto"/>
            <w:vAlign w:val="center"/>
          </w:tcPr>
          <w:p w14:paraId="430BA992">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w:t>
            </w:r>
          </w:p>
        </w:tc>
        <w:tc>
          <w:tcPr>
            <w:tcW w:w="1282" w:type="dxa"/>
            <w:shd w:val="clear" w:color="auto" w:fill="auto"/>
            <w:vAlign w:val="center"/>
          </w:tcPr>
          <w:p w14:paraId="478FE609">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0</w:t>
            </w:r>
          </w:p>
        </w:tc>
      </w:tr>
      <w:tr w14:paraId="791C7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7" w:type="dxa"/>
            <w:vMerge w:val="continue"/>
            <w:shd w:val="clear" w:color="auto" w:fill="auto"/>
            <w:vAlign w:val="center"/>
          </w:tcPr>
          <w:p w14:paraId="6B077498">
            <w:pPr>
              <w:rPr>
                <w:rFonts w:hint="default" w:ascii="Times New Roman" w:hAnsi="Times New Roman" w:eastAsia="宋体" w:cs="Times New Roman"/>
                <w:color w:val="auto"/>
                <w:kern w:val="0"/>
                <w:szCs w:val="21"/>
              </w:rPr>
            </w:pPr>
          </w:p>
        </w:tc>
        <w:tc>
          <w:tcPr>
            <w:tcW w:w="3566" w:type="dxa"/>
            <w:shd w:val="clear" w:color="auto" w:fill="auto"/>
            <w:vAlign w:val="center"/>
          </w:tcPr>
          <w:p w14:paraId="7CB08337">
            <w:pP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其他高温或高压，且涉及危险物质的工艺过程</w:t>
            </w:r>
            <w:r>
              <w:rPr>
                <w:rFonts w:hint="default" w:ascii="Times New Roman" w:hAnsi="Times New Roman" w:eastAsia="宋体" w:cs="Times New Roman"/>
                <w:color w:val="auto"/>
                <w:kern w:val="0"/>
                <w:szCs w:val="21"/>
                <w:vertAlign w:val="superscript"/>
              </w:rPr>
              <w:t>a</w:t>
            </w:r>
            <w:r>
              <w:rPr>
                <w:rFonts w:hint="default" w:ascii="Times New Roman" w:hAnsi="Times New Roman" w:eastAsia="宋体" w:cs="Times New Roman"/>
                <w:color w:val="auto"/>
                <w:kern w:val="0"/>
                <w:szCs w:val="21"/>
              </w:rPr>
              <w:t>、危险物质贮存罐区</w:t>
            </w:r>
          </w:p>
        </w:tc>
        <w:tc>
          <w:tcPr>
            <w:tcW w:w="915" w:type="dxa"/>
            <w:shd w:val="clear" w:color="auto" w:fill="auto"/>
            <w:vAlign w:val="center"/>
          </w:tcPr>
          <w:p w14:paraId="07404B3F">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5/套</w:t>
            </w:r>
          </w:p>
        </w:tc>
        <w:tc>
          <w:tcPr>
            <w:tcW w:w="1667" w:type="dxa"/>
            <w:shd w:val="clear" w:color="auto" w:fill="auto"/>
            <w:vAlign w:val="center"/>
          </w:tcPr>
          <w:p w14:paraId="6D547DBF">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lang w:val="en-US" w:eastAsia="zh-CN"/>
              </w:rPr>
              <w:t>涉及危险物质硫酸铵、天然气的使用</w:t>
            </w:r>
          </w:p>
        </w:tc>
        <w:tc>
          <w:tcPr>
            <w:tcW w:w="1282" w:type="dxa"/>
            <w:shd w:val="clear" w:color="auto" w:fill="auto"/>
            <w:vAlign w:val="center"/>
          </w:tcPr>
          <w:p w14:paraId="7E5DE753">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lang w:val="en-US" w:eastAsia="zh-CN"/>
              </w:rPr>
              <w:t>5</w:t>
            </w:r>
          </w:p>
        </w:tc>
      </w:tr>
      <w:tr w14:paraId="392B3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7" w:type="dxa"/>
            <w:shd w:val="clear" w:color="auto" w:fill="auto"/>
            <w:vAlign w:val="center"/>
          </w:tcPr>
          <w:p w14:paraId="68ADF94C">
            <w:pP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管道、港口/码头等</w:t>
            </w:r>
          </w:p>
        </w:tc>
        <w:tc>
          <w:tcPr>
            <w:tcW w:w="3566" w:type="dxa"/>
            <w:shd w:val="clear" w:color="auto" w:fill="auto"/>
            <w:vAlign w:val="center"/>
          </w:tcPr>
          <w:p w14:paraId="4E98FD89">
            <w:pP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涉及危险物质管道运输项目、港口/码头等</w:t>
            </w:r>
          </w:p>
        </w:tc>
        <w:tc>
          <w:tcPr>
            <w:tcW w:w="915" w:type="dxa"/>
            <w:shd w:val="clear" w:color="auto" w:fill="auto"/>
            <w:vAlign w:val="center"/>
          </w:tcPr>
          <w:p w14:paraId="0486CE04">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10/套</w:t>
            </w:r>
          </w:p>
        </w:tc>
        <w:tc>
          <w:tcPr>
            <w:tcW w:w="1667" w:type="dxa"/>
            <w:shd w:val="clear" w:color="auto" w:fill="auto"/>
            <w:vAlign w:val="center"/>
          </w:tcPr>
          <w:p w14:paraId="246BAAC3">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w:t>
            </w:r>
          </w:p>
        </w:tc>
        <w:tc>
          <w:tcPr>
            <w:tcW w:w="1282" w:type="dxa"/>
            <w:shd w:val="clear" w:color="auto" w:fill="auto"/>
            <w:vAlign w:val="center"/>
          </w:tcPr>
          <w:p w14:paraId="7652D8E9">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0</w:t>
            </w:r>
          </w:p>
        </w:tc>
      </w:tr>
      <w:tr w14:paraId="294DD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857" w:type="dxa"/>
            <w:shd w:val="clear" w:color="auto" w:fill="auto"/>
            <w:vAlign w:val="center"/>
          </w:tcPr>
          <w:p w14:paraId="562221A9">
            <w:pP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石油天然气</w:t>
            </w:r>
          </w:p>
        </w:tc>
        <w:tc>
          <w:tcPr>
            <w:tcW w:w="3566" w:type="dxa"/>
            <w:shd w:val="clear" w:color="auto" w:fill="auto"/>
            <w:vAlign w:val="center"/>
          </w:tcPr>
          <w:p w14:paraId="39625E60">
            <w:pP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 xml:space="preserve">石油、天然气、页岩气开采（含净化），气库（不含加气站的气库），油库（不含加气站的油库）、油气管线 b（不含城镇燃气管线） </w:t>
            </w:r>
          </w:p>
        </w:tc>
        <w:tc>
          <w:tcPr>
            <w:tcW w:w="915" w:type="dxa"/>
            <w:shd w:val="clear" w:color="auto" w:fill="auto"/>
            <w:vAlign w:val="center"/>
          </w:tcPr>
          <w:p w14:paraId="483585AB">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10/套</w:t>
            </w:r>
          </w:p>
        </w:tc>
        <w:tc>
          <w:tcPr>
            <w:tcW w:w="1667" w:type="dxa"/>
            <w:shd w:val="clear" w:color="auto" w:fill="auto"/>
            <w:vAlign w:val="center"/>
          </w:tcPr>
          <w:p w14:paraId="791BE3F9">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w:t>
            </w:r>
          </w:p>
        </w:tc>
        <w:tc>
          <w:tcPr>
            <w:tcW w:w="1282" w:type="dxa"/>
            <w:shd w:val="clear" w:color="auto" w:fill="auto"/>
            <w:vAlign w:val="center"/>
          </w:tcPr>
          <w:p w14:paraId="639D9805">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0</w:t>
            </w:r>
          </w:p>
        </w:tc>
      </w:tr>
      <w:tr w14:paraId="1F6C9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7" w:type="dxa"/>
            <w:shd w:val="clear" w:color="auto" w:fill="auto"/>
            <w:vAlign w:val="center"/>
          </w:tcPr>
          <w:p w14:paraId="7E045034">
            <w:pP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其它</w:t>
            </w:r>
          </w:p>
        </w:tc>
        <w:tc>
          <w:tcPr>
            <w:tcW w:w="3566" w:type="dxa"/>
            <w:shd w:val="clear" w:color="auto" w:fill="auto"/>
            <w:vAlign w:val="center"/>
          </w:tcPr>
          <w:p w14:paraId="52C37D62">
            <w:pP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涉及危险物质使用、贮存的项目</w:t>
            </w:r>
          </w:p>
        </w:tc>
        <w:tc>
          <w:tcPr>
            <w:tcW w:w="915" w:type="dxa"/>
            <w:shd w:val="clear" w:color="auto" w:fill="auto"/>
            <w:vAlign w:val="center"/>
          </w:tcPr>
          <w:p w14:paraId="464D725B">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5/套</w:t>
            </w:r>
          </w:p>
        </w:tc>
        <w:tc>
          <w:tcPr>
            <w:tcW w:w="1667" w:type="dxa"/>
            <w:shd w:val="clear" w:color="auto" w:fill="auto"/>
            <w:vAlign w:val="center"/>
          </w:tcPr>
          <w:p w14:paraId="003C4B5B">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Cs w:val="21"/>
              </w:rPr>
              <w:t>--</w:t>
            </w:r>
          </w:p>
        </w:tc>
        <w:tc>
          <w:tcPr>
            <w:tcW w:w="1282" w:type="dxa"/>
            <w:shd w:val="clear" w:color="auto" w:fill="auto"/>
            <w:vAlign w:val="center"/>
          </w:tcPr>
          <w:p w14:paraId="30BE0747">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Cs w:val="21"/>
              </w:rPr>
              <w:t>0</w:t>
            </w:r>
          </w:p>
        </w:tc>
      </w:tr>
      <w:tr w14:paraId="3C30D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5" w:type="dxa"/>
            <w:gridSpan w:val="4"/>
            <w:shd w:val="clear" w:color="auto" w:fill="auto"/>
            <w:vAlign w:val="center"/>
          </w:tcPr>
          <w:p w14:paraId="53739404">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合计M</w:t>
            </w:r>
          </w:p>
        </w:tc>
        <w:tc>
          <w:tcPr>
            <w:tcW w:w="1282" w:type="dxa"/>
            <w:shd w:val="clear" w:color="auto" w:fill="auto"/>
            <w:vAlign w:val="center"/>
          </w:tcPr>
          <w:p w14:paraId="041D7092">
            <w:pPr>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5</w:t>
            </w:r>
          </w:p>
        </w:tc>
      </w:tr>
    </w:tbl>
    <w:p w14:paraId="408B1B23">
      <w:pPr>
        <w:spacing w:line="360" w:lineRule="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注：a 高温指工艺温度≥300 ℃，高压指压力容器的设计压力（P）≥10.0 MPa；</w:t>
      </w:r>
    </w:p>
    <w:p w14:paraId="6901BAB7">
      <w:pPr>
        <w:spacing w:line="360" w:lineRule="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 xml:space="preserve">    b 长输管道运输项目应按站场、管线分段进行评价。</w:t>
      </w:r>
    </w:p>
    <w:p w14:paraId="0B5BF730">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根据《建设项目环境风险评价技术导则》（HJ169-2018）附录C划分依据，</w:t>
      </w:r>
      <w:r>
        <w:rPr>
          <w:rFonts w:hint="default" w:ascii="Times New Roman" w:hAnsi="Times New Roman" w:eastAsia="宋体" w:cs="Times New Roman"/>
          <w:color w:val="auto"/>
          <w:kern w:val="0"/>
          <w:sz w:val="24"/>
          <w:lang w:eastAsia="zh-CN"/>
        </w:rPr>
        <w:t>本项目</w:t>
      </w:r>
      <w:r>
        <w:rPr>
          <w:rFonts w:hint="default" w:ascii="Times New Roman" w:hAnsi="Times New Roman" w:eastAsia="宋体" w:cs="Times New Roman"/>
          <w:color w:val="auto"/>
          <w:kern w:val="0"/>
          <w:sz w:val="24"/>
        </w:rPr>
        <w:t>行业及生产工艺M值为M</w:t>
      </w:r>
      <w:r>
        <w:rPr>
          <w:rFonts w:hint="default" w:ascii="Times New Roman" w:hAnsi="Times New Roman" w:cs="Times New Roman"/>
          <w:color w:val="auto"/>
          <w:kern w:val="0"/>
          <w:sz w:val="24"/>
          <w:lang w:val="en-US" w:eastAsia="zh-CN"/>
        </w:rPr>
        <w:t>4</w:t>
      </w:r>
      <w:r>
        <w:rPr>
          <w:rFonts w:hint="default" w:ascii="Times New Roman" w:hAnsi="Times New Roman" w:eastAsia="宋体" w:cs="Times New Roman"/>
          <w:color w:val="auto"/>
          <w:kern w:val="0"/>
          <w:sz w:val="24"/>
        </w:rPr>
        <w:t>。</w:t>
      </w:r>
    </w:p>
    <w:p w14:paraId="516B9E60">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cs="Times New Roman"/>
          <w:color w:val="auto"/>
          <w:kern w:val="0"/>
          <w:sz w:val="24"/>
          <w:lang w:val="en-US" w:eastAsia="zh-CN"/>
        </w:rPr>
        <w:t>3</w:t>
      </w:r>
      <w:r>
        <w:rPr>
          <w:rFonts w:hint="default" w:ascii="Times New Roman" w:hAnsi="Times New Roman" w:eastAsia="宋体" w:cs="Times New Roman"/>
          <w:color w:val="auto"/>
          <w:kern w:val="0"/>
          <w:sz w:val="24"/>
        </w:rPr>
        <w:t>、P值的确定</w:t>
      </w:r>
    </w:p>
    <w:p w14:paraId="7810A26E">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根据上述危险物质数量与临界量比值Q和行业及生产工艺M确定的值，按照《建设项目环境风险评价技术导则》（HJ169-2018）附录C中表C.2划分依据确定P值，具体确定过程见表</w:t>
      </w:r>
      <w:r>
        <w:rPr>
          <w:rFonts w:hint="default" w:ascii="Times New Roman" w:hAnsi="Times New Roman" w:eastAsia="宋体" w:cs="Times New Roman"/>
          <w:color w:val="auto"/>
          <w:kern w:val="0"/>
          <w:sz w:val="24"/>
          <w:lang w:eastAsia="zh-CN"/>
        </w:rPr>
        <w:t>3.</w:t>
      </w:r>
      <w:r>
        <w:rPr>
          <w:rFonts w:hint="default" w:ascii="Times New Roman" w:hAnsi="Times New Roman" w:eastAsia="宋体" w:cs="Times New Roman"/>
          <w:color w:val="auto"/>
          <w:kern w:val="0"/>
          <w:sz w:val="24"/>
          <w:lang w:val="en-US" w:eastAsia="zh-CN"/>
        </w:rPr>
        <w:t>2-3</w:t>
      </w:r>
      <w:r>
        <w:rPr>
          <w:rFonts w:hint="default" w:ascii="Times New Roman" w:hAnsi="Times New Roman" w:eastAsia="宋体" w:cs="Times New Roman"/>
          <w:color w:val="auto"/>
          <w:kern w:val="0"/>
          <w:sz w:val="24"/>
        </w:rPr>
        <w:t>。</w:t>
      </w:r>
    </w:p>
    <w:p w14:paraId="1EECBA94">
      <w:pPr>
        <w:jc w:val="center"/>
        <w:rPr>
          <w:rFonts w:hint="default" w:ascii="Times New Roman" w:hAnsi="Times New Roman" w:eastAsia="宋体" w:cs="Times New Roman"/>
          <w:b/>
          <w:bCs/>
          <w:color w:val="auto"/>
          <w:kern w:val="0"/>
          <w:sz w:val="24"/>
        </w:rPr>
      </w:pPr>
    </w:p>
    <w:p w14:paraId="5BDFAF51">
      <w:pPr>
        <w:jc w:val="center"/>
        <w:rPr>
          <w:rFonts w:hint="default" w:ascii="Times New Roman" w:hAnsi="Times New Roman" w:eastAsia="宋体" w:cs="Times New Roman"/>
          <w:b/>
          <w:bCs/>
          <w:color w:val="auto"/>
          <w:kern w:val="0"/>
          <w:sz w:val="24"/>
        </w:rPr>
      </w:pPr>
    </w:p>
    <w:p w14:paraId="2F819A14">
      <w:pPr>
        <w:jc w:val="center"/>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表</w:t>
      </w:r>
      <w:r>
        <w:rPr>
          <w:rFonts w:hint="default" w:ascii="Times New Roman" w:hAnsi="Times New Roman" w:eastAsia="宋体" w:cs="Times New Roman"/>
          <w:b/>
          <w:bCs/>
          <w:color w:val="auto"/>
          <w:kern w:val="0"/>
          <w:sz w:val="24"/>
          <w:lang w:eastAsia="zh-CN"/>
        </w:rPr>
        <w:t>3.</w:t>
      </w:r>
      <w:r>
        <w:rPr>
          <w:rFonts w:hint="default" w:ascii="Times New Roman" w:hAnsi="Times New Roman" w:eastAsia="宋体" w:cs="Times New Roman"/>
          <w:b/>
          <w:bCs/>
          <w:color w:val="auto"/>
          <w:kern w:val="0"/>
          <w:sz w:val="24"/>
          <w:lang w:val="en-US" w:eastAsia="zh-CN"/>
        </w:rPr>
        <w:t>2-3</w:t>
      </w:r>
      <w:r>
        <w:rPr>
          <w:rFonts w:hint="default" w:ascii="Times New Roman" w:hAnsi="Times New Roman" w:eastAsia="宋体" w:cs="Times New Roman"/>
          <w:b/>
          <w:bCs/>
          <w:color w:val="auto"/>
          <w:kern w:val="0"/>
          <w:sz w:val="24"/>
        </w:rPr>
        <w:t xml:space="preserve">  </w:t>
      </w:r>
      <w:bookmarkStart w:id="48" w:name="_Hlk31978808"/>
      <w:r>
        <w:rPr>
          <w:rFonts w:hint="default" w:ascii="Times New Roman" w:hAnsi="Times New Roman" w:eastAsia="宋体" w:cs="Times New Roman"/>
          <w:b/>
          <w:bCs/>
          <w:color w:val="auto"/>
          <w:kern w:val="0"/>
          <w:sz w:val="24"/>
          <w:lang w:eastAsia="zh-CN"/>
        </w:rPr>
        <w:t>本项目</w:t>
      </w:r>
      <w:r>
        <w:rPr>
          <w:rFonts w:hint="default" w:ascii="Times New Roman" w:hAnsi="Times New Roman" w:eastAsia="宋体" w:cs="Times New Roman"/>
          <w:b/>
          <w:bCs/>
          <w:color w:val="auto"/>
          <w:kern w:val="0"/>
          <w:sz w:val="24"/>
        </w:rPr>
        <w:t>危险物质及工艺系统危害性等级</w:t>
      </w:r>
      <w:bookmarkEnd w:id="48"/>
      <w:r>
        <w:rPr>
          <w:rFonts w:hint="default" w:ascii="Times New Roman" w:hAnsi="Times New Roman" w:eastAsia="宋体" w:cs="Times New Roman"/>
          <w:b/>
          <w:bCs/>
          <w:color w:val="auto"/>
          <w:kern w:val="0"/>
          <w:sz w:val="24"/>
        </w:rPr>
        <w:t>判断 P 的确定</w:t>
      </w:r>
    </w:p>
    <w:tbl>
      <w:tblPr>
        <w:tblStyle w:val="8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857"/>
        <w:gridCol w:w="1857"/>
        <w:gridCol w:w="1857"/>
        <w:gridCol w:w="1857"/>
        <w:gridCol w:w="1857"/>
      </w:tblGrid>
      <w:tr w14:paraId="6CCFD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925" w:type="dxa"/>
            <w:vMerge w:val="restart"/>
            <w:shd w:val="clear" w:color="auto" w:fill="auto"/>
            <w:vAlign w:val="center"/>
          </w:tcPr>
          <w:p w14:paraId="191DF6AE">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危险物质数量与临界量比值（Q）</w:t>
            </w:r>
          </w:p>
        </w:tc>
        <w:tc>
          <w:tcPr>
            <w:tcW w:w="7702" w:type="dxa"/>
            <w:gridSpan w:val="4"/>
            <w:shd w:val="clear" w:color="auto" w:fill="auto"/>
            <w:vAlign w:val="center"/>
          </w:tcPr>
          <w:p w14:paraId="34B336A7">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行业及生产工艺（M）</w:t>
            </w:r>
          </w:p>
        </w:tc>
      </w:tr>
      <w:tr w14:paraId="5B57B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5" w:type="dxa"/>
            <w:vMerge w:val="continue"/>
            <w:shd w:val="clear" w:color="auto" w:fill="auto"/>
            <w:vAlign w:val="center"/>
          </w:tcPr>
          <w:p w14:paraId="112827E9">
            <w:pPr>
              <w:jc w:val="center"/>
              <w:rPr>
                <w:rFonts w:hint="default" w:ascii="Times New Roman" w:hAnsi="Times New Roman" w:eastAsia="宋体" w:cs="Times New Roman"/>
                <w:color w:val="auto"/>
                <w:kern w:val="0"/>
                <w:szCs w:val="21"/>
              </w:rPr>
            </w:pPr>
          </w:p>
        </w:tc>
        <w:tc>
          <w:tcPr>
            <w:tcW w:w="1925" w:type="dxa"/>
            <w:shd w:val="clear" w:color="auto" w:fill="auto"/>
            <w:vAlign w:val="center"/>
          </w:tcPr>
          <w:p w14:paraId="57488C9C">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M1</w:t>
            </w:r>
          </w:p>
        </w:tc>
        <w:tc>
          <w:tcPr>
            <w:tcW w:w="1925" w:type="dxa"/>
            <w:shd w:val="clear" w:color="auto" w:fill="auto"/>
            <w:vAlign w:val="center"/>
          </w:tcPr>
          <w:p w14:paraId="449B7D11">
            <w:pPr>
              <w:jc w:val="center"/>
              <w:rPr>
                <w:rFonts w:hint="default" w:ascii="Times New Roman" w:hAnsi="Times New Roman" w:eastAsia="宋体" w:cs="Times New Roman"/>
                <w:b/>
                <w:bCs/>
                <w:color w:val="auto"/>
                <w:kern w:val="0"/>
                <w:szCs w:val="21"/>
              </w:rPr>
            </w:pPr>
            <w:r>
              <w:rPr>
                <w:rFonts w:hint="default" w:ascii="Times New Roman" w:hAnsi="Times New Roman" w:eastAsia="宋体" w:cs="Times New Roman"/>
                <w:color w:val="auto"/>
                <w:kern w:val="0"/>
                <w:szCs w:val="21"/>
              </w:rPr>
              <w:t>M2</w:t>
            </w:r>
          </w:p>
        </w:tc>
        <w:tc>
          <w:tcPr>
            <w:tcW w:w="1926" w:type="dxa"/>
            <w:shd w:val="clear" w:color="auto" w:fill="auto"/>
            <w:vAlign w:val="center"/>
          </w:tcPr>
          <w:p w14:paraId="4733E653">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M3</w:t>
            </w:r>
          </w:p>
        </w:tc>
        <w:tc>
          <w:tcPr>
            <w:tcW w:w="1926" w:type="dxa"/>
            <w:shd w:val="clear" w:color="auto" w:fill="auto"/>
            <w:vAlign w:val="center"/>
          </w:tcPr>
          <w:p w14:paraId="12FA54D9">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b/>
                <w:bCs/>
                <w:color w:val="auto"/>
                <w:kern w:val="0"/>
                <w:szCs w:val="21"/>
              </w:rPr>
              <w:t>M4</w:t>
            </w:r>
          </w:p>
        </w:tc>
      </w:tr>
      <w:tr w14:paraId="123F0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5" w:type="dxa"/>
            <w:shd w:val="clear" w:color="auto" w:fill="auto"/>
            <w:vAlign w:val="center"/>
          </w:tcPr>
          <w:p w14:paraId="13FA6F02">
            <w:pPr>
              <w:jc w:val="center"/>
              <w:rPr>
                <w:rFonts w:hint="default" w:ascii="Times New Roman" w:hAnsi="Times New Roman" w:eastAsia="宋体" w:cs="Times New Roman"/>
                <w:b/>
                <w:bCs/>
                <w:color w:val="auto"/>
                <w:kern w:val="0"/>
                <w:szCs w:val="21"/>
              </w:rPr>
            </w:pPr>
            <w:r>
              <w:rPr>
                <w:rFonts w:hint="default" w:ascii="Times New Roman" w:hAnsi="Times New Roman" w:eastAsia="宋体" w:cs="Times New Roman"/>
                <w:color w:val="auto"/>
                <w:kern w:val="0"/>
                <w:szCs w:val="21"/>
              </w:rPr>
              <w:t>Q≥100</w:t>
            </w:r>
          </w:p>
        </w:tc>
        <w:tc>
          <w:tcPr>
            <w:tcW w:w="1925" w:type="dxa"/>
            <w:shd w:val="clear" w:color="auto" w:fill="auto"/>
            <w:vAlign w:val="center"/>
          </w:tcPr>
          <w:p w14:paraId="4645D726">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P1</w:t>
            </w:r>
          </w:p>
        </w:tc>
        <w:tc>
          <w:tcPr>
            <w:tcW w:w="1925" w:type="dxa"/>
            <w:shd w:val="clear" w:color="auto" w:fill="auto"/>
            <w:vAlign w:val="center"/>
          </w:tcPr>
          <w:p w14:paraId="0D648B23">
            <w:pPr>
              <w:jc w:val="center"/>
              <w:rPr>
                <w:rFonts w:hint="default" w:ascii="Times New Roman" w:hAnsi="Times New Roman" w:eastAsia="宋体" w:cs="Times New Roman"/>
                <w:b/>
                <w:bCs/>
                <w:color w:val="auto"/>
                <w:kern w:val="0"/>
                <w:szCs w:val="21"/>
              </w:rPr>
            </w:pPr>
            <w:r>
              <w:rPr>
                <w:rFonts w:hint="default" w:ascii="Times New Roman" w:hAnsi="Times New Roman" w:eastAsia="宋体" w:cs="Times New Roman"/>
                <w:color w:val="auto"/>
                <w:kern w:val="0"/>
                <w:szCs w:val="21"/>
              </w:rPr>
              <w:t>P1</w:t>
            </w:r>
          </w:p>
        </w:tc>
        <w:tc>
          <w:tcPr>
            <w:tcW w:w="1926" w:type="dxa"/>
            <w:shd w:val="clear" w:color="auto" w:fill="auto"/>
            <w:vAlign w:val="center"/>
          </w:tcPr>
          <w:p w14:paraId="5FE057B6">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b w:val="0"/>
                <w:bCs w:val="0"/>
                <w:color w:val="auto"/>
                <w:kern w:val="0"/>
                <w:szCs w:val="21"/>
              </w:rPr>
              <w:t>P2</w:t>
            </w:r>
          </w:p>
        </w:tc>
        <w:tc>
          <w:tcPr>
            <w:tcW w:w="1926" w:type="dxa"/>
            <w:shd w:val="clear" w:color="auto" w:fill="auto"/>
            <w:vAlign w:val="center"/>
          </w:tcPr>
          <w:p w14:paraId="2B77445E">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b/>
                <w:bCs/>
                <w:color w:val="auto"/>
                <w:kern w:val="0"/>
                <w:szCs w:val="21"/>
              </w:rPr>
              <w:t>P3</w:t>
            </w:r>
          </w:p>
        </w:tc>
      </w:tr>
      <w:tr w14:paraId="6E149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5" w:type="dxa"/>
            <w:shd w:val="clear" w:color="auto" w:fill="auto"/>
            <w:vAlign w:val="center"/>
          </w:tcPr>
          <w:p w14:paraId="58CC7972">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10≤Q&lt;100</w:t>
            </w:r>
          </w:p>
        </w:tc>
        <w:tc>
          <w:tcPr>
            <w:tcW w:w="1925" w:type="dxa"/>
            <w:shd w:val="clear" w:color="auto" w:fill="auto"/>
            <w:vAlign w:val="center"/>
          </w:tcPr>
          <w:p w14:paraId="4E88C82E">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P1</w:t>
            </w:r>
          </w:p>
        </w:tc>
        <w:tc>
          <w:tcPr>
            <w:tcW w:w="1925" w:type="dxa"/>
            <w:shd w:val="clear" w:color="auto" w:fill="auto"/>
            <w:vAlign w:val="center"/>
          </w:tcPr>
          <w:p w14:paraId="2A40DF6C">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P2</w:t>
            </w:r>
          </w:p>
        </w:tc>
        <w:tc>
          <w:tcPr>
            <w:tcW w:w="1926" w:type="dxa"/>
            <w:shd w:val="clear" w:color="auto" w:fill="auto"/>
            <w:vAlign w:val="center"/>
          </w:tcPr>
          <w:p w14:paraId="1546CD70">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P3</w:t>
            </w:r>
          </w:p>
        </w:tc>
        <w:tc>
          <w:tcPr>
            <w:tcW w:w="1926" w:type="dxa"/>
            <w:shd w:val="clear" w:color="auto" w:fill="auto"/>
            <w:vAlign w:val="center"/>
          </w:tcPr>
          <w:p w14:paraId="35FF1042">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b w:val="0"/>
                <w:bCs w:val="0"/>
                <w:color w:val="auto"/>
                <w:kern w:val="0"/>
                <w:szCs w:val="21"/>
              </w:rPr>
              <w:t>P4</w:t>
            </w:r>
          </w:p>
        </w:tc>
      </w:tr>
      <w:tr w14:paraId="1BA7C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5" w:type="dxa"/>
            <w:shd w:val="clear" w:color="auto" w:fill="auto"/>
            <w:vAlign w:val="center"/>
          </w:tcPr>
          <w:p w14:paraId="6C8A38EC">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1≤Q&lt;10</w:t>
            </w:r>
          </w:p>
        </w:tc>
        <w:tc>
          <w:tcPr>
            <w:tcW w:w="1925" w:type="dxa"/>
            <w:shd w:val="clear" w:color="auto" w:fill="auto"/>
            <w:vAlign w:val="center"/>
          </w:tcPr>
          <w:p w14:paraId="4FBF591A">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P2</w:t>
            </w:r>
          </w:p>
        </w:tc>
        <w:tc>
          <w:tcPr>
            <w:tcW w:w="1925" w:type="dxa"/>
            <w:shd w:val="clear" w:color="auto" w:fill="auto"/>
            <w:vAlign w:val="center"/>
          </w:tcPr>
          <w:p w14:paraId="18E5A6D1">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P3</w:t>
            </w:r>
          </w:p>
        </w:tc>
        <w:tc>
          <w:tcPr>
            <w:tcW w:w="1926" w:type="dxa"/>
            <w:shd w:val="clear" w:color="auto" w:fill="auto"/>
            <w:vAlign w:val="center"/>
          </w:tcPr>
          <w:p w14:paraId="65DAEC57">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P4</w:t>
            </w:r>
          </w:p>
        </w:tc>
        <w:tc>
          <w:tcPr>
            <w:tcW w:w="1926" w:type="dxa"/>
            <w:shd w:val="clear" w:color="auto" w:fill="auto"/>
            <w:vAlign w:val="center"/>
          </w:tcPr>
          <w:p w14:paraId="179E2F5C">
            <w:pPr>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P4</w:t>
            </w:r>
          </w:p>
        </w:tc>
      </w:tr>
    </w:tbl>
    <w:p w14:paraId="6B0BFAB4">
      <w:pPr>
        <w:adjustRightInd w:val="0"/>
        <w:snapToGrid w:val="0"/>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根据《建设项目环境风险评价技术导则》（HJ169-2018）附录C中表C.2划分依据确定P值为P</w:t>
      </w:r>
      <w:r>
        <w:rPr>
          <w:rFonts w:hint="default" w:ascii="Times New Roman" w:hAnsi="Times New Roman" w:cs="Times New Roman"/>
          <w:color w:val="auto"/>
          <w:kern w:val="0"/>
          <w:sz w:val="24"/>
          <w:lang w:val="en-US" w:eastAsia="zh-CN"/>
        </w:rPr>
        <w:t>3</w:t>
      </w:r>
      <w:r>
        <w:rPr>
          <w:rFonts w:hint="default" w:ascii="Times New Roman" w:hAnsi="Times New Roman" w:eastAsia="宋体" w:cs="Times New Roman"/>
          <w:color w:val="auto"/>
          <w:kern w:val="0"/>
          <w:sz w:val="24"/>
        </w:rPr>
        <w:t>。</w:t>
      </w:r>
    </w:p>
    <w:p w14:paraId="0DEE4492">
      <w:pPr>
        <w:keepNext/>
        <w:keepLines/>
        <w:widowControl/>
        <w:adjustRightInd w:val="0"/>
        <w:snapToGrid w:val="0"/>
        <w:spacing w:before="0" w:after="0" w:line="360" w:lineRule="auto"/>
        <w:outlineLvl w:val="1"/>
        <w:rPr>
          <w:rFonts w:hint="default" w:ascii="Times New Roman" w:hAnsi="Times New Roman" w:eastAsia="宋体" w:cs="Times New Roman"/>
          <w:b/>
          <w:bCs/>
          <w:color w:val="auto"/>
          <w:kern w:val="0"/>
          <w:sz w:val="32"/>
          <w:szCs w:val="32"/>
          <w:highlight w:val="none"/>
        </w:rPr>
      </w:pPr>
      <w:bookmarkStart w:id="49" w:name="_Toc12470"/>
      <w:bookmarkStart w:id="50" w:name="_Toc33691323"/>
      <w:r>
        <w:rPr>
          <w:rFonts w:hint="default" w:ascii="Times New Roman" w:hAnsi="Times New Roman" w:eastAsia="宋体" w:cs="Times New Roman"/>
          <w:b/>
          <w:bCs/>
          <w:color w:val="auto"/>
          <w:kern w:val="0"/>
          <w:sz w:val="32"/>
          <w:szCs w:val="32"/>
          <w:highlight w:val="none"/>
          <w:lang w:val="en-US" w:eastAsia="zh-CN"/>
        </w:rPr>
        <w:t xml:space="preserve">4 </w:t>
      </w:r>
      <w:r>
        <w:rPr>
          <w:rFonts w:hint="default" w:ascii="Times New Roman" w:hAnsi="Times New Roman" w:eastAsia="宋体" w:cs="Times New Roman"/>
          <w:b/>
          <w:bCs/>
          <w:color w:val="auto"/>
          <w:kern w:val="0"/>
          <w:sz w:val="32"/>
          <w:szCs w:val="32"/>
          <w:highlight w:val="none"/>
        </w:rPr>
        <w:t>环境风险评价等级及评价范围</w:t>
      </w:r>
      <w:bookmarkEnd w:id="49"/>
      <w:bookmarkEnd w:id="50"/>
    </w:p>
    <w:p w14:paraId="3BD7038B">
      <w:pPr>
        <w:keepNext/>
        <w:keepLines/>
        <w:widowControl/>
        <w:adjustRightInd w:val="0"/>
        <w:snapToGrid w:val="0"/>
        <w:spacing w:before="0" w:after="0" w:line="360" w:lineRule="auto"/>
        <w:outlineLvl w:val="2"/>
        <w:rPr>
          <w:rFonts w:hint="default" w:ascii="Times New Roman" w:hAnsi="Times New Roman" w:eastAsia="宋体" w:cs="Times New Roman"/>
          <w:b/>
          <w:bCs/>
          <w:color w:val="auto"/>
          <w:kern w:val="0"/>
          <w:sz w:val="30"/>
          <w:szCs w:val="30"/>
          <w:highlight w:val="none"/>
        </w:rPr>
      </w:pPr>
      <w:bookmarkStart w:id="51" w:name="_Toc18027"/>
      <w:r>
        <w:rPr>
          <w:rFonts w:hint="default" w:ascii="Times New Roman" w:hAnsi="Times New Roman" w:eastAsia="宋体" w:cs="Times New Roman"/>
          <w:b/>
          <w:bCs/>
          <w:color w:val="auto"/>
          <w:kern w:val="0"/>
          <w:sz w:val="30"/>
          <w:szCs w:val="30"/>
          <w:highlight w:val="none"/>
          <w:lang w:eastAsia="zh-CN"/>
        </w:rPr>
        <w:t>4.</w:t>
      </w:r>
      <w:r>
        <w:rPr>
          <w:rFonts w:hint="default" w:ascii="Times New Roman" w:hAnsi="Times New Roman" w:eastAsia="宋体" w:cs="Times New Roman"/>
          <w:b/>
          <w:bCs/>
          <w:color w:val="auto"/>
          <w:kern w:val="0"/>
          <w:sz w:val="30"/>
          <w:szCs w:val="30"/>
          <w:highlight w:val="none"/>
        </w:rPr>
        <w:t>1 环境风险评价等级</w:t>
      </w:r>
      <w:bookmarkEnd w:id="51"/>
    </w:p>
    <w:p w14:paraId="50F9309C">
      <w:pPr>
        <w:adjustRightInd w:val="0"/>
        <w:snapToGrid w:val="0"/>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1、环境风险潜势划分</w:t>
      </w:r>
    </w:p>
    <w:p w14:paraId="25FE0D25">
      <w:pPr>
        <w:adjustRightInd w:val="0"/>
        <w:snapToGrid w:val="0"/>
        <w:spacing w:line="360" w:lineRule="auto"/>
        <w:ind w:firstLine="480" w:firstLineChars="200"/>
        <w:rPr>
          <w:rFonts w:hint="default" w:ascii="Times New Roman" w:hAnsi="Times New Roman" w:eastAsia="宋体" w:cs="Times New Roman"/>
          <w:color w:val="auto"/>
          <w:kern w:val="0"/>
          <w:sz w:val="24"/>
          <w:highlight w:val="yellow"/>
        </w:rPr>
      </w:pPr>
      <w:r>
        <w:rPr>
          <w:rFonts w:hint="default" w:ascii="Times New Roman" w:hAnsi="Times New Roman" w:eastAsia="宋体" w:cs="Times New Roman"/>
          <w:color w:val="auto"/>
          <w:kern w:val="0"/>
          <w:sz w:val="24"/>
        </w:rPr>
        <w:t>根据《建设项目环境风险评价技术导则》（HJ169-2018）附录B及附录C，本项目危险物质与工艺系统危害性（P）的等级为轻度危害（P4）；本项目危险物质在事故情形下的环境影响途径主要为大气，根据《建设项目环境风险评价技术导则》（HJ169-2018）附录D，项目大气环境敏感程度为环境中度敏感区（E2），项目地表水环境敏感程度为环境低度敏感区（E3），项目地下水环境敏感程度为环境</w:t>
      </w:r>
      <w:r>
        <w:rPr>
          <w:rFonts w:hint="default" w:ascii="Times New Roman" w:hAnsi="Times New Roman" w:eastAsia="宋体" w:cs="Times New Roman"/>
          <w:color w:val="auto"/>
          <w:kern w:val="0"/>
          <w:sz w:val="24"/>
          <w:lang w:eastAsia="zh-CN"/>
        </w:rPr>
        <w:t>低</w:t>
      </w:r>
      <w:r>
        <w:rPr>
          <w:rFonts w:hint="default" w:ascii="Times New Roman" w:hAnsi="Times New Roman" w:eastAsia="宋体" w:cs="Times New Roman"/>
          <w:color w:val="auto"/>
          <w:kern w:val="0"/>
          <w:sz w:val="24"/>
        </w:rPr>
        <w:t>度敏感区（E</w:t>
      </w:r>
      <w:r>
        <w:rPr>
          <w:rFonts w:hint="default" w:ascii="Times New Roman" w:hAnsi="Times New Roman" w:eastAsia="宋体" w:cs="Times New Roman"/>
          <w:color w:val="auto"/>
          <w:kern w:val="0"/>
          <w:sz w:val="24"/>
          <w:lang w:val="en-US" w:eastAsia="zh-CN"/>
        </w:rPr>
        <w:t>3</w:t>
      </w:r>
      <w:r>
        <w:rPr>
          <w:rFonts w:hint="default" w:ascii="Times New Roman" w:hAnsi="Times New Roman" w:eastAsia="宋体" w:cs="Times New Roman"/>
          <w:color w:val="auto"/>
          <w:kern w:val="0"/>
          <w:sz w:val="24"/>
        </w:rPr>
        <w:t>）。</w:t>
      </w:r>
    </w:p>
    <w:p w14:paraId="3D94A9FC">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根据《建设项目环境风险评价技术导则》（HJ169－2018）表2划分依据，环境风险潜势划分依据见表</w:t>
      </w:r>
      <w:r>
        <w:rPr>
          <w:rFonts w:hint="default" w:ascii="Times New Roman" w:hAnsi="Times New Roman" w:eastAsia="宋体" w:cs="Times New Roman"/>
          <w:color w:val="auto"/>
          <w:kern w:val="0"/>
          <w:sz w:val="24"/>
          <w:lang w:eastAsia="zh-CN"/>
        </w:rPr>
        <w:t>4.1-</w:t>
      </w:r>
      <w:r>
        <w:rPr>
          <w:rFonts w:hint="default" w:ascii="Times New Roman" w:hAnsi="Times New Roman" w:eastAsia="宋体" w:cs="Times New Roman"/>
          <w:color w:val="auto"/>
          <w:kern w:val="0"/>
          <w:sz w:val="24"/>
        </w:rPr>
        <w:t>1。</w:t>
      </w:r>
    </w:p>
    <w:p w14:paraId="77C4DD92">
      <w:pPr>
        <w:jc w:val="center"/>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表</w:t>
      </w:r>
      <w:r>
        <w:rPr>
          <w:rFonts w:hint="default" w:ascii="Times New Roman" w:hAnsi="Times New Roman" w:eastAsia="宋体" w:cs="Times New Roman"/>
          <w:b/>
          <w:bCs/>
          <w:color w:val="auto"/>
          <w:kern w:val="0"/>
          <w:sz w:val="24"/>
          <w:lang w:eastAsia="zh-CN"/>
        </w:rPr>
        <w:t>4.1-</w:t>
      </w:r>
      <w:r>
        <w:rPr>
          <w:rFonts w:hint="default" w:ascii="Times New Roman" w:hAnsi="Times New Roman" w:eastAsia="宋体" w:cs="Times New Roman"/>
          <w:b/>
          <w:bCs/>
          <w:color w:val="auto"/>
          <w:kern w:val="0"/>
          <w:sz w:val="24"/>
        </w:rPr>
        <w:t xml:space="preserve">1  </w:t>
      </w:r>
      <w:r>
        <w:rPr>
          <w:rFonts w:hint="default" w:ascii="Times New Roman" w:hAnsi="Times New Roman" w:eastAsia="宋体" w:cs="Times New Roman"/>
          <w:b/>
          <w:bCs/>
          <w:color w:val="auto"/>
          <w:kern w:val="0"/>
          <w:sz w:val="24"/>
          <w:lang w:eastAsia="zh-CN"/>
        </w:rPr>
        <w:t>本项目</w:t>
      </w:r>
      <w:r>
        <w:rPr>
          <w:rFonts w:hint="default" w:ascii="Times New Roman" w:hAnsi="Times New Roman" w:eastAsia="宋体" w:cs="Times New Roman"/>
          <w:b/>
          <w:bCs/>
          <w:color w:val="auto"/>
          <w:kern w:val="0"/>
          <w:sz w:val="24"/>
        </w:rPr>
        <w:t>环境风险潜势划分表</w:t>
      </w:r>
    </w:p>
    <w:tbl>
      <w:tblPr>
        <w:tblStyle w:val="8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2872"/>
        <w:gridCol w:w="1375"/>
        <w:gridCol w:w="1744"/>
        <w:gridCol w:w="1632"/>
        <w:gridCol w:w="1664"/>
      </w:tblGrid>
      <w:tr w14:paraId="4641E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vMerge w:val="restart"/>
            <w:shd w:val="clear" w:color="auto" w:fill="auto"/>
            <w:vAlign w:val="center"/>
          </w:tcPr>
          <w:p w14:paraId="60BFC8B7">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环境敏感程度（E）</w:t>
            </w:r>
          </w:p>
        </w:tc>
        <w:tc>
          <w:tcPr>
            <w:tcW w:w="6014" w:type="dxa"/>
            <w:gridSpan w:val="4"/>
            <w:shd w:val="clear" w:color="auto" w:fill="auto"/>
            <w:vAlign w:val="center"/>
          </w:tcPr>
          <w:p w14:paraId="37635DF6">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危险物质及工艺系统危害性（P）</w:t>
            </w:r>
          </w:p>
        </w:tc>
      </w:tr>
      <w:tr w14:paraId="495DA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694" w:type="dxa"/>
            <w:vMerge w:val="continue"/>
            <w:shd w:val="clear" w:color="auto" w:fill="auto"/>
            <w:vAlign w:val="center"/>
          </w:tcPr>
          <w:p w14:paraId="5979BC39">
            <w:pPr>
              <w:jc w:val="center"/>
              <w:rPr>
                <w:rFonts w:hint="default" w:ascii="Times New Roman" w:hAnsi="Times New Roman" w:eastAsia="宋体" w:cs="Times New Roman"/>
                <w:color w:val="auto"/>
                <w:szCs w:val="21"/>
              </w:rPr>
            </w:pPr>
          </w:p>
        </w:tc>
        <w:tc>
          <w:tcPr>
            <w:tcW w:w="1289" w:type="dxa"/>
            <w:shd w:val="clear" w:color="auto" w:fill="auto"/>
            <w:vAlign w:val="center"/>
          </w:tcPr>
          <w:p w14:paraId="547E813F">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val="0"/>
                <w:bCs w:val="0"/>
                <w:color w:val="auto"/>
                <w:szCs w:val="21"/>
              </w:rPr>
              <w:t>极度危害（P1）</w:t>
            </w:r>
          </w:p>
        </w:tc>
        <w:tc>
          <w:tcPr>
            <w:tcW w:w="1635" w:type="dxa"/>
            <w:shd w:val="clear" w:color="auto" w:fill="auto"/>
            <w:vAlign w:val="center"/>
          </w:tcPr>
          <w:p w14:paraId="13127DAA">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高度危害（P2）</w:t>
            </w:r>
          </w:p>
        </w:tc>
        <w:tc>
          <w:tcPr>
            <w:tcW w:w="1530" w:type="dxa"/>
            <w:shd w:val="clear" w:color="auto" w:fill="auto"/>
            <w:vAlign w:val="center"/>
          </w:tcPr>
          <w:p w14:paraId="74BAE1A3">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中度危害（P3）</w:t>
            </w:r>
          </w:p>
        </w:tc>
        <w:tc>
          <w:tcPr>
            <w:tcW w:w="1560" w:type="dxa"/>
            <w:shd w:val="clear" w:color="auto" w:fill="auto"/>
            <w:vAlign w:val="center"/>
          </w:tcPr>
          <w:p w14:paraId="640B6EB1">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轻度危害（P4）</w:t>
            </w:r>
          </w:p>
        </w:tc>
      </w:tr>
      <w:tr w14:paraId="2B50A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694" w:type="dxa"/>
            <w:shd w:val="clear" w:color="auto" w:fill="auto"/>
            <w:vAlign w:val="center"/>
          </w:tcPr>
          <w:p w14:paraId="14B903FB">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环境高度敏感区（E1）</w:t>
            </w:r>
          </w:p>
        </w:tc>
        <w:tc>
          <w:tcPr>
            <w:tcW w:w="1289" w:type="dxa"/>
            <w:shd w:val="clear" w:color="auto" w:fill="auto"/>
            <w:vAlign w:val="center"/>
          </w:tcPr>
          <w:p w14:paraId="00735F8D">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fldChar w:fldCharType="begin"/>
            </w:r>
            <w:r>
              <w:rPr>
                <w:rFonts w:hint="default" w:ascii="Times New Roman" w:hAnsi="Times New Roman" w:eastAsia="宋体" w:cs="Times New Roman"/>
                <w:color w:val="auto"/>
                <w:szCs w:val="21"/>
              </w:rPr>
              <w:instrText xml:space="preserve"> = 4 \* ROMAN \* MERGEFORMAT </w:instrText>
            </w:r>
            <w:r>
              <w:rPr>
                <w:rFonts w:hint="default" w:ascii="Times New Roman" w:hAnsi="Times New Roman" w:eastAsia="宋体" w:cs="Times New Roman"/>
                <w:color w:val="auto"/>
                <w:szCs w:val="21"/>
              </w:rPr>
              <w:fldChar w:fldCharType="separate"/>
            </w:r>
            <w:r>
              <w:rPr>
                <w:rFonts w:hint="default" w:ascii="Times New Roman" w:hAnsi="Times New Roman" w:eastAsia="宋体" w:cs="Times New Roman"/>
                <w:color w:val="auto"/>
                <w:szCs w:val="21"/>
              </w:rPr>
              <w:t>IV</w:t>
            </w:r>
            <w:r>
              <w:rPr>
                <w:rFonts w:hint="default" w:ascii="Times New Roman" w:hAnsi="Times New Roman" w:eastAsia="宋体" w:cs="Times New Roman"/>
                <w:color w:val="auto"/>
                <w:szCs w:val="21"/>
              </w:rPr>
              <w:fldChar w:fldCharType="end"/>
            </w:r>
            <w:r>
              <w:rPr>
                <w:rFonts w:hint="default" w:ascii="Times New Roman" w:hAnsi="Times New Roman" w:eastAsia="宋体" w:cs="Times New Roman"/>
                <w:color w:val="auto"/>
                <w:szCs w:val="21"/>
                <w:vertAlign w:val="superscript"/>
              </w:rPr>
              <w:t>+</w:t>
            </w:r>
          </w:p>
        </w:tc>
        <w:tc>
          <w:tcPr>
            <w:tcW w:w="1635" w:type="dxa"/>
            <w:shd w:val="clear" w:color="auto" w:fill="auto"/>
            <w:vAlign w:val="center"/>
          </w:tcPr>
          <w:p w14:paraId="0905E57B">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fldChar w:fldCharType="begin"/>
            </w:r>
            <w:r>
              <w:rPr>
                <w:rFonts w:hint="default" w:ascii="Times New Roman" w:hAnsi="Times New Roman" w:eastAsia="宋体" w:cs="Times New Roman"/>
                <w:color w:val="auto"/>
                <w:szCs w:val="21"/>
              </w:rPr>
              <w:instrText xml:space="preserve"> = 4 \* ROMAN \* MERGEFORMAT </w:instrText>
            </w:r>
            <w:r>
              <w:rPr>
                <w:rFonts w:hint="default" w:ascii="Times New Roman" w:hAnsi="Times New Roman" w:eastAsia="宋体" w:cs="Times New Roman"/>
                <w:color w:val="auto"/>
                <w:szCs w:val="21"/>
              </w:rPr>
              <w:fldChar w:fldCharType="separate"/>
            </w:r>
            <w:r>
              <w:rPr>
                <w:rFonts w:hint="default" w:ascii="Times New Roman" w:hAnsi="Times New Roman" w:eastAsia="宋体" w:cs="Times New Roman"/>
                <w:color w:val="auto"/>
                <w:szCs w:val="21"/>
              </w:rPr>
              <w:t>IV</w:t>
            </w:r>
            <w:r>
              <w:rPr>
                <w:rFonts w:hint="default" w:ascii="Times New Roman" w:hAnsi="Times New Roman" w:eastAsia="宋体" w:cs="Times New Roman"/>
                <w:color w:val="auto"/>
                <w:szCs w:val="21"/>
              </w:rPr>
              <w:fldChar w:fldCharType="end"/>
            </w:r>
          </w:p>
        </w:tc>
        <w:tc>
          <w:tcPr>
            <w:tcW w:w="1530" w:type="dxa"/>
            <w:shd w:val="clear" w:color="auto" w:fill="auto"/>
            <w:vAlign w:val="center"/>
          </w:tcPr>
          <w:p w14:paraId="65AC845E">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fldChar w:fldCharType="begin"/>
            </w:r>
            <w:r>
              <w:rPr>
                <w:rFonts w:hint="default" w:ascii="Times New Roman" w:hAnsi="Times New Roman" w:eastAsia="宋体" w:cs="Times New Roman"/>
                <w:color w:val="auto"/>
                <w:szCs w:val="21"/>
              </w:rPr>
              <w:instrText xml:space="preserve"> = 3 \* ROMAN \* MERGEFORMAT </w:instrText>
            </w:r>
            <w:r>
              <w:rPr>
                <w:rFonts w:hint="default" w:ascii="Times New Roman" w:hAnsi="Times New Roman" w:eastAsia="宋体" w:cs="Times New Roman"/>
                <w:color w:val="auto"/>
                <w:szCs w:val="21"/>
              </w:rPr>
              <w:fldChar w:fldCharType="separate"/>
            </w:r>
            <w:r>
              <w:rPr>
                <w:rFonts w:hint="default" w:ascii="Times New Roman" w:hAnsi="Times New Roman" w:eastAsia="宋体" w:cs="Times New Roman"/>
                <w:color w:val="auto"/>
                <w:szCs w:val="21"/>
              </w:rPr>
              <w:t>III</w:t>
            </w:r>
            <w:r>
              <w:rPr>
                <w:rFonts w:hint="default" w:ascii="Times New Roman" w:hAnsi="Times New Roman" w:eastAsia="宋体" w:cs="Times New Roman"/>
                <w:color w:val="auto"/>
                <w:szCs w:val="21"/>
              </w:rPr>
              <w:fldChar w:fldCharType="end"/>
            </w:r>
          </w:p>
        </w:tc>
        <w:tc>
          <w:tcPr>
            <w:tcW w:w="1560" w:type="dxa"/>
            <w:shd w:val="clear" w:color="auto" w:fill="auto"/>
            <w:vAlign w:val="center"/>
          </w:tcPr>
          <w:p w14:paraId="625035D3">
            <w:pPr>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fldChar w:fldCharType="begin"/>
            </w:r>
            <w:r>
              <w:rPr>
                <w:rFonts w:hint="default" w:ascii="Times New Roman" w:hAnsi="Times New Roman" w:eastAsia="宋体" w:cs="Times New Roman"/>
                <w:b w:val="0"/>
                <w:bCs w:val="0"/>
                <w:color w:val="auto"/>
                <w:szCs w:val="21"/>
              </w:rPr>
              <w:instrText xml:space="preserve"> = 3 \* ROMAN \* MERGEFORMAT </w:instrText>
            </w:r>
            <w:r>
              <w:rPr>
                <w:rFonts w:hint="default" w:ascii="Times New Roman" w:hAnsi="Times New Roman" w:eastAsia="宋体" w:cs="Times New Roman"/>
                <w:b w:val="0"/>
                <w:bCs w:val="0"/>
                <w:color w:val="auto"/>
                <w:szCs w:val="21"/>
              </w:rPr>
              <w:fldChar w:fldCharType="separate"/>
            </w:r>
            <w:r>
              <w:rPr>
                <w:rFonts w:hint="default" w:ascii="Times New Roman" w:hAnsi="Times New Roman" w:eastAsia="宋体" w:cs="Times New Roman"/>
                <w:b w:val="0"/>
                <w:bCs w:val="0"/>
                <w:color w:val="auto"/>
                <w:szCs w:val="21"/>
              </w:rPr>
              <w:t>III</w:t>
            </w:r>
            <w:r>
              <w:rPr>
                <w:rFonts w:hint="default" w:ascii="Times New Roman" w:hAnsi="Times New Roman" w:eastAsia="宋体" w:cs="Times New Roman"/>
                <w:b w:val="0"/>
                <w:bCs w:val="0"/>
                <w:color w:val="auto"/>
                <w:szCs w:val="21"/>
              </w:rPr>
              <w:fldChar w:fldCharType="end"/>
            </w:r>
          </w:p>
        </w:tc>
      </w:tr>
      <w:tr w14:paraId="0DDC4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5" w:hRule="atLeast"/>
        </w:trPr>
        <w:tc>
          <w:tcPr>
            <w:tcW w:w="2694" w:type="dxa"/>
            <w:shd w:val="clear" w:color="auto" w:fill="auto"/>
            <w:vAlign w:val="center"/>
          </w:tcPr>
          <w:p w14:paraId="4FA3B6D6">
            <w:pPr>
              <w:ind w:left="-105" w:leftChars="-50" w:right="-90" w:rightChars="-43"/>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环境中度敏感程度（E2）</w:t>
            </w:r>
          </w:p>
        </w:tc>
        <w:tc>
          <w:tcPr>
            <w:tcW w:w="1289" w:type="dxa"/>
            <w:shd w:val="clear" w:color="auto" w:fill="auto"/>
            <w:vAlign w:val="center"/>
          </w:tcPr>
          <w:p w14:paraId="747C6E18">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fldChar w:fldCharType="begin"/>
            </w:r>
            <w:r>
              <w:rPr>
                <w:rFonts w:hint="default" w:ascii="Times New Roman" w:hAnsi="Times New Roman" w:eastAsia="宋体" w:cs="Times New Roman"/>
                <w:color w:val="auto"/>
                <w:szCs w:val="21"/>
              </w:rPr>
              <w:instrText xml:space="preserve"> = 4 \* ROMAN \* MERGEFORMAT </w:instrText>
            </w:r>
            <w:r>
              <w:rPr>
                <w:rFonts w:hint="default" w:ascii="Times New Roman" w:hAnsi="Times New Roman" w:eastAsia="宋体" w:cs="Times New Roman"/>
                <w:color w:val="auto"/>
                <w:szCs w:val="21"/>
              </w:rPr>
              <w:fldChar w:fldCharType="separate"/>
            </w:r>
            <w:r>
              <w:rPr>
                <w:rFonts w:hint="default" w:ascii="Times New Roman" w:hAnsi="Times New Roman" w:eastAsia="宋体" w:cs="Times New Roman"/>
                <w:color w:val="auto"/>
                <w:szCs w:val="21"/>
              </w:rPr>
              <w:t>IV</w:t>
            </w:r>
            <w:r>
              <w:rPr>
                <w:rFonts w:hint="default" w:ascii="Times New Roman" w:hAnsi="Times New Roman" w:eastAsia="宋体" w:cs="Times New Roman"/>
                <w:color w:val="auto"/>
                <w:szCs w:val="21"/>
              </w:rPr>
              <w:fldChar w:fldCharType="end"/>
            </w:r>
          </w:p>
        </w:tc>
        <w:tc>
          <w:tcPr>
            <w:tcW w:w="1635" w:type="dxa"/>
            <w:shd w:val="clear" w:color="auto" w:fill="auto"/>
            <w:vAlign w:val="center"/>
          </w:tcPr>
          <w:p w14:paraId="21636C4B">
            <w:pPr>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fldChar w:fldCharType="begin"/>
            </w:r>
            <w:r>
              <w:rPr>
                <w:rFonts w:hint="default" w:ascii="Times New Roman" w:hAnsi="Times New Roman" w:eastAsia="宋体" w:cs="Times New Roman"/>
                <w:b w:val="0"/>
                <w:bCs w:val="0"/>
                <w:color w:val="auto"/>
                <w:szCs w:val="21"/>
              </w:rPr>
              <w:instrText xml:space="preserve"> = 3 \* ROMAN \* MERGEFORMAT </w:instrText>
            </w:r>
            <w:r>
              <w:rPr>
                <w:rFonts w:hint="default" w:ascii="Times New Roman" w:hAnsi="Times New Roman" w:eastAsia="宋体" w:cs="Times New Roman"/>
                <w:b w:val="0"/>
                <w:bCs w:val="0"/>
                <w:color w:val="auto"/>
                <w:szCs w:val="21"/>
              </w:rPr>
              <w:fldChar w:fldCharType="separate"/>
            </w:r>
            <w:r>
              <w:rPr>
                <w:rFonts w:hint="default" w:ascii="Times New Roman" w:hAnsi="Times New Roman" w:eastAsia="宋体" w:cs="Times New Roman"/>
                <w:b w:val="0"/>
                <w:bCs w:val="0"/>
                <w:color w:val="auto"/>
                <w:szCs w:val="21"/>
              </w:rPr>
              <w:t>III</w:t>
            </w:r>
            <w:r>
              <w:rPr>
                <w:rFonts w:hint="default" w:ascii="Times New Roman" w:hAnsi="Times New Roman" w:eastAsia="宋体" w:cs="Times New Roman"/>
                <w:b w:val="0"/>
                <w:bCs w:val="0"/>
                <w:color w:val="auto"/>
                <w:szCs w:val="21"/>
              </w:rPr>
              <w:fldChar w:fldCharType="end"/>
            </w:r>
          </w:p>
        </w:tc>
        <w:tc>
          <w:tcPr>
            <w:tcW w:w="1530" w:type="dxa"/>
            <w:shd w:val="clear" w:color="auto" w:fill="auto"/>
            <w:vAlign w:val="center"/>
          </w:tcPr>
          <w:p w14:paraId="5C5EB517">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fldChar w:fldCharType="begin"/>
            </w:r>
            <w:r>
              <w:rPr>
                <w:rFonts w:hint="default" w:ascii="Times New Roman" w:hAnsi="Times New Roman" w:eastAsia="宋体" w:cs="Times New Roman"/>
                <w:b/>
                <w:bCs/>
                <w:color w:val="auto"/>
                <w:szCs w:val="21"/>
              </w:rPr>
              <w:instrText xml:space="preserve"> = 3 \* ROMAN \* MERGEFORMAT </w:instrText>
            </w:r>
            <w:r>
              <w:rPr>
                <w:rFonts w:hint="default" w:ascii="Times New Roman" w:hAnsi="Times New Roman" w:eastAsia="宋体" w:cs="Times New Roman"/>
                <w:b/>
                <w:bCs/>
                <w:color w:val="auto"/>
                <w:szCs w:val="21"/>
              </w:rPr>
              <w:fldChar w:fldCharType="separate"/>
            </w:r>
            <w:r>
              <w:rPr>
                <w:rFonts w:hint="default" w:ascii="Times New Roman" w:hAnsi="Times New Roman" w:eastAsia="宋体" w:cs="Times New Roman"/>
                <w:b/>
                <w:bCs/>
                <w:color w:val="auto"/>
                <w:szCs w:val="21"/>
              </w:rPr>
              <w:t>III</w:t>
            </w:r>
            <w:r>
              <w:rPr>
                <w:rFonts w:hint="default" w:ascii="Times New Roman" w:hAnsi="Times New Roman" w:eastAsia="宋体" w:cs="Times New Roman"/>
                <w:b/>
                <w:bCs/>
                <w:color w:val="auto"/>
                <w:szCs w:val="21"/>
              </w:rPr>
              <w:fldChar w:fldCharType="end"/>
            </w:r>
          </w:p>
        </w:tc>
        <w:tc>
          <w:tcPr>
            <w:tcW w:w="1560" w:type="dxa"/>
            <w:shd w:val="clear" w:color="auto" w:fill="auto"/>
            <w:vAlign w:val="center"/>
          </w:tcPr>
          <w:p w14:paraId="55F4014D">
            <w:pPr>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fldChar w:fldCharType="begin"/>
            </w:r>
            <w:r>
              <w:rPr>
                <w:rFonts w:hint="default" w:ascii="Times New Roman" w:hAnsi="Times New Roman" w:eastAsia="宋体" w:cs="Times New Roman"/>
                <w:b w:val="0"/>
                <w:bCs w:val="0"/>
                <w:color w:val="auto"/>
                <w:szCs w:val="21"/>
              </w:rPr>
              <w:instrText xml:space="preserve"> = 2 \* ROMAN \* MERGEFORMAT </w:instrText>
            </w:r>
            <w:r>
              <w:rPr>
                <w:rFonts w:hint="default" w:ascii="Times New Roman" w:hAnsi="Times New Roman" w:eastAsia="宋体" w:cs="Times New Roman"/>
                <w:b w:val="0"/>
                <w:bCs w:val="0"/>
                <w:color w:val="auto"/>
                <w:szCs w:val="21"/>
              </w:rPr>
              <w:fldChar w:fldCharType="separate"/>
            </w:r>
            <w:r>
              <w:rPr>
                <w:rFonts w:hint="default" w:ascii="Times New Roman" w:hAnsi="Times New Roman" w:eastAsia="宋体" w:cs="Times New Roman"/>
                <w:b w:val="0"/>
                <w:bCs w:val="0"/>
                <w:color w:val="auto"/>
                <w:szCs w:val="21"/>
              </w:rPr>
              <w:t>II</w:t>
            </w:r>
            <w:r>
              <w:rPr>
                <w:rFonts w:hint="default" w:ascii="Times New Roman" w:hAnsi="Times New Roman" w:eastAsia="宋体" w:cs="Times New Roman"/>
                <w:b w:val="0"/>
                <w:bCs w:val="0"/>
                <w:color w:val="auto"/>
                <w:szCs w:val="21"/>
              </w:rPr>
              <w:fldChar w:fldCharType="end"/>
            </w:r>
          </w:p>
        </w:tc>
      </w:tr>
      <w:tr w14:paraId="699F0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4" w:type="dxa"/>
            <w:shd w:val="clear" w:color="auto" w:fill="auto"/>
            <w:vAlign w:val="center"/>
          </w:tcPr>
          <w:p w14:paraId="2F4672EA">
            <w:pPr>
              <w:ind w:left="-105" w:leftChars="-50" w:right="-90" w:rightChars="-43"/>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环境低度敏感程度（E3）</w:t>
            </w:r>
          </w:p>
        </w:tc>
        <w:tc>
          <w:tcPr>
            <w:tcW w:w="1289" w:type="dxa"/>
            <w:shd w:val="clear" w:color="auto" w:fill="auto"/>
            <w:vAlign w:val="center"/>
          </w:tcPr>
          <w:p w14:paraId="5B28D450">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fldChar w:fldCharType="begin"/>
            </w:r>
            <w:r>
              <w:rPr>
                <w:rFonts w:hint="default" w:ascii="Times New Roman" w:hAnsi="Times New Roman" w:eastAsia="宋体" w:cs="Times New Roman"/>
                <w:color w:val="auto"/>
                <w:szCs w:val="21"/>
              </w:rPr>
              <w:instrText xml:space="preserve"> = 3 \* ROMAN \* MERGEFORMAT </w:instrText>
            </w:r>
            <w:r>
              <w:rPr>
                <w:rFonts w:hint="default" w:ascii="Times New Roman" w:hAnsi="Times New Roman" w:eastAsia="宋体" w:cs="Times New Roman"/>
                <w:color w:val="auto"/>
                <w:szCs w:val="21"/>
              </w:rPr>
              <w:fldChar w:fldCharType="separate"/>
            </w:r>
            <w:r>
              <w:rPr>
                <w:rFonts w:hint="default" w:ascii="Times New Roman" w:hAnsi="Times New Roman" w:eastAsia="宋体" w:cs="Times New Roman"/>
                <w:color w:val="auto"/>
                <w:szCs w:val="21"/>
              </w:rPr>
              <w:t>III</w:t>
            </w:r>
            <w:r>
              <w:rPr>
                <w:rFonts w:hint="default" w:ascii="Times New Roman" w:hAnsi="Times New Roman" w:eastAsia="宋体" w:cs="Times New Roman"/>
                <w:color w:val="auto"/>
                <w:szCs w:val="21"/>
              </w:rPr>
              <w:fldChar w:fldCharType="end"/>
            </w:r>
          </w:p>
        </w:tc>
        <w:tc>
          <w:tcPr>
            <w:tcW w:w="1635" w:type="dxa"/>
            <w:shd w:val="clear" w:color="auto" w:fill="auto"/>
            <w:vAlign w:val="center"/>
          </w:tcPr>
          <w:p w14:paraId="7104D7FF">
            <w:pPr>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fldChar w:fldCharType="begin"/>
            </w:r>
            <w:r>
              <w:rPr>
                <w:rFonts w:hint="default" w:ascii="Times New Roman" w:hAnsi="Times New Roman" w:eastAsia="宋体" w:cs="Times New Roman"/>
                <w:b w:val="0"/>
                <w:bCs w:val="0"/>
                <w:color w:val="auto"/>
                <w:szCs w:val="21"/>
              </w:rPr>
              <w:instrText xml:space="preserve"> = 3 \* ROMAN \* MERGEFORMAT </w:instrText>
            </w:r>
            <w:r>
              <w:rPr>
                <w:rFonts w:hint="default" w:ascii="Times New Roman" w:hAnsi="Times New Roman" w:eastAsia="宋体" w:cs="Times New Roman"/>
                <w:b w:val="0"/>
                <w:bCs w:val="0"/>
                <w:color w:val="auto"/>
                <w:szCs w:val="21"/>
              </w:rPr>
              <w:fldChar w:fldCharType="separate"/>
            </w:r>
            <w:r>
              <w:rPr>
                <w:rFonts w:hint="default" w:ascii="Times New Roman" w:hAnsi="Times New Roman" w:eastAsia="宋体" w:cs="Times New Roman"/>
                <w:b w:val="0"/>
                <w:bCs w:val="0"/>
                <w:color w:val="auto"/>
                <w:szCs w:val="21"/>
              </w:rPr>
              <w:t>III</w:t>
            </w:r>
            <w:r>
              <w:rPr>
                <w:rFonts w:hint="default" w:ascii="Times New Roman" w:hAnsi="Times New Roman" w:eastAsia="宋体" w:cs="Times New Roman"/>
                <w:b w:val="0"/>
                <w:bCs w:val="0"/>
                <w:color w:val="auto"/>
                <w:szCs w:val="21"/>
              </w:rPr>
              <w:fldChar w:fldCharType="end"/>
            </w:r>
          </w:p>
        </w:tc>
        <w:tc>
          <w:tcPr>
            <w:tcW w:w="1530" w:type="dxa"/>
            <w:shd w:val="clear" w:color="auto" w:fill="auto"/>
            <w:vAlign w:val="center"/>
          </w:tcPr>
          <w:p w14:paraId="3149D74E">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fldChar w:fldCharType="begin"/>
            </w:r>
            <w:r>
              <w:rPr>
                <w:rFonts w:hint="default" w:ascii="Times New Roman" w:hAnsi="Times New Roman" w:eastAsia="宋体" w:cs="Times New Roman"/>
                <w:b/>
                <w:bCs/>
                <w:color w:val="auto"/>
                <w:szCs w:val="21"/>
              </w:rPr>
              <w:instrText xml:space="preserve"> = 2 \* ROMAN \* MERGEFORMAT </w:instrText>
            </w:r>
            <w:r>
              <w:rPr>
                <w:rFonts w:hint="default" w:ascii="Times New Roman" w:hAnsi="Times New Roman" w:eastAsia="宋体" w:cs="Times New Roman"/>
                <w:b/>
                <w:bCs/>
                <w:color w:val="auto"/>
                <w:szCs w:val="21"/>
              </w:rPr>
              <w:fldChar w:fldCharType="separate"/>
            </w:r>
            <w:r>
              <w:rPr>
                <w:rFonts w:hint="default" w:ascii="Times New Roman" w:hAnsi="Times New Roman" w:eastAsia="宋体" w:cs="Times New Roman"/>
                <w:b/>
                <w:bCs/>
                <w:color w:val="auto"/>
                <w:szCs w:val="21"/>
              </w:rPr>
              <w:t>II</w:t>
            </w:r>
            <w:r>
              <w:rPr>
                <w:rFonts w:hint="default" w:ascii="Times New Roman" w:hAnsi="Times New Roman" w:eastAsia="宋体" w:cs="Times New Roman"/>
                <w:b/>
                <w:bCs/>
                <w:color w:val="auto"/>
                <w:szCs w:val="21"/>
              </w:rPr>
              <w:fldChar w:fldCharType="end"/>
            </w:r>
          </w:p>
        </w:tc>
        <w:tc>
          <w:tcPr>
            <w:tcW w:w="1560" w:type="dxa"/>
            <w:shd w:val="clear" w:color="auto" w:fill="auto"/>
            <w:vAlign w:val="center"/>
          </w:tcPr>
          <w:p w14:paraId="35ACCA59">
            <w:pPr>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fldChar w:fldCharType="begin"/>
            </w:r>
            <w:r>
              <w:rPr>
                <w:rFonts w:hint="default" w:ascii="Times New Roman" w:hAnsi="Times New Roman" w:eastAsia="宋体" w:cs="Times New Roman"/>
                <w:b w:val="0"/>
                <w:bCs w:val="0"/>
                <w:color w:val="auto"/>
                <w:szCs w:val="21"/>
              </w:rPr>
              <w:instrText xml:space="preserve"> = 1 \* ROMAN \* MERGEFORMAT </w:instrText>
            </w:r>
            <w:r>
              <w:rPr>
                <w:rFonts w:hint="default" w:ascii="Times New Roman" w:hAnsi="Times New Roman" w:eastAsia="宋体" w:cs="Times New Roman"/>
                <w:b w:val="0"/>
                <w:bCs w:val="0"/>
                <w:color w:val="auto"/>
                <w:szCs w:val="21"/>
              </w:rPr>
              <w:fldChar w:fldCharType="separate"/>
            </w:r>
            <w:r>
              <w:rPr>
                <w:rFonts w:hint="default" w:ascii="Times New Roman" w:hAnsi="Times New Roman" w:eastAsia="宋体" w:cs="Times New Roman"/>
                <w:b w:val="0"/>
                <w:bCs w:val="0"/>
                <w:color w:val="auto"/>
                <w:szCs w:val="21"/>
              </w:rPr>
              <w:t>I</w:t>
            </w:r>
            <w:r>
              <w:rPr>
                <w:rFonts w:hint="default" w:ascii="Times New Roman" w:hAnsi="Times New Roman" w:eastAsia="宋体" w:cs="Times New Roman"/>
                <w:b w:val="0"/>
                <w:bCs w:val="0"/>
                <w:color w:val="auto"/>
                <w:szCs w:val="21"/>
              </w:rPr>
              <w:fldChar w:fldCharType="end"/>
            </w:r>
          </w:p>
        </w:tc>
      </w:tr>
      <w:tr w14:paraId="61093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08" w:type="dxa"/>
            <w:gridSpan w:val="5"/>
            <w:shd w:val="clear" w:color="auto" w:fill="auto"/>
            <w:vAlign w:val="center"/>
          </w:tcPr>
          <w:p w14:paraId="03C27ECE">
            <w:pPr>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注：</w:t>
            </w:r>
            <w:r>
              <w:rPr>
                <w:rFonts w:hint="default" w:ascii="Times New Roman" w:hAnsi="Times New Roman" w:eastAsia="宋体" w:cs="Times New Roman"/>
                <w:color w:val="auto"/>
                <w:szCs w:val="21"/>
              </w:rPr>
              <w:fldChar w:fldCharType="begin"/>
            </w:r>
            <w:r>
              <w:rPr>
                <w:rFonts w:hint="default" w:ascii="Times New Roman" w:hAnsi="Times New Roman" w:eastAsia="宋体" w:cs="Times New Roman"/>
                <w:color w:val="auto"/>
                <w:szCs w:val="21"/>
              </w:rPr>
              <w:instrText xml:space="preserve"> = 4 \* ROMAN \* MERGEFORMAT </w:instrText>
            </w:r>
            <w:r>
              <w:rPr>
                <w:rFonts w:hint="default" w:ascii="Times New Roman" w:hAnsi="Times New Roman" w:eastAsia="宋体" w:cs="Times New Roman"/>
                <w:color w:val="auto"/>
                <w:szCs w:val="21"/>
              </w:rPr>
              <w:fldChar w:fldCharType="separate"/>
            </w:r>
            <w:r>
              <w:rPr>
                <w:rFonts w:hint="default" w:ascii="Times New Roman" w:hAnsi="Times New Roman" w:eastAsia="宋体" w:cs="Times New Roman"/>
                <w:color w:val="auto"/>
                <w:szCs w:val="21"/>
              </w:rPr>
              <w:t>IV</w:t>
            </w:r>
            <w:r>
              <w:rPr>
                <w:rFonts w:hint="default" w:ascii="Times New Roman" w:hAnsi="Times New Roman" w:eastAsia="宋体" w:cs="Times New Roman"/>
                <w:color w:val="auto"/>
                <w:szCs w:val="21"/>
              </w:rPr>
              <w:fldChar w:fldCharType="end"/>
            </w:r>
            <w:r>
              <w:rPr>
                <w:rFonts w:hint="default" w:ascii="Times New Roman" w:hAnsi="Times New Roman" w:eastAsia="宋体" w:cs="Times New Roman"/>
                <w:color w:val="auto"/>
                <w:szCs w:val="21"/>
                <w:vertAlign w:val="superscript"/>
              </w:rPr>
              <w:t>+</w:t>
            </w:r>
            <w:r>
              <w:rPr>
                <w:rFonts w:hint="default" w:ascii="Times New Roman" w:hAnsi="Times New Roman" w:eastAsia="宋体" w:cs="Times New Roman"/>
                <w:color w:val="auto"/>
                <w:szCs w:val="21"/>
              </w:rPr>
              <w:t>为极高环境风险</w:t>
            </w:r>
          </w:p>
        </w:tc>
      </w:tr>
    </w:tbl>
    <w:p w14:paraId="2763D4C7">
      <w:pPr>
        <w:spacing w:line="360" w:lineRule="auto"/>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rPr>
        <w:t>根据《建设项</w:t>
      </w:r>
      <w:r>
        <w:rPr>
          <w:rFonts w:hint="default" w:ascii="Times New Roman" w:hAnsi="Times New Roman" w:eastAsia="宋体" w:cs="Times New Roman"/>
          <w:color w:val="auto"/>
          <w:kern w:val="0"/>
          <w:sz w:val="24"/>
          <w:highlight w:val="none"/>
        </w:rPr>
        <w:t>目环境风险评价技术导则》（HJ169－2018）表2划分依据，本项目大气环境风险潜势为</w:t>
      </w:r>
      <w:r>
        <w:rPr>
          <w:rFonts w:hint="default" w:ascii="Times New Roman" w:hAnsi="Times New Roman" w:eastAsia="宋体" w:cs="Times New Roman"/>
          <w:color w:val="auto"/>
          <w:kern w:val="0"/>
          <w:sz w:val="24"/>
          <w:highlight w:val="none"/>
        </w:rPr>
        <w:fldChar w:fldCharType="begin"/>
      </w:r>
      <w:r>
        <w:rPr>
          <w:rFonts w:hint="default" w:ascii="Times New Roman" w:hAnsi="Times New Roman" w:eastAsia="宋体" w:cs="Times New Roman"/>
          <w:color w:val="auto"/>
          <w:kern w:val="0"/>
          <w:sz w:val="24"/>
          <w:highlight w:val="none"/>
        </w:rPr>
        <w:instrText xml:space="preserve"> = 3 \* ROMAN \* MERGEFORMAT </w:instrText>
      </w:r>
      <w:r>
        <w:rPr>
          <w:rFonts w:hint="default" w:ascii="Times New Roman" w:hAnsi="Times New Roman" w:eastAsia="宋体" w:cs="Times New Roman"/>
          <w:color w:val="auto"/>
          <w:kern w:val="0"/>
          <w:sz w:val="24"/>
          <w:highlight w:val="none"/>
        </w:rPr>
        <w:fldChar w:fldCharType="separate"/>
      </w:r>
      <w:r>
        <w:rPr>
          <w:rFonts w:hint="default" w:ascii="Times New Roman" w:hAnsi="Times New Roman" w:eastAsia="宋体" w:cs="Times New Roman"/>
          <w:color w:val="auto"/>
          <w:kern w:val="0"/>
          <w:sz w:val="24"/>
          <w:highlight w:val="none"/>
        </w:rPr>
        <w:t>III</w:t>
      </w:r>
      <w:r>
        <w:rPr>
          <w:rFonts w:hint="default" w:ascii="Times New Roman" w:hAnsi="Times New Roman" w:eastAsia="宋体" w:cs="Times New Roman"/>
          <w:color w:val="auto"/>
          <w:kern w:val="0"/>
          <w:sz w:val="24"/>
          <w:highlight w:val="none"/>
        </w:rPr>
        <w:fldChar w:fldCharType="end"/>
      </w:r>
      <w:r>
        <w:rPr>
          <w:rFonts w:hint="default" w:ascii="Times New Roman" w:hAnsi="Times New Roman" w:eastAsia="宋体" w:cs="Times New Roman"/>
          <w:color w:val="auto"/>
          <w:kern w:val="0"/>
          <w:sz w:val="24"/>
          <w:highlight w:val="none"/>
        </w:rPr>
        <w:t>，地表水环境风险潜势为</w:t>
      </w:r>
      <w:r>
        <w:rPr>
          <w:rFonts w:hint="default" w:ascii="Times New Roman" w:hAnsi="Times New Roman" w:eastAsia="宋体" w:cs="Times New Roman"/>
          <w:color w:val="auto"/>
          <w:kern w:val="0"/>
          <w:sz w:val="24"/>
          <w:highlight w:val="none"/>
        </w:rPr>
        <w:fldChar w:fldCharType="begin"/>
      </w:r>
      <w:r>
        <w:rPr>
          <w:rFonts w:hint="default" w:ascii="Times New Roman" w:hAnsi="Times New Roman" w:eastAsia="宋体" w:cs="Times New Roman"/>
          <w:color w:val="auto"/>
          <w:kern w:val="0"/>
          <w:sz w:val="24"/>
          <w:highlight w:val="none"/>
        </w:rPr>
        <w:instrText xml:space="preserve"> = 2 \* ROMAN \* MERGEFORMAT </w:instrText>
      </w:r>
      <w:r>
        <w:rPr>
          <w:rFonts w:hint="default" w:ascii="Times New Roman" w:hAnsi="Times New Roman" w:eastAsia="宋体" w:cs="Times New Roman"/>
          <w:color w:val="auto"/>
          <w:kern w:val="0"/>
          <w:sz w:val="24"/>
          <w:highlight w:val="none"/>
        </w:rPr>
        <w:fldChar w:fldCharType="separate"/>
      </w:r>
      <w:r>
        <w:rPr>
          <w:rFonts w:hint="default" w:ascii="Times New Roman" w:hAnsi="Times New Roman" w:eastAsia="宋体" w:cs="Times New Roman"/>
          <w:color w:val="auto"/>
          <w:kern w:val="0"/>
          <w:sz w:val="24"/>
          <w:highlight w:val="none"/>
        </w:rPr>
        <w:t>II</w:t>
      </w:r>
      <w:r>
        <w:rPr>
          <w:rFonts w:hint="default" w:ascii="Times New Roman" w:hAnsi="Times New Roman" w:eastAsia="宋体" w:cs="Times New Roman"/>
          <w:color w:val="auto"/>
          <w:kern w:val="0"/>
          <w:sz w:val="24"/>
          <w:highlight w:val="none"/>
        </w:rPr>
        <w:fldChar w:fldCharType="end"/>
      </w:r>
      <w:r>
        <w:rPr>
          <w:rFonts w:hint="default" w:ascii="Times New Roman" w:hAnsi="Times New Roman" w:eastAsia="宋体" w:cs="Times New Roman"/>
          <w:color w:val="auto"/>
          <w:kern w:val="0"/>
          <w:sz w:val="24"/>
          <w:highlight w:val="none"/>
        </w:rPr>
        <w:t>，地下水环境风险潜势为</w:t>
      </w:r>
      <w:r>
        <w:rPr>
          <w:rFonts w:hint="default" w:ascii="Times New Roman" w:hAnsi="Times New Roman" w:eastAsia="宋体" w:cs="Times New Roman"/>
          <w:color w:val="auto"/>
          <w:kern w:val="0"/>
          <w:sz w:val="24"/>
          <w:highlight w:val="none"/>
        </w:rPr>
        <w:fldChar w:fldCharType="begin"/>
      </w:r>
      <w:r>
        <w:rPr>
          <w:rFonts w:hint="default" w:ascii="Times New Roman" w:hAnsi="Times New Roman" w:eastAsia="宋体" w:cs="Times New Roman"/>
          <w:color w:val="auto"/>
          <w:kern w:val="0"/>
          <w:sz w:val="24"/>
          <w:highlight w:val="none"/>
        </w:rPr>
        <w:instrText xml:space="preserve"> = 2 \* ROMAN \* MERGEFORMAT </w:instrText>
      </w:r>
      <w:r>
        <w:rPr>
          <w:rFonts w:hint="default" w:ascii="Times New Roman" w:hAnsi="Times New Roman" w:eastAsia="宋体" w:cs="Times New Roman"/>
          <w:color w:val="auto"/>
          <w:kern w:val="0"/>
          <w:sz w:val="24"/>
          <w:highlight w:val="none"/>
        </w:rPr>
        <w:fldChar w:fldCharType="separate"/>
      </w:r>
      <w:r>
        <w:rPr>
          <w:rFonts w:hint="default" w:ascii="Times New Roman" w:hAnsi="Times New Roman" w:eastAsia="宋体" w:cs="Times New Roman"/>
          <w:color w:val="auto"/>
          <w:kern w:val="0"/>
          <w:sz w:val="24"/>
          <w:highlight w:val="none"/>
        </w:rPr>
        <w:t>II</w:t>
      </w:r>
      <w:r>
        <w:rPr>
          <w:rFonts w:hint="default" w:ascii="Times New Roman" w:hAnsi="Times New Roman" w:eastAsia="宋体" w:cs="Times New Roman"/>
          <w:color w:val="auto"/>
          <w:kern w:val="0"/>
          <w:sz w:val="24"/>
          <w:highlight w:val="none"/>
        </w:rPr>
        <w:fldChar w:fldCharType="end"/>
      </w:r>
      <w:r>
        <w:rPr>
          <w:rFonts w:hint="default" w:ascii="Times New Roman" w:hAnsi="Times New Roman" w:eastAsia="宋体" w:cs="Times New Roman"/>
          <w:color w:val="auto"/>
          <w:kern w:val="0"/>
          <w:sz w:val="24"/>
          <w:highlight w:val="none"/>
        </w:rPr>
        <w:t>。</w:t>
      </w:r>
    </w:p>
    <w:p w14:paraId="39F06637">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2、环境风险评价等级的确定</w:t>
      </w:r>
    </w:p>
    <w:p w14:paraId="752BFE74">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《建设项目环境风险评价技术导则》（HJ169-2018）给出的评价工作等级确定原则见表</w:t>
      </w:r>
      <w:r>
        <w:rPr>
          <w:rFonts w:hint="default" w:ascii="Times New Roman" w:hAnsi="Times New Roman" w:eastAsia="宋体" w:cs="Times New Roman"/>
          <w:color w:val="auto"/>
          <w:kern w:val="0"/>
          <w:sz w:val="24"/>
          <w:lang w:eastAsia="zh-CN"/>
        </w:rPr>
        <w:t>4.1-</w:t>
      </w:r>
      <w:r>
        <w:rPr>
          <w:rFonts w:hint="default" w:ascii="Times New Roman" w:hAnsi="Times New Roman" w:eastAsia="宋体" w:cs="Times New Roman"/>
          <w:color w:val="auto"/>
          <w:kern w:val="0"/>
          <w:sz w:val="24"/>
        </w:rPr>
        <w:t>2。</w:t>
      </w:r>
    </w:p>
    <w:p w14:paraId="533D8479">
      <w:pPr>
        <w:jc w:val="center"/>
        <w:rPr>
          <w:rFonts w:hint="default" w:ascii="Times New Roman" w:hAnsi="Times New Roman" w:eastAsia="宋体" w:cs="Times New Roman"/>
          <w:b/>
          <w:bCs/>
          <w:color w:val="auto"/>
          <w:kern w:val="0"/>
          <w:sz w:val="24"/>
        </w:rPr>
      </w:pPr>
    </w:p>
    <w:p w14:paraId="3A26B9D6">
      <w:pPr>
        <w:jc w:val="center"/>
        <w:rPr>
          <w:rFonts w:hint="default" w:ascii="Times New Roman" w:hAnsi="Times New Roman" w:eastAsia="宋体" w:cs="Times New Roman"/>
          <w:b/>
          <w:bCs/>
          <w:color w:val="auto"/>
          <w:kern w:val="0"/>
          <w:sz w:val="24"/>
        </w:rPr>
      </w:pPr>
    </w:p>
    <w:p w14:paraId="4933F36B">
      <w:pPr>
        <w:jc w:val="center"/>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表</w:t>
      </w:r>
      <w:r>
        <w:rPr>
          <w:rFonts w:hint="default" w:ascii="Times New Roman" w:hAnsi="Times New Roman" w:eastAsia="宋体" w:cs="Times New Roman"/>
          <w:b/>
          <w:bCs/>
          <w:color w:val="auto"/>
          <w:kern w:val="0"/>
          <w:sz w:val="24"/>
          <w:lang w:eastAsia="zh-CN"/>
        </w:rPr>
        <w:t>4.1-</w:t>
      </w:r>
      <w:r>
        <w:rPr>
          <w:rFonts w:hint="default" w:ascii="Times New Roman" w:hAnsi="Times New Roman" w:eastAsia="宋体" w:cs="Times New Roman"/>
          <w:b/>
          <w:bCs/>
          <w:color w:val="auto"/>
          <w:kern w:val="0"/>
          <w:sz w:val="24"/>
        </w:rPr>
        <w:t>2  环境风险评价工作等级的划分</w:t>
      </w:r>
    </w:p>
    <w:tbl>
      <w:tblPr>
        <w:tblStyle w:val="8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858"/>
        <w:gridCol w:w="1858"/>
        <w:gridCol w:w="1857"/>
        <w:gridCol w:w="1857"/>
        <w:gridCol w:w="1857"/>
      </w:tblGrid>
      <w:tr w14:paraId="6BBCC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705" w:type="dxa"/>
            <w:shd w:val="clear" w:color="auto" w:fill="auto"/>
            <w:vAlign w:val="center"/>
          </w:tcPr>
          <w:p w14:paraId="2E57447C">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环境风险潜势</w:t>
            </w:r>
          </w:p>
        </w:tc>
        <w:tc>
          <w:tcPr>
            <w:tcW w:w="1705" w:type="dxa"/>
            <w:shd w:val="clear" w:color="auto" w:fill="auto"/>
            <w:vAlign w:val="center"/>
          </w:tcPr>
          <w:p w14:paraId="7260BDDA">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IV</w:t>
            </w:r>
            <w:r>
              <w:rPr>
                <w:rFonts w:hint="default" w:ascii="Times New Roman" w:hAnsi="Times New Roman" w:eastAsia="宋体" w:cs="Times New Roman"/>
                <w:color w:val="auto"/>
                <w:kern w:val="0"/>
                <w:szCs w:val="21"/>
                <w:vertAlign w:val="superscript"/>
              </w:rPr>
              <w:t>+</w:t>
            </w:r>
            <w:r>
              <w:rPr>
                <w:rFonts w:hint="default" w:ascii="Times New Roman" w:hAnsi="Times New Roman" w:eastAsia="宋体" w:cs="Times New Roman"/>
                <w:color w:val="auto"/>
                <w:kern w:val="0"/>
                <w:szCs w:val="21"/>
              </w:rPr>
              <w:t>，IV</w:t>
            </w:r>
          </w:p>
        </w:tc>
        <w:tc>
          <w:tcPr>
            <w:tcW w:w="1705" w:type="dxa"/>
            <w:shd w:val="clear" w:color="auto" w:fill="auto"/>
            <w:vAlign w:val="center"/>
          </w:tcPr>
          <w:p w14:paraId="71798ECB">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III</w:t>
            </w:r>
          </w:p>
        </w:tc>
        <w:tc>
          <w:tcPr>
            <w:tcW w:w="1705" w:type="dxa"/>
            <w:shd w:val="clear" w:color="auto" w:fill="auto"/>
            <w:vAlign w:val="center"/>
          </w:tcPr>
          <w:p w14:paraId="57E563B1">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II</w:t>
            </w:r>
          </w:p>
        </w:tc>
        <w:tc>
          <w:tcPr>
            <w:tcW w:w="1705" w:type="dxa"/>
            <w:shd w:val="clear" w:color="auto" w:fill="auto"/>
            <w:vAlign w:val="center"/>
          </w:tcPr>
          <w:p w14:paraId="46FCAE4B">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I</w:t>
            </w:r>
          </w:p>
        </w:tc>
      </w:tr>
      <w:tr w14:paraId="5F6CC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exact"/>
        </w:trPr>
        <w:tc>
          <w:tcPr>
            <w:tcW w:w="1705" w:type="dxa"/>
            <w:shd w:val="clear" w:color="auto" w:fill="auto"/>
            <w:vAlign w:val="center"/>
          </w:tcPr>
          <w:p w14:paraId="01E4FC78">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评价工作等级</w:t>
            </w:r>
          </w:p>
        </w:tc>
        <w:tc>
          <w:tcPr>
            <w:tcW w:w="1705" w:type="dxa"/>
            <w:shd w:val="clear" w:color="auto" w:fill="auto"/>
            <w:vAlign w:val="center"/>
          </w:tcPr>
          <w:p w14:paraId="052A8F63">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一</w:t>
            </w:r>
          </w:p>
        </w:tc>
        <w:tc>
          <w:tcPr>
            <w:tcW w:w="1705" w:type="dxa"/>
            <w:shd w:val="clear" w:color="auto" w:fill="auto"/>
            <w:vAlign w:val="center"/>
          </w:tcPr>
          <w:p w14:paraId="626D65FC">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二</w:t>
            </w:r>
          </w:p>
        </w:tc>
        <w:tc>
          <w:tcPr>
            <w:tcW w:w="1705" w:type="dxa"/>
            <w:shd w:val="clear" w:color="auto" w:fill="auto"/>
            <w:vAlign w:val="center"/>
          </w:tcPr>
          <w:p w14:paraId="02E1A826">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highlight w:val="none"/>
              </w:rPr>
              <w:t>三</w:t>
            </w:r>
          </w:p>
        </w:tc>
        <w:tc>
          <w:tcPr>
            <w:tcW w:w="1705" w:type="dxa"/>
            <w:shd w:val="clear" w:color="auto" w:fill="auto"/>
            <w:vAlign w:val="center"/>
          </w:tcPr>
          <w:p w14:paraId="66C90CA2">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简单分析</w:t>
            </w:r>
          </w:p>
        </w:tc>
      </w:tr>
    </w:tbl>
    <w:p w14:paraId="00048B6D">
      <w:pPr>
        <w:spacing w:line="360" w:lineRule="auto"/>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rPr>
        <w:t>根据《建设项目环境</w:t>
      </w:r>
      <w:r>
        <w:rPr>
          <w:rFonts w:hint="default" w:ascii="Times New Roman" w:hAnsi="Times New Roman" w:eastAsia="宋体" w:cs="Times New Roman"/>
          <w:color w:val="auto"/>
          <w:kern w:val="0"/>
          <w:sz w:val="24"/>
          <w:highlight w:val="none"/>
        </w:rPr>
        <w:t>风险评价技术导则》（HJ169-2018）的规定，确定本项目大气环境风险评价等级为</w:t>
      </w:r>
      <w:r>
        <w:rPr>
          <w:rFonts w:hint="default" w:ascii="Times New Roman" w:hAnsi="Times New Roman" w:eastAsia="宋体" w:cs="Times New Roman"/>
          <w:color w:val="auto"/>
          <w:kern w:val="0"/>
          <w:sz w:val="24"/>
          <w:highlight w:val="none"/>
          <w:lang w:val="en-US" w:eastAsia="zh-CN"/>
        </w:rPr>
        <w:t>二</w:t>
      </w:r>
      <w:r>
        <w:rPr>
          <w:rFonts w:hint="default" w:ascii="Times New Roman" w:hAnsi="Times New Roman" w:eastAsia="宋体" w:cs="Times New Roman"/>
          <w:color w:val="auto"/>
          <w:kern w:val="0"/>
          <w:sz w:val="24"/>
          <w:highlight w:val="none"/>
        </w:rPr>
        <w:t>级，地表水环境风险评价等级为</w:t>
      </w:r>
      <w:r>
        <w:rPr>
          <w:rFonts w:hint="default" w:ascii="Times New Roman" w:hAnsi="Times New Roman" w:cs="Times New Roman"/>
          <w:color w:val="auto"/>
          <w:kern w:val="0"/>
          <w:sz w:val="24"/>
          <w:highlight w:val="none"/>
          <w:lang w:val="en-US" w:eastAsia="zh-CN"/>
        </w:rPr>
        <w:t>三级</w:t>
      </w:r>
      <w:r>
        <w:rPr>
          <w:rFonts w:hint="default" w:ascii="Times New Roman" w:hAnsi="Times New Roman" w:eastAsia="宋体" w:cs="Times New Roman"/>
          <w:color w:val="auto"/>
          <w:kern w:val="0"/>
          <w:sz w:val="24"/>
          <w:highlight w:val="none"/>
        </w:rPr>
        <w:t>，地下水环境风险评价等级为</w:t>
      </w:r>
      <w:r>
        <w:rPr>
          <w:rFonts w:hint="default" w:ascii="Times New Roman" w:hAnsi="Times New Roman" w:cs="Times New Roman"/>
          <w:color w:val="auto"/>
          <w:kern w:val="0"/>
          <w:sz w:val="24"/>
          <w:highlight w:val="none"/>
          <w:lang w:val="en-US" w:eastAsia="zh-CN"/>
        </w:rPr>
        <w:t>三级</w:t>
      </w:r>
      <w:r>
        <w:rPr>
          <w:rFonts w:hint="default" w:ascii="Times New Roman" w:hAnsi="Times New Roman" w:eastAsia="宋体" w:cs="Times New Roman"/>
          <w:color w:val="auto"/>
          <w:kern w:val="0"/>
          <w:sz w:val="24"/>
          <w:highlight w:val="none"/>
        </w:rPr>
        <w:t>。</w:t>
      </w:r>
    </w:p>
    <w:p w14:paraId="46F846D1">
      <w:pPr>
        <w:keepNext/>
        <w:keepLines/>
        <w:widowControl/>
        <w:spacing w:before="120" w:after="120" w:line="360" w:lineRule="auto"/>
        <w:outlineLvl w:val="2"/>
        <w:rPr>
          <w:rFonts w:hint="default" w:ascii="Times New Roman" w:hAnsi="Times New Roman" w:eastAsia="宋体" w:cs="Times New Roman"/>
          <w:b/>
          <w:bCs/>
          <w:color w:val="auto"/>
          <w:kern w:val="0"/>
          <w:sz w:val="30"/>
          <w:szCs w:val="30"/>
        </w:rPr>
      </w:pPr>
      <w:bookmarkStart w:id="52" w:name="_Toc19117"/>
      <w:r>
        <w:rPr>
          <w:rFonts w:hint="default" w:ascii="Times New Roman" w:hAnsi="Times New Roman" w:eastAsia="宋体" w:cs="Times New Roman"/>
          <w:b/>
          <w:bCs/>
          <w:color w:val="auto"/>
          <w:kern w:val="0"/>
          <w:sz w:val="30"/>
          <w:szCs w:val="30"/>
          <w:lang w:eastAsia="zh-CN"/>
        </w:rPr>
        <w:t>4.</w:t>
      </w:r>
      <w:r>
        <w:rPr>
          <w:rFonts w:hint="default" w:ascii="Times New Roman" w:hAnsi="Times New Roman" w:eastAsia="宋体" w:cs="Times New Roman"/>
          <w:b/>
          <w:bCs/>
          <w:color w:val="auto"/>
          <w:kern w:val="0"/>
          <w:sz w:val="30"/>
          <w:szCs w:val="30"/>
        </w:rPr>
        <w:t>2 环境风险评价范围</w:t>
      </w:r>
      <w:bookmarkEnd w:id="52"/>
    </w:p>
    <w:p w14:paraId="6B76EC4F">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根据建设项目环境风险评价技术导则，大气环境风险评价范围：以厂界为边界，外延5km的区域。</w:t>
      </w:r>
    </w:p>
    <w:p w14:paraId="25B863CC">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地表水环境风险评价范围参照《环境影响评价技术导则 地表水环境》（HJ2.3-2018）：厂区范围内，事故废水不得排出厂区，评价事故废水</w:t>
      </w:r>
      <w:r>
        <w:rPr>
          <w:rFonts w:hint="default" w:ascii="Times New Roman" w:hAnsi="Times New Roman" w:cs="Times New Roman"/>
          <w:color w:val="auto"/>
          <w:kern w:val="0"/>
          <w:sz w:val="24"/>
          <w:lang w:val="en-US" w:eastAsia="zh-CN"/>
        </w:rPr>
        <w:t>厂</w:t>
      </w:r>
      <w:r>
        <w:rPr>
          <w:rFonts w:hint="default" w:ascii="Times New Roman" w:hAnsi="Times New Roman" w:eastAsia="宋体" w:cs="Times New Roman"/>
          <w:color w:val="auto"/>
          <w:kern w:val="0"/>
          <w:sz w:val="24"/>
        </w:rPr>
        <w:t>内收集可行性。</w:t>
      </w:r>
    </w:p>
    <w:p w14:paraId="75BE059A">
      <w:pPr>
        <w:keepNext/>
        <w:keepLines/>
        <w:widowControl/>
        <w:spacing w:before="120" w:after="120" w:line="360" w:lineRule="auto"/>
        <w:jc w:val="left"/>
        <w:outlineLvl w:val="1"/>
        <w:rPr>
          <w:rFonts w:hint="default" w:ascii="Times New Roman" w:hAnsi="Times New Roman" w:eastAsia="宋体" w:cs="Times New Roman"/>
          <w:b/>
          <w:bCs/>
          <w:color w:val="auto"/>
          <w:kern w:val="0"/>
          <w:sz w:val="32"/>
          <w:szCs w:val="32"/>
          <w:highlight w:val="none"/>
        </w:rPr>
      </w:pPr>
      <w:bookmarkStart w:id="53" w:name="_Toc30131"/>
      <w:bookmarkStart w:id="54" w:name="_Toc33691324"/>
      <w:r>
        <w:rPr>
          <w:rFonts w:hint="default" w:ascii="Times New Roman" w:hAnsi="Times New Roman" w:eastAsia="宋体" w:cs="Times New Roman"/>
          <w:b/>
          <w:bCs/>
          <w:color w:val="auto"/>
          <w:kern w:val="0"/>
          <w:sz w:val="32"/>
          <w:szCs w:val="32"/>
          <w:highlight w:val="none"/>
          <w:lang w:val="en-US" w:eastAsia="zh-CN"/>
        </w:rPr>
        <w:t xml:space="preserve">5 </w:t>
      </w:r>
      <w:r>
        <w:rPr>
          <w:rFonts w:hint="default" w:ascii="Times New Roman" w:hAnsi="Times New Roman" w:eastAsia="宋体" w:cs="Times New Roman"/>
          <w:b/>
          <w:bCs/>
          <w:color w:val="auto"/>
          <w:kern w:val="0"/>
          <w:sz w:val="32"/>
          <w:szCs w:val="32"/>
          <w:highlight w:val="none"/>
        </w:rPr>
        <w:t>环境风险识别</w:t>
      </w:r>
      <w:bookmarkEnd w:id="53"/>
      <w:bookmarkEnd w:id="54"/>
    </w:p>
    <w:p w14:paraId="002E28CC">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风险识别对象包括生产设施、所涉及物质、受影响的环境要素和环境保护目标。</w:t>
      </w:r>
    </w:p>
    <w:p w14:paraId="2ECEE5E9">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 xml:space="preserve">（1）物质风险识别包括主要原材料及辅助材料、燃料、中间产品、最终产品、“三废”污染物、火灾和爆炸等伴生/次生的危险物质。 </w:t>
      </w:r>
    </w:p>
    <w:p w14:paraId="3876161A">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 xml:space="preserve">（2）生产设施风险识别包括主要生产装置、贮运系统、公用工程系统、辅助生产设施及环境保护设施等。 </w:t>
      </w:r>
    </w:p>
    <w:p w14:paraId="0A96EFD9">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（3）受影响的环境要素识别应当根据有毒有害物质排放途径确定，如大气环境、水环境、土壤、生态环境等，明确受影响的环境保护目标。</w:t>
      </w:r>
    </w:p>
    <w:p w14:paraId="22078E8E">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（4）风险类型：根据有毒有害物质放散起因，分为火灾、爆炸和泄漏三种类型。</w:t>
      </w:r>
    </w:p>
    <w:p w14:paraId="045EDF35">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（5）危险源区域分布分析：按生产和储运系统，确定危险源点的范围和危险源区域的分布。按危险源潜在危险性、存在条件和触发因素进行危险性分析。</w:t>
      </w:r>
    </w:p>
    <w:p w14:paraId="6DE2DBDB">
      <w:pPr>
        <w:keepNext w:val="0"/>
        <w:keepLines w:val="0"/>
        <w:pageBreakBefore w:val="0"/>
        <w:widowControl/>
        <w:suppressLineNumbers w:val="0"/>
        <w:kinsoku/>
        <w:wordWrap/>
        <w:overflowPunct/>
        <w:topLinePunct w:val="0"/>
        <w:bidi w:val="0"/>
        <w:adjustRightInd w:val="0"/>
        <w:snapToGrid w:val="0"/>
        <w:spacing w:line="360" w:lineRule="auto"/>
        <w:jc w:val="both"/>
        <w:textAlignment w:val="auto"/>
        <w:outlineLvl w:val="2"/>
        <w:rPr>
          <w:rFonts w:hint="default" w:ascii="Times New Roman" w:hAnsi="Times New Roman" w:eastAsia="宋体" w:cs="Times New Roman"/>
          <w:b/>
          <w:bCs w:val="0"/>
          <w:color w:val="auto"/>
          <w:kern w:val="2"/>
          <w:sz w:val="30"/>
          <w:szCs w:val="30"/>
          <w:lang w:val="en-US" w:eastAsia="zh-CN"/>
        </w:rPr>
      </w:pPr>
      <w:bookmarkStart w:id="55" w:name="_Toc30060"/>
      <w:r>
        <w:rPr>
          <w:rFonts w:hint="default" w:ascii="Times New Roman" w:hAnsi="Times New Roman" w:eastAsia="宋体" w:cs="Times New Roman"/>
          <w:b/>
          <w:bCs w:val="0"/>
          <w:color w:val="auto"/>
          <w:kern w:val="2"/>
          <w:sz w:val="30"/>
          <w:szCs w:val="30"/>
          <w:lang w:val="en-US" w:eastAsia="zh-CN"/>
        </w:rPr>
        <w:t>5.1 风险识别内容</w:t>
      </w:r>
      <w:bookmarkEnd w:id="55"/>
    </w:p>
    <w:p w14:paraId="795809AE">
      <w:pPr>
        <w:keepNext w:val="0"/>
        <w:keepLines w:val="0"/>
        <w:pageBreakBefore w:val="0"/>
        <w:widowControl w:val="0"/>
        <w:kinsoku/>
        <w:wordWrap/>
        <w:overflowPunct/>
        <w:topLinePunct w:val="0"/>
        <w:autoSpaceDE w:val="0"/>
        <w:autoSpaceDN w:val="0"/>
        <w:bidi w:val="0"/>
        <w:adjustRightInd w:val="0"/>
        <w:snapToGrid w:val="0"/>
        <w:spacing w:beforeAutospacing="0" w:line="360" w:lineRule="auto"/>
        <w:ind w:firstLine="480" w:firstLineChars="200"/>
        <w:textAlignment w:val="auto"/>
        <w:outlineLvl w:val="9"/>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val="en-US" w:eastAsia="zh-CN"/>
        </w:rPr>
        <w:t xml:space="preserve">（1）物质危险性识别，包括主要原辅材料、燃料、中间产品、副产品、最终产品、污染物、火灾和爆炸伴生/次生物等。 </w:t>
      </w:r>
    </w:p>
    <w:p w14:paraId="0BF8989A">
      <w:pPr>
        <w:keepNext w:val="0"/>
        <w:keepLines w:val="0"/>
        <w:pageBreakBefore w:val="0"/>
        <w:widowControl w:val="0"/>
        <w:kinsoku/>
        <w:wordWrap/>
        <w:overflowPunct/>
        <w:topLinePunct w:val="0"/>
        <w:autoSpaceDE w:val="0"/>
        <w:autoSpaceDN w:val="0"/>
        <w:bidi w:val="0"/>
        <w:adjustRightInd w:val="0"/>
        <w:snapToGrid w:val="0"/>
        <w:spacing w:beforeAutospacing="0" w:line="360" w:lineRule="auto"/>
        <w:ind w:firstLine="480" w:firstLineChars="200"/>
        <w:textAlignment w:val="auto"/>
        <w:outlineLvl w:val="9"/>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val="en-US" w:eastAsia="zh-CN"/>
        </w:rPr>
        <w:t xml:space="preserve">（2）生产系统危险性识别，包括主要生产装置、储运设施、公用工程和辅助生产设施，以及环境保护设施等。 </w:t>
      </w:r>
    </w:p>
    <w:p w14:paraId="3F694D23">
      <w:pPr>
        <w:keepNext w:val="0"/>
        <w:keepLines w:val="0"/>
        <w:pageBreakBefore w:val="0"/>
        <w:widowControl w:val="0"/>
        <w:kinsoku/>
        <w:wordWrap/>
        <w:overflowPunct/>
        <w:topLinePunct w:val="0"/>
        <w:autoSpaceDE w:val="0"/>
        <w:autoSpaceDN w:val="0"/>
        <w:bidi w:val="0"/>
        <w:adjustRightInd w:val="0"/>
        <w:snapToGrid w:val="0"/>
        <w:spacing w:beforeAutospacing="0" w:line="360" w:lineRule="auto"/>
        <w:ind w:firstLine="480" w:firstLineChars="200"/>
        <w:textAlignment w:val="auto"/>
        <w:outlineLvl w:val="9"/>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val="en-US" w:eastAsia="zh-CN"/>
        </w:rPr>
        <w:t xml:space="preserve">（3）危险物质向环境转移的途径识别，包括分析危险物质特性及可能的环境风险类型，识别危险物质影响环境的途径，分析可能影响的环境敏感目标。 </w:t>
      </w:r>
    </w:p>
    <w:p w14:paraId="3ABC887C">
      <w:pPr>
        <w:keepNext w:val="0"/>
        <w:keepLines w:val="0"/>
        <w:pageBreakBefore w:val="0"/>
        <w:widowControl/>
        <w:suppressLineNumbers w:val="0"/>
        <w:kinsoku/>
        <w:wordWrap/>
        <w:overflowPunct/>
        <w:topLinePunct w:val="0"/>
        <w:bidi w:val="0"/>
        <w:adjustRightInd w:val="0"/>
        <w:snapToGrid w:val="0"/>
        <w:spacing w:line="360" w:lineRule="auto"/>
        <w:jc w:val="both"/>
        <w:textAlignment w:val="auto"/>
        <w:outlineLvl w:val="2"/>
        <w:rPr>
          <w:rFonts w:hint="default" w:ascii="Times New Roman" w:hAnsi="Times New Roman" w:eastAsia="宋体" w:cs="Times New Roman"/>
          <w:b/>
          <w:bCs w:val="0"/>
          <w:color w:val="auto"/>
          <w:kern w:val="2"/>
          <w:sz w:val="30"/>
          <w:szCs w:val="30"/>
          <w:lang w:val="en-US" w:eastAsia="zh-CN"/>
        </w:rPr>
      </w:pPr>
      <w:bookmarkStart w:id="56" w:name="_Toc15185"/>
      <w:r>
        <w:rPr>
          <w:rFonts w:hint="default" w:ascii="Times New Roman" w:hAnsi="Times New Roman" w:eastAsia="宋体" w:cs="Times New Roman"/>
          <w:b/>
          <w:bCs w:val="0"/>
          <w:color w:val="auto"/>
          <w:kern w:val="2"/>
          <w:sz w:val="30"/>
          <w:szCs w:val="30"/>
          <w:lang w:val="en-US" w:eastAsia="zh-CN"/>
        </w:rPr>
        <w:t>5.2物质危险性识别</w:t>
      </w:r>
      <w:bookmarkEnd w:id="56"/>
    </w:p>
    <w:p w14:paraId="30346BBF">
      <w:pPr>
        <w:keepNext w:val="0"/>
        <w:keepLines w:val="0"/>
        <w:pageBreakBefore w:val="0"/>
        <w:widowControl w:val="0"/>
        <w:kinsoku/>
        <w:wordWrap/>
        <w:overflowPunct/>
        <w:topLinePunct w:val="0"/>
        <w:autoSpaceDE w:val="0"/>
        <w:autoSpaceDN w:val="0"/>
        <w:bidi w:val="0"/>
        <w:adjustRightInd w:val="0"/>
        <w:snapToGrid w:val="0"/>
        <w:spacing w:beforeAutospacing="0" w:line="360" w:lineRule="auto"/>
        <w:ind w:firstLine="480" w:firstLineChars="200"/>
        <w:textAlignment w:val="auto"/>
        <w:outlineLvl w:val="9"/>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color w:val="auto"/>
          <w:kern w:val="0"/>
          <w:sz w:val="24"/>
          <w:lang w:eastAsia="zh-CN"/>
        </w:rPr>
        <w:t>对本项目主要原辅材料、燃料、中间产品、副产品、最终产品、污染物、火灾和爆炸伴/次生物的危险物质进行分析，根据《建设项目环境风险评价技术导则》</w:t>
      </w:r>
      <w:r>
        <w:rPr>
          <w:rFonts w:hint="eastAsia" w:cs="Times New Roman"/>
          <w:color w:val="auto"/>
          <w:kern w:val="0"/>
          <w:sz w:val="24"/>
          <w:lang w:eastAsia="zh-CN"/>
        </w:rPr>
        <w:t>（</w:t>
      </w:r>
      <w:r>
        <w:rPr>
          <w:rFonts w:hint="default" w:ascii="Times New Roman" w:hAnsi="Times New Roman" w:eastAsia="宋体" w:cs="Times New Roman"/>
          <w:color w:val="auto"/>
          <w:kern w:val="0"/>
          <w:sz w:val="24"/>
          <w:lang w:eastAsia="zh-CN"/>
        </w:rPr>
        <w:t>HJ169-2018</w:t>
      </w:r>
      <w:r>
        <w:rPr>
          <w:rFonts w:hint="default" w:ascii="Times New Roman" w:hAnsi="Times New Roman" w:cs="Times New Roman"/>
          <w:color w:val="auto"/>
          <w:kern w:val="0"/>
          <w:sz w:val="24"/>
          <w:lang w:eastAsia="zh-CN"/>
        </w:rPr>
        <w:t>）</w:t>
      </w:r>
      <w:r>
        <w:rPr>
          <w:rFonts w:hint="default" w:ascii="Times New Roman" w:hAnsi="Times New Roman" w:eastAsia="宋体" w:cs="Times New Roman"/>
          <w:color w:val="auto"/>
          <w:kern w:val="0"/>
          <w:sz w:val="24"/>
          <w:lang w:eastAsia="zh-CN"/>
        </w:rPr>
        <w:t>附录B</w:t>
      </w:r>
      <w:r>
        <w:rPr>
          <w:rFonts w:hint="default" w:ascii="Times New Roman" w:hAnsi="Times New Roman" w:cs="Times New Roman"/>
          <w:color w:val="auto"/>
          <w:kern w:val="0"/>
          <w:sz w:val="24"/>
          <w:lang w:val="en-US" w:eastAsia="zh-CN"/>
        </w:rPr>
        <w:t xml:space="preserve"> </w:t>
      </w:r>
      <w:r>
        <w:rPr>
          <w:rFonts w:hint="default" w:ascii="Times New Roman" w:hAnsi="Times New Roman" w:eastAsia="宋体" w:cs="Times New Roman"/>
          <w:color w:val="auto"/>
          <w:kern w:val="0"/>
          <w:sz w:val="24"/>
          <w:lang w:eastAsia="zh-CN"/>
        </w:rPr>
        <w:t>识别出本项目相关的有毒有害危险物质危险特性详见表7.2-6。</w:t>
      </w:r>
    </w:p>
    <w:p w14:paraId="773B1CB5">
      <w:pPr>
        <w:ind w:firstLine="480"/>
        <w:jc w:val="center"/>
        <w:rPr>
          <w:rFonts w:ascii="Times New Roman" w:hAnsi="Times New Roman" w:eastAsia="宋体" w:cs="Times New Roman"/>
          <w:b/>
          <w:color w:val="auto"/>
          <w:kern w:val="0"/>
          <w:sz w:val="24"/>
          <w:szCs w:val="24"/>
        </w:rPr>
      </w:pPr>
      <w:r>
        <w:rPr>
          <w:rFonts w:hint="default" w:ascii="Times New Roman" w:hAnsi="Times New Roman" w:eastAsia="宋体" w:cs="Times New Roman"/>
          <w:b/>
          <w:color w:val="auto"/>
          <w:kern w:val="0"/>
          <w:sz w:val="24"/>
          <w:szCs w:val="24"/>
        </w:rPr>
        <w:t>表</w:t>
      </w:r>
      <w:r>
        <w:rPr>
          <w:rFonts w:hint="default" w:ascii="Times New Roman" w:hAnsi="Times New Roman" w:cs="Times New Roman"/>
          <w:b/>
          <w:color w:val="auto"/>
          <w:kern w:val="0"/>
          <w:sz w:val="24"/>
          <w:szCs w:val="24"/>
          <w:lang w:val="en-US" w:eastAsia="zh-CN"/>
        </w:rPr>
        <w:t>5.2-1</w:t>
      </w:r>
      <w:r>
        <w:rPr>
          <w:rFonts w:ascii="Times New Roman" w:hAnsi="Times New Roman" w:eastAsia="宋体" w:cs="Times New Roman"/>
          <w:b/>
          <w:color w:val="auto"/>
          <w:kern w:val="0"/>
          <w:sz w:val="24"/>
          <w:szCs w:val="24"/>
        </w:rPr>
        <w:t xml:space="preserve"> </w:t>
      </w:r>
      <w:r>
        <w:rPr>
          <w:rFonts w:hint="default" w:ascii="Times New Roman" w:hAnsi="Times New Roman" w:eastAsia="宋体" w:cs="Times New Roman"/>
          <w:b/>
          <w:color w:val="auto"/>
          <w:kern w:val="0"/>
          <w:sz w:val="24"/>
          <w:szCs w:val="24"/>
        </w:rPr>
        <w:t>本项目危险物质有毒有害危险特性一览表</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35"/>
        <w:gridCol w:w="2697"/>
        <w:gridCol w:w="5149"/>
      </w:tblGrid>
      <w:tr w14:paraId="179F7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4" w:type="dxa"/>
            <w:shd w:val="clear" w:color="auto" w:fill="auto"/>
            <w:noWrap w:val="0"/>
            <w:vAlign w:val="center"/>
          </w:tcPr>
          <w:p w14:paraId="7EEE3CC0">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1559" w:type="dxa"/>
            <w:shd w:val="clear" w:color="auto" w:fill="auto"/>
            <w:noWrap w:val="0"/>
            <w:vAlign w:val="center"/>
          </w:tcPr>
          <w:p w14:paraId="20EE6E35">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分类</w:t>
            </w:r>
          </w:p>
        </w:tc>
        <w:tc>
          <w:tcPr>
            <w:tcW w:w="2977" w:type="dxa"/>
            <w:shd w:val="clear" w:color="auto" w:fill="auto"/>
            <w:noWrap w:val="0"/>
            <w:vAlign w:val="center"/>
          </w:tcPr>
          <w:p w14:paraId="2782606A">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危险物质</w:t>
            </w:r>
          </w:p>
        </w:tc>
      </w:tr>
      <w:tr w14:paraId="3CE31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4" w:type="dxa"/>
            <w:shd w:val="clear" w:color="auto" w:fill="auto"/>
            <w:noWrap w:val="0"/>
            <w:vAlign w:val="center"/>
          </w:tcPr>
          <w:p w14:paraId="79268BA9">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559" w:type="dxa"/>
            <w:shd w:val="clear" w:color="auto" w:fill="auto"/>
            <w:noWrap w:val="0"/>
            <w:vAlign w:val="center"/>
          </w:tcPr>
          <w:p w14:paraId="6439A5CF">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原辅材料</w:t>
            </w:r>
          </w:p>
        </w:tc>
        <w:tc>
          <w:tcPr>
            <w:tcW w:w="2977" w:type="dxa"/>
            <w:shd w:val="clear" w:color="auto" w:fill="auto"/>
            <w:noWrap w:val="0"/>
            <w:vAlign w:val="center"/>
          </w:tcPr>
          <w:p w14:paraId="012DF179">
            <w:pPr>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硫酸铵、液压油</w:t>
            </w:r>
          </w:p>
        </w:tc>
      </w:tr>
      <w:tr w14:paraId="41F5B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4" w:type="dxa"/>
            <w:shd w:val="clear" w:color="auto" w:fill="auto"/>
            <w:noWrap w:val="0"/>
            <w:vAlign w:val="center"/>
          </w:tcPr>
          <w:p w14:paraId="7DC99FC2">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559" w:type="dxa"/>
            <w:shd w:val="clear" w:color="auto" w:fill="auto"/>
            <w:noWrap w:val="0"/>
            <w:vAlign w:val="center"/>
          </w:tcPr>
          <w:p w14:paraId="33CEFA2A">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燃料</w:t>
            </w:r>
          </w:p>
        </w:tc>
        <w:tc>
          <w:tcPr>
            <w:tcW w:w="2977" w:type="dxa"/>
            <w:shd w:val="clear" w:color="auto" w:fill="auto"/>
            <w:noWrap w:val="0"/>
            <w:vAlign w:val="center"/>
          </w:tcPr>
          <w:p w14:paraId="24B32EF4">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天然气</w:t>
            </w:r>
          </w:p>
        </w:tc>
      </w:tr>
      <w:tr w14:paraId="6EC30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4" w:type="dxa"/>
            <w:shd w:val="clear" w:color="auto" w:fill="auto"/>
            <w:noWrap w:val="0"/>
            <w:vAlign w:val="center"/>
          </w:tcPr>
          <w:p w14:paraId="7EBD6E09">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1559" w:type="dxa"/>
            <w:shd w:val="clear" w:color="auto" w:fill="auto"/>
            <w:noWrap w:val="0"/>
            <w:vAlign w:val="center"/>
          </w:tcPr>
          <w:p w14:paraId="0D6020B3">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副产品</w:t>
            </w:r>
          </w:p>
        </w:tc>
        <w:tc>
          <w:tcPr>
            <w:tcW w:w="2977" w:type="dxa"/>
            <w:shd w:val="clear" w:color="auto" w:fill="auto"/>
            <w:noWrap w:val="0"/>
            <w:vAlign w:val="center"/>
          </w:tcPr>
          <w:p w14:paraId="49579EFB">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77604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4" w:type="dxa"/>
            <w:shd w:val="clear" w:color="auto" w:fill="auto"/>
            <w:noWrap w:val="0"/>
            <w:vAlign w:val="center"/>
          </w:tcPr>
          <w:p w14:paraId="6F794BEE">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1559" w:type="dxa"/>
            <w:shd w:val="clear" w:color="auto" w:fill="auto"/>
            <w:noWrap w:val="0"/>
            <w:vAlign w:val="center"/>
          </w:tcPr>
          <w:p w14:paraId="33546562">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中间产品</w:t>
            </w:r>
          </w:p>
        </w:tc>
        <w:tc>
          <w:tcPr>
            <w:tcW w:w="2977" w:type="dxa"/>
            <w:shd w:val="clear" w:color="auto" w:fill="auto"/>
            <w:noWrap w:val="0"/>
            <w:vAlign w:val="center"/>
          </w:tcPr>
          <w:p w14:paraId="148A99B7">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45BE9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4" w:type="dxa"/>
            <w:shd w:val="clear" w:color="auto" w:fill="auto"/>
            <w:noWrap w:val="0"/>
            <w:vAlign w:val="center"/>
          </w:tcPr>
          <w:p w14:paraId="0234BA94">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1559" w:type="dxa"/>
            <w:shd w:val="clear" w:color="auto" w:fill="auto"/>
            <w:noWrap w:val="0"/>
            <w:vAlign w:val="center"/>
          </w:tcPr>
          <w:p w14:paraId="6D5635CB">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最终产品</w:t>
            </w:r>
          </w:p>
        </w:tc>
        <w:tc>
          <w:tcPr>
            <w:tcW w:w="2977" w:type="dxa"/>
            <w:shd w:val="clear" w:color="auto" w:fill="auto"/>
            <w:noWrap w:val="0"/>
            <w:vAlign w:val="center"/>
          </w:tcPr>
          <w:p w14:paraId="47CCB73B">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1EABE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4" w:type="dxa"/>
            <w:shd w:val="clear" w:color="auto" w:fill="auto"/>
            <w:noWrap w:val="0"/>
            <w:vAlign w:val="center"/>
          </w:tcPr>
          <w:p w14:paraId="2FD91A50">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c>
          <w:tcPr>
            <w:tcW w:w="1559" w:type="dxa"/>
            <w:shd w:val="clear" w:color="auto" w:fill="auto"/>
            <w:noWrap w:val="0"/>
            <w:vAlign w:val="center"/>
          </w:tcPr>
          <w:p w14:paraId="62FE993D">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w:t>
            </w:r>
          </w:p>
        </w:tc>
        <w:tc>
          <w:tcPr>
            <w:tcW w:w="2977" w:type="dxa"/>
            <w:shd w:val="clear" w:color="auto" w:fill="auto"/>
            <w:noWrap w:val="0"/>
            <w:vAlign w:val="center"/>
          </w:tcPr>
          <w:p w14:paraId="0CC8707E">
            <w:pPr>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氨气</w:t>
            </w:r>
            <w:r>
              <w:rPr>
                <w:rFonts w:hint="eastAsia" w:cs="Times New Roman"/>
                <w:color w:val="auto"/>
                <w:sz w:val="21"/>
                <w:szCs w:val="21"/>
                <w:lang w:val="en-US" w:eastAsia="zh-CN"/>
              </w:rPr>
              <w:t>、水喷淋废水</w:t>
            </w:r>
          </w:p>
        </w:tc>
      </w:tr>
      <w:tr w14:paraId="0E08A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4" w:type="dxa"/>
            <w:shd w:val="clear" w:color="auto" w:fill="auto"/>
            <w:noWrap w:val="0"/>
            <w:vAlign w:val="center"/>
          </w:tcPr>
          <w:p w14:paraId="15B0382C">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w:t>
            </w:r>
          </w:p>
        </w:tc>
        <w:tc>
          <w:tcPr>
            <w:tcW w:w="1559" w:type="dxa"/>
            <w:shd w:val="clear" w:color="auto" w:fill="auto"/>
            <w:noWrap w:val="0"/>
            <w:vAlign w:val="center"/>
          </w:tcPr>
          <w:p w14:paraId="77DA6836">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火灾和爆炸伴生/次生物等</w:t>
            </w:r>
          </w:p>
        </w:tc>
        <w:tc>
          <w:tcPr>
            <w:tcW w:w="2977" w:type="dxa"/>
            <w:shd w:val="clear" w:color="auto" w:fill="auto"/>
            <w:noWrap w:val="0"/>
            <w:vAlign w:val="center"/>
          </w:tcPr>
          <w:p w14:paraId="5DC3D5E7">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w:t>
            </w:r>
            <w:r>
              <w:rPr>
                <w:rFonts w:ascii="Times New Roman" w:hAnsi="Times New Roman" w:cs="Times New Roman"/>
                <w:color w:val="auto"/>
                <w:sz w:val="21"/>
                <w:szCs w:val="21"/>
              </w:rPr>
              <w:t>O</w:t>
            </w:r>
          </w:p>
        </w:tc>
      </w:tr>
      <w:tr w14:paraId="6216B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4" w:type="dxa"/>
            <w:shd w:val="clear" w:color="auto" w:fill="auto"/>
            <w:noWrap w:val="0"/>
            <w:vAlign w:val="center"/>
          </w:tcPr>
          <w:p w14:paraId="2E06D043">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w:t>
            </w:r>
          </w:p>
        </w:tc>
        <w:tc>
          <w:tcPr>
            <w:tcW w:w="1559" w:type="dxa"/>
            <w:shd w:val="clear" w:color="auto" w:fill="auto"/>
            <w:noWrap w:val="0"/>
            <w:vAlign w:val="center"/>
          </w:tcPr>
          <w:p w14:paraId="68A29434">
            <w:pPr>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危险废物</w:t>
            </w:r>
          </w:p>
        </w:tc>
        <w:tc>
          <w:tcPr>
            <w:tcW w:w="2977" w:type="dxa"/>
            <w:shd w:val="clear" w:color="auto" w:fill="auto"/>
            <w:noWrap w:val="0"/>
            <w:vAlign w:val="center"/>
          </w:tcPr>
          <w:p w14:paraId="41411071">
            <w:pPr>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bl>
    <w:p w14:paraId="228CEA8F">
      <w:pPr>
        <w:pStyle w:val="79"/>
        <w:keepNext w:val="0"/>
        <w:keepLines w:val="0"/>
        <w:pageBreakBefore w:val="0"/>
        <w:widowControl w:val="0"/>
        <w:kinsoku/>
        <w:wordWrap/>
        <w:overflowPunct/>
        <w:topLinePunct w:val="0"/>
        <w:autoSpaceDE/>
        <w:autoSpaceDN/>
        <w:bidi w:val="0"/>
        <w:adjustRightInd w:val="0"/>
        <w:snapToGrid w:val="0"/>
        <w:spacing w:beforeAutospacing="0" w:after="0" w:line="360" w:lineRule="auto"/>
        <w:ind w:left="0" w:leftChars="0" w:firstLine="0" w:firstLineChars="0"/>
        <w:jc w:val="center"/>
        <w:textAlignment w:val="auto"/>
        <w:outlineLvl w:val="9"/>
        <w:rPr>
          <w:rFonts w:hint="default" w:ascii="Times New Roman" w:hAnsi="Times New Roman" w:eastAsia="宋体" w:cs="Times New Roman"/>
          <w:b/>
          <w:bCs w:val="0"/>
          <w:color w:val="auto"/>
          <w:sz w:val="24"/>
          <w:szCs w:val="24"/>
          <w:lang w:val="en-US" w:eastAsia="zh-CN"/>
        </w:rPr>
      </w:pPr>
      <w:r>
        <w:rPr>
          <w:rFonts w:hint="default" w:ascii="Times New Roman" w:hAnsi="Times New Roman" w:eastAsia="宋体" w:cs="Times New Roman"/>
          <w:b/>
          <w:bCs w:val="0"/>
          <w:color w:val="auto"/>
          <w:kern w:val="0"/>
          <w:sz w:val="24"/>
          <w:szCs w:val="24"/>
          <w:lang w:val="en-US" w:eastAsia="zh-CN"/>
        </w:rPr>
        <w:t>表5.2-</w:t>
      </w:r>
      <w:r>
        <w:rPr>
          <w:rFonts w:hint="default" w:ascii="Times New Roman" w:hAnsi="Times New Roman" w:cs="Times New Roman"/>
          <w:b/>
          <w:bCs w:val="0"/>
          <w:color w:val="auto"/>
          <w:kern w:val="0"/>
          <w:sz w:val="24"/>
          <w:szCs w:val="24"/>
          <w:lang w:val="en-US" w:eastAsia="zh-CN"/>
        </w:rPr>
        <w:t>2</w:t>
      </w:r>
      <w:r>
        <w:rPr>
          <w:rFonts w:hint="default" w:ascii="Times New Roman" w:hAnsi="Times New Roman" w:eastAsia="宋体" w:cs="Times New Roman"/>
          <w:b/>
          <w:bCs w:val="0"/>
          <w:color w:val="auto"/>
          <w:kern w:val="0"/>
          <w:sz w:val="24"/>
          <w:szCs w:val="24"/>
          <w:lang w:val="en-US" w:eastAsia="zh-CN"/>
        </w:rPr>
        <w:t xml:space="preserve"> 原料主要危化品性质和毒理性</w:t>
      </w:r>
    </w:p>
    <w:tbl>
      <w:tblPr>
        <w:tblStyle w:val="8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3"/>
        <w:gridCol w:w="761"/>
        <w:gridCol w:w="635"/>
        <w:gridCol w:w="679"/>
        <w:gridCol w:w="679"/>
        <w:gridCol w:w="679"/>
        <w:gridCol w:w="1721"/>
        <w:gridCol w:w="2061"/>
        <w:gridCol w:w="791"/>
        <w:gridCol w:w="791"/>
      </w:tblGrid>
      <w:tr w14:paraId="7251C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501" w:type="dxa"/>
            <w:vMerge w:val="restart"/>
            <w:noWrap w:val="0"/>
            <w:vAlign w:val="center"/>
          </w:tcPr>
          <w:p w14:paraId="6193AF76">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序号</w:t>
            </w:r>
          </w:p>
        </w:tc>
        <w:tc>
          <w:tcPr>
            <w:tcW w:w="789" w:type="dxa"/>
            <w:vMerge w:val="restart"/>
            <w:noWrap w:val="0"/>
            <w:vAlign w:val="center"/>
          </w:tcPr>
          <w:p w14:paraId="78510530">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物质名称</w:t>
            </w:r>
          </w:p>
        </w:tc>
        <w:tc>
          <w:tcPr>
            <w:tcW w:w="658" w:type="dxa"/>
            <w:vMerge w:val="restart"/>
            <w:noWrap w:val="0"/>
            <w:vAlign w:val="center"/>
          </w:tcPr>
          <w:p w14:paraId="2AB3E750">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相态</w:t>
            </w:r>
          </w:p>
        </w:tc>
        <w:tc>
          <w:tcPr>
            <w:tcW w:w="6034" w:type="dxa"/>
            <w:gridSpan w:val="5"/>
            <w:noWrap w:val="0"/>
            <w:vAlign w:val="center"/>
          </w:tcPr>
          <w:p w14:paraId="67459B89">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易燃、易爆性</w:t>
            </w:r>
          </w:p>
        </w:tc>
        <w:tc>
          <w:tcPr>
            <w:tcW w:w="1642" w:type="dxa"/>
            <w:gridSpan w:val="2"/>
            <w:noWrap w:val="0"/>
            <w:vAlign w:val="center"/>
          </w:tcPr>
          <w:p w14:paraId="45DE9D66">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毒性</w:t>
            </w:r>
          </w:p>
        </w:tc>
      </w:tr>
      <w:tr w14:paraId="513D4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1" w:type="dxa"/>
            <w:vMerge w:val="continue"/>
            <w:noWrap w:val="0"/>
            <w:vAlign w:val="top"/>
          </w:tcPr>
          <w:p w14:paraId="1D350114">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textAlignment w:val="auto"/>
              <w:outlineLvl w:val="9"/>
              <w:rPr>
                <w:rFonts w:hint="default" w:ascii="Times New Roman" w:hAnsi="Times New Roman" w:eastAsia="宋体" w:cs="Times New Roman"/>
                <w:color w:val="auto"/>
                <w:sz w:val="21"/>
                <w:szCs w:val="21"/>
                <w:highlight w:val="none"/>
                <w:vertAlign w:val="baseline"/>
                <w:lang w:val="en-US" w:eastAsia="zh-CN"/>
              </w:rPr>
            </w:pPr>
          </w:p>
        </w:tc>
        <w:tc>
          <w:tcPr>
            <w:tcW w:w="789" w:type="dxa"/>
            <w:vMerge w:val="continue"/>
            <w:noWrap w:val="0"/>
            <w:vAlign w:val="top"/>
          </w:tcPr>
          <w:p w14:paraId="4A4C8961">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textAlignment w:val="auto"/>
              <w:outlineLvl w:val="9"/>
              <w:rPr>
                <w:rFonts w:hint="default" w:ascii="Times New Roman" w:hAnsi="Times New Roman" w:eastAsia="宋体" w:cs="Times New Roman"/>
                <w:color w:val="auto"/>
                <w:sz w:val="21"/>
                <w:szCs w:val="21"/>
                <w:highlight w:val="none"/>
                <w:vertAlign w:val="baseline"/>
                <w:lang w:val="en-US" w:eastAsia="zh-CN"/>
              </w:rPr>
            </w:pPr>
          </w:p>
        </w:tc>
        <w:tc>
          <w:tcPr>
            <w:tcW w:w="658" w:type="dxa"/>
            <w:vMerge w:val="continue"/>
            <w:noWrap w:val="0"/>
            <w:vAlign w:val="top"/>
          </w:tcPr>
          <w:p w14:paraId="471ACC7F">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textAlignment w:val="auto"/>
              <w:outlineLvl w:val="9"/>
              <w:rPr>
                <w:rFonts w:hint="default" w:ascii="Times New Roman" w:hAnsi="Times New Roman" w:eastAsia="宋体" w:cs="Times New Roman"/>
                <w:color w:val="auto"/>
                <w:sz w:val="21"/>
                <w:szCs w:val="21"/>
                <w:highlight w:val="none"/>
                <w:vertAlign w:val="baseline"/>
                <w:lang w:val="en-US" w:eastAsia="zh-CN"/>
              </w:rPr>
            </w:pPr>
          </w:p>
        </w:tc>
        <w:tc>
          <w:tcPr>
            <w:tcW w:w="704" w:type="dxa"/>
            <w:noWrap w:val="0"/>
            <w:vAlign w:val="center"/>
          </w:tcPr>
          <w:p w14:paraId="56FFB25E">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燃点℃</w:t>
            </w:r>
          </w:p>
        </w:tc>
        <w:tc>
          <w:tcPr>
            <w:tcW w:w="704" w:type="dxa"/>
            <w:noWrap w:val="0"/>
            <w:vAlign w:val="center"/>
          </w:tcPr>
          <w:p w14:paraId="6DF50923">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闪点℃</w:t>
            </w:r>
          </w:p>
        </w:tc>
        <w:tc>
          <w:tcPr>
            <w:tcW w:w="704" w:type="dxa"/>
            <w:noWrap w:val="0"/>
            <w:vAlign w:val="center"/>
          </w:tcPr>
          <w:p w14:paraId="25E94D3F">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沸点℃</w:t>
            </w:r>
          </w:p>
        </w:tc>
        <w:tc>
          <w:tcPr>
            <w:tcW w:w="1785" w:type="dxa"/>
            <w:noWrap w:val="0"/>
            <w:vAlign w:val="center"/>
          </w:tcPr>
          <w:p w14:paraId="4B390F33">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爆炸极限</w:t>
            </w:r>
          </w:p>
        </w:tc>
        <w:tc>
          <w:tcPr>
            <w:tcW w:w="2137" w:type="dxa"/>
            <w:noWrap w:val="0"/>
            <w:vAlign w:val="center"/>
          </w:tcPr>
          <w:p w14:paraId="36840DA9">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危险特性</w:t>
            </w:r>
          </w:p>
        </w:tc>
        <w:tc>
          <w:tcPr>
            <w:tcW w:w="821" w:type="dxa"/>
            <w:noWrap w:val="0"/>
            <w:vAlign w:val="center"/>
          </w:tcPr>
          <w:p w14:paraId="0E888468">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LD</w:t>
            </w:r>
            <w:r>
              <w:rPr>
                <w:rFonts w:hint="default" w:ascii="Times New Roman" w:hAnsi="Times New Roman" w:eastAsia="宋体" w:cs="Times New Roman"/>
                <w:color w:val="auto"/>
                <w:sz w:val="21"/>
                <w:szCs w:val="21"/>
                <w:highlight w:val="none"/>
                <w:vertAlign w:val="subscript"/>
                <w:lang w:val="en-US" w:eastAsia="zh-CN"/>
              </w:rPr>
              <w:t>50</w:t>
            </w:r>
          </w:p>
          <w:p w14:paraId="7342242D">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mg/kg</w:t>
            </w:r>
          </w:p>
        </w:tc>
        <w:tc>
          <w:tcPr>
            <w:tcW w:w="821" w:type="dxa"/>
            <w:noWrap w:val="0"/>
            <w:vAlign w:val="center"/>
          </w:tcPr>
          <w:p w14:paraId="7FF16EDE">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毒性分级</w:t>
            </w:r>
          </w:p>
        </w:tc>
      </w:tr>
      <w:tr w14:paraId="201ED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1" w:type="dxa"/>
            <w:noWrap w:val="0"/>
            <w:vAlign w:val="center"/>
          </w:tcPr>
          <w:p w14:paraId="0DBA8C35">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p>
        </w:tc>
        <w:tc>
          <w:tcPr>
            <w:tcW w:w="789" w:type="dxa"/>
            <w:noWrap w:val="0"/>
            <w:vAlign w:val="center"/>
          </w:tcPr>
          <w:p w14:paraId="54244313">
            <w:pPr>
              <w:pStyle w:val="67"/>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mallCaps/>
                <w:color w:val="auto"/>
                <w:kern w:val="0"/>
                <w:sz w:val="21"/>
                <w:szCs w:val="21"/>
                <w:highlight w:val="none"/>
                <w:vertAlign w:val="baseline"/>
                <w:lang w:val="en-US" w:eastAsia="zh-CN" w:bidi="ar-SA"/>
              </w:rPr>
            </w:pPr>
            <w:r>
              <w:rPr>
                <w:rFonts w:hint="default" w:ascii="Times New Roman" w:hAnsi="Times New Roman" w:cs="Times New Roman"/>
                <w:color w:val="auto"/>
                <w:sz w:val="21"/>
                <w:szCs w:val="21"/>
                <w:highlight w:val="none"/>
                <w:lang w:val="en-US" w:eastAsia="zh-CN"/>
              </w:rPr>
              <w:t>天然气</w:t>
            </w:r>
          </w:p>
        </w:tc>
        <w:tc>
          <w:tcPr>
            <w:tcW w:w="658" w:type="dxa"/>
            <w:noWrap w:val="0"/>
            <w:vAlign w:val="center"/>
          </w:tcPr>
          <w:p w14:paraId="46A84036">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气体</w:t>
            </w:r>
          </w:p>
        </w:tc>
        <w:tc>
          <w:tcPr>
            <w:tcW w:w="704" w:type="dxa"/>
            <w:noWrap w:val="0"/>
            <w:vAlign w:val="center"/>
          </w:tcPr>
          <w:p w14:paraId="2F726D8D">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538</w:t>
            </w:r>
          </w:p>
        </w:tc>
        <w:tc>
          <w:tcPr>
            <w:tcW w:w="704" w:type="dxa"/>
            <w:noWrap w:val="0"/>
            <w:vAlign w:val="center"/>
          </w:tcPr>
          <w:p w14:paraId="42C278A7">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ascii="Times New Roman" w:hAnsi="Times New Roman" w:cs="Times New Roman"/>
                <w:color w:val="auto"/>
                <w:highlight w:val="none"/>
              </w:rPr>
              <w:t>-188</w:t>
            </w:r>
          </w:p>
        </w:tc>
        <w:tc>
          <w:tcPr>
            <w:tcW w:w="704" w:type="dxa"/>
            <w:noWrap w:val="0"/>
            <w:vAlign w:val="center"/>
          </w:tcPr>
          <w:p w14:paraId="2F1E3980">
            <w:pPr>
              <w:pStyle w:val="67"/>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mallCaps/>
                <w:color w:val="auto"/>
                <w:kern w:val="0"/>
                <w:sz w:val="21"/>
                <w:szCs w:val="21"/>
                <w:highlight w:val="none"/>
                <w:vertAlign w:val="baseline"/>
                <w:lang w:val="en-US" w:eastAsia="zh-CN" w:bidi="ar-SA"/>
              </w:rPr>
            </w:pPr>
            <w:r>
              <w:rPr>
                <w:rFonts w:ascii="Times New Roman" w:hAnsi="Times New Roman" w:cs="Times New Roman"/>
                <w:color w:val="auto"/>
                <w:highlight w:val="none"/>
              </w:rPr>
              <w:t>-161.5</w:t>
            </w:r>
          </w:p>
        </w:tc>
        <w:tc>
          <w:tcPr>
            <w:tcW w:w="1785" w:type="dxa"/>
            <w:noWrap w:val="0"/>
            <w:vAlign w:val="center"/>
          </w:tcPr>
          <w:p w14:paraId="5A589953">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爆炸上</w:t>
            </w:r>
            <w:r>
              <w:rPr>
                <w:rFonts w:ascii="Times New Roman" w:hAnsi="Times New Roman" w:cs="Times New Roman"/>
                <w:color w:val="auto"/>
                <w:szCs w:val="21"/>
                <w:highlight w:val="none"/>
              </w:rPr>
              <w:t>限（V/V）</w:t>
            </w:r>
            <w:r>
              <w:rPr>
                <w:rFonts w:hint="default" w:ascii="Times New Roman" w:hAnsi="Times New Roman" w:cs="Times New Roman"/>
                <w:color w:val="auto"/>
                <w:sz w:val="21"/>
                <w:szCs w:val="21"/>
                <w:highlight w:val="none"/>
                <w:vertAlign w:val="baseline"/>
                <w:lang w:val="en-US" w:eastAsia="zh-CN"/>
              </w:rPr>
              <w:t>：15%；爆炸下</w:t>
            </w:r>
            <w:r>
              <w:rPr>
                <w:rFonts w:ascii="Times New Roman" w:hAnsi="Times New Roman" w:cs="Times New Roman"/>
                <w:color w:val="auto"/>
                <w:szCs w:val="21"/>
                <w:highlight w:val="none"/>
              </w:rPr>
              <w:t>限（V/V）</w:t>
            </w:r>
            <w:r>
              <w:rPr>
                <w:rFonts w:hint="default" w:ascii="Times New Roman" w:hAnsi="Times New Roman" w:cs="Times New Roman"/>
                <w:color w:val="auto"/>
                <w:sz w:val="21"/>
                <w:szCs w:val="21"/>
                <w:highlight w:val="none"/>
                <w:vertAlign w:val="baseline"/>
                <w:lang w:val="en-US" w:eastAsia="zh-CN"/>
              </w:rPr>
              <w:t>：5.3%</w:t>
            </w:r>
          </w:p>
        </w:tc>
        <w:tc>
          <w:tcPr>
            <w:tcW w:w="2137" w:type="dxa"/>
            <w:noWrap w:val="0"/>
            <w:vAlign w:val="center"/>
          </w:tcPr>
          <w:p w14:paraId="38B8EAFE">
            <w:pPr>
              <w:pStyle w:val="67"/>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smallCaps/>
                <w:color w:val="auto"/>
                <w:kern w:val="0"/>
                <w:sz w:val="21"/>
                <w:szCs w:val="21"/>
                <w:highlight w:val="none"/>
                <w:vertAlign w:val="baseline"/>
                <w:lang w:val="en-US" w:eastAsia="zh-CN" w:bidi="ar-SA"/>
              </w:rPr>
            </w:pPr>
            <w:r>
              <w:rPr>
                <w:rFonts w:ascii="Times New Roman" w:hAnsi="Times New Roman" w:cs="Times New Roman"/>
                <w:color w:val="auto"/>
                <w:highlight w:val="none"/>
              </w:rPr>
              <w:t>易燃，与空气混合能形成爆炸性混合物，遇热源和明火有燃烧爆炸的危险。与五氧化溴、氯气、次氯酸、三氟化氮、液氧、二氟化氧</w:t>
            </w:r>
            <w:r>
              <w:rPr>
                <w:rFonts w:hint="default" w:ascii="Times New Roman" w:hAnsi="Times New Roman" w:cs="Times New Roman"/>
                <w:color w:val="auto"/>
                <w:highlight w:val="none"/>
                <w:lang w:eastAsia="zh-CN"/>
              </w:rPr>
              <w:t>及其他</w:t>
            </w:r>
            <w:r>
              <w:rPr>
                <w:rFonts w:ascii="Times New Roman" w:hAnsi="Times New Roman" w:cs="Times New Roman"/>
                <w:color w:val="auto"/>
                <w:highlight w:val="none"/>
              </w:rPr>
              <w:t>强氧化剂接触剧烈反应</w:t>
            </w:r>
          </w:p>
        </w:tc>
        <w:tc>
          <w:tcPr>
            <w:tcW w:w="821" w:type="dxa"/>
            <w:noWrap w:val="0"/>
            <w:vAlign w:val="center"/>
          </w:tcPr>
          <w:p w14:paraId="71A616F3">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w:t>
            </w:r>
          </w:p>
        </w:tc>
        <w:tc>
          <w:tcPr>
            <w:tcW w:w="821" w:type="dxa"/>
            <w:noWrap w:val="0"/>
            <w:vAlign w:val="center"/>
          </w:tcPr>
          <w:p w14:paraId="004944C6">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w:t>
            </w:r>
          </w:p>
        </w:tc>
      </w:tr>
      <w:tr w14:paraId="1C6A3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1" w:type="dxa"/>
            <w:noWrap w:val="0"/>
            <w:vAlign w:val="center"/>
          </w:tcPr>
          <w:p w14:paraId="7475B230">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w:t>
            </w:r>
          </w:p>
        </w:tc>
        <w:tc>
          <w:tcPr>
            <w:tcW w:w="789" w:type="dxa"/>
            <w:noWrap w:val="0"/>
            <w:vAlign w:val="center"/>
          </w:tcPr>
          <w:p w14:paraId="024B9420">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硫酸铵</w:t>
            </w:r>
          </w:p>
        </w:tc>
        <w:tc>
          <w:tcPr>
            <w:tcW w:w="658" w:type="dxa"/>
            <w:noWrap w:val="0"/>
            <w:vAlign w:val="center"/>
          </w:tcPr>
          <w:p w14:paraId="0F229902">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固体</w:t>
            </w:r>
          </w:p>
        </w:tc>
        <w:tc>
          <w:tcPr>
            <w:tcW w:w="704" w:type="dxa"/>
            <w:noWrap w:val="0"/>
            <w:vAlign w:val="center"/>
          </w:tcPr>
          <w:p w14:paraId="27613107">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w:t>
            </w:r>
          </w:p>
        </w:tc>
        <w:tc>
          <w:tcPr>
            <w:tcW w:w="704" w:type="dxa"/>
            <w:noWrap w:val="0"/>
            <w:vAlign w:val="center"/>
          </w:tcPr>
          <w:p w14:paraId="5C791C3B">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w:t>
            </w:r>
          </w:p>
        </w:tc>
        <w:tc>
          <w:tcPr>
            <w:tcW w:w="704" w:type="dxa"/>
            <w:noWrap w:val="0"/>
            <w:vAlign w:val="center"/>
          </w:tcPr>
          <w:p w14:paraId="6DB42FDE">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highlight w:val="none"/>
                <w:lang w:val="en-US" w:eastAsia="zh-CN"/>
              </w:rPr>
              <w:t>280</w:t>
            </w:r>
          </w:p>
        </w:tc>
        <w:tc>
          <w:tcPr>
            <w:tcW w:w="1785" w:type="dxa"/>
            <w:noWrap w:val="0"/>
            <w:vAlign w:val="center"/>
          </w:tcPr>
          <w:p w14:paraId="1EAE9019">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w:t>
            </w:r>
          </w:p>
        </w:tc>
        <w:tc>
          <w:tcPr>
            <w:tcW w:w="2137" w:type="dxa"/>
            <w:noWrap w:val="0"/>
            <w:vAlign w:val="center"/>
          </w:tcPr>
          <w:p w14:paraId="2DF2CA79">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有吸湿性，吸湿后固结成块。加热到513℃以上完全分解成氨气、氮气、二氧化硫及水。与碱类作用则放出氨气。与氯化钡溶液反应生成硫酸钡沉淀</w:t>
            </w:r>
          </w:p>
        </w:tc>
        <w:tc>
          <w:tcPr>
            <w:tcW w:w="821" w:type="dxa"/>
            <w:noWrap w:val="0"/>
            <w:vAlign w:val="center"/>
          </w:tcPr>
          <w:p w14:paraId="21417A90">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w:t>
            </w:r>
          </w:p>
        </w:tc>
        <w:tc>
          <w:tcPr>
            <w:tcW w:w="821" w:type="dxa"/>
            <w:noWrap w:val="0"/>
            <w:vAlign w:val="center"/>
          </w:tcPr>
          <w:p w14:paraId="5246CD85">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有毒</w:t>
            </w:r>
          </w:p>
        </w:tc>
      </w:tr>
      <w:tr w14:paraId="3CB9C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1" w:type="dxa"/>
            <w:noWrap w:val="0"/>
            <w:vAlign w:val="center"/>
          </w:tcPr>
          <w:p w14:paraId="043B2A5A">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3</w:t>
            </w:r>
          </w:p>
        </w:tc>
        <w:tc>
          <w:tcPr>
            <w:tcW w:w="789" w:type="dxa"/>
            <w:noWrap w:val="0"/>
            <w:vAlign w:val="center"/>
          </w:tcPr>
          <w:p w14:paraId="3E63D7E2">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液压油</w:t>
            </w:r>
          </w:p>
        </w:tc>
        <w:tc>
          <w:tcPr>
            <w:tcW w:w="658" w:type="dxa"/>
            <w:noWrap w:val="0"/>
            <w:vAlign w:val="center"/>
          </w:tcPr>
          <w:p w14:paraId="5F269F7A">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液体</w:t>
            </w:r>
          </w:p>
        </w:tc>
        <w:tc>
          <w:tcPr>
            <w:tcW w:w="704" w:type="dxa"/>
            <w:noWrap w:val="0"/>
            <w:vAlign w:val="center"/>
          </w:tcPr>
          <w:p w14:paraId="5A44F0CB">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300-350</w:t>
            </w:r>
          </w:p>
        </w:tc>
        <w:tc>
          <w:tcPr>
            <w:tcW w:w="704" w:type="dxa"/>
            <w:noWrap w:val="0"/>
            <w:vAlign w:val="center"/>
          </w:tcPr>
          <w:p w14:paraId="51417C03">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150</w:t>
            </w:r>
          </w:p>
        </w:tc>
        <w:tc>
          <w:tcPr>
            <w:tcW w:w="704" w:type="dxa"/>
            <w:noWrap w:val="0"/>
            <w:vAlign w:val="center"/>
          </w:tcPr>
          <w:p w14:paraId="0C2FC8EC">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-252.8</w:t>
            </w:r>
          </w:p>
        </w:tc>
        <w:tc>
          <w:tcPr>
            <w:tcW w:w="1785" w:type="dxa"/>
            <w:noWrap w:val="0"/>
            <w:vAlign w:val="center"/>
          </w:tcPr>
          <w:p w14:paraId="23459BC4">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w:t>
            </w:r>
          </w:p>
        </w:tc>
        <w:tc>
          <w:tcPr>
            <w:tcW w:w="2137" w:type="dxa"/>
            <w:noWrap w:val="0"/>
            <w:vAlign w:val="center"/>
          </w:tcPr>
          <w:p w14:paraId="2D18A7CC">
            <w:pPr>
              <w:pStyle w:val="67"/>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highlight w:val="none"/>
              </w:rPr>
            </w:pPr>
            <w:r>
              <w:rPr>
                <w:rFonts w:ascii="Times New Roman" w:hAnsi="Times New Roman" w:cs="Times New Roman"/>
                <w:color w:val="auto"/>
                <w:spacing w:val="10"/>
                <w:szCs w:val="21"/>
                <w:highlight w:val="none"/>
              </w:rPr>
              <w:t>可燃液体，火灾危险性为丙B类；遇明火、高热可燃</w:t>
            </w:r>
          </w:p>
        </w:tc>
        <w:tc>
          <w:tcPr>
            <w:tcW w:w="821" w:type="dxa"/>
            <w:noWrap w:val="0"/>
            <w:vAlign w:val="center"/>
          </w:tcPr>
          <w:p w14:paraId="5FE64E1C">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w:t>
            </w:r>
          </w:p>
        </w:tc>
        <w:tc>
          <w:tcPr>
            <w:tcW w:w="821" w:type="dxa"/>
            <w:noWrap w:val="0"/>
            <w:vAlign w:val="center"/>
          </w:tcPr>
          <w:p w14:paraId="19814E8B">
            <w:pPr>
              <w:keepNext w:val="0"/>
              <w:keepLines w:val="0"/>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w:t>
            </w:r>
          </w:p>
        </w:tc>
      </w:tr>
    </w:tbl>
    <w:p w14:paraId="282B4762">
      <w:pPr>
        <w:pStyle w:val="67"/>
        <w:ind w:left="0" w:leftChars="0" w:firstLine="0" w:firstLineChars="0"/>
        <w:outlineLvl w:val="9"/>
        <w:rPr>
          <w:rFonts w:hint="default" w:ascii="Times New Roman" w:hAnsi="Times New Roman" w:eastAsia="宋体" w:cs="Times New Roman"/>
          <w:color w:val="auto"/>
          <w:highlight w:val="none"/>
          <w:lang w:val="en-US" w:eastAsia="zh-CN"/>
        </w:rPr>
      </w:pPr>
    </w:p>
    <w:p w14:paraId="0AFB23EA">
      <w:pPr>
        <w:pageBreakBefore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highlight w:val="none"/>
        </w:rPr>
        <w:t>由上表可知，</w:t>
      </w:r>
      <w:r>
        <w:rPr>
          <w:rFonts w:hint="default" w:ascii="Times New Roman" w:hAnsi="Times New Roman" w:cs="Times New Roman"/>
          <w:color w:val="auto"/>
          <w:kern w:val="0"/>
          <w:sz w:val="24"/>
          <w:highlight w:val="none"/>
          <w:lang w:val="en-US" w:eastAsia="zh-CN"/>
        </w:rPr>
        <w:t>天然气为易燃易爆气体，硫酸铵</w:t>
      </w:r>
      <w:r>
        <w:rPr>
          <w:rFonts w:hint="default" w:ascii="Times New Roman" w:hAnsi="Times New Roman" w:eastAsia="宋体" w:cs="Times New Roman"/>
          <w:color w:val="auto"/>
          <w:kern w:val="0"/>
          <w:sz w:val="24"/>
          <w:highlight w:val="none"/>
        </w:rPr>
        <w:t>为毒性</w:t>
      </w:r>
      <w:r>
        <w:rPr>
          <w:rFonts w:hint="default" w:ascii="Times New Roman" w:hAnsi="Times New Roman" w:eastAsia="宋体" w:cs="Times New Roman"/>
          <w:color w:val="auto"/>
          <w:kern w:val="0"/>
          <w:sz w:val="24"/>
          <w:highlight w:val="none"/>
          <w:lang w:val="en-US" w:eastAsia="zh-CN"/>
        </w:rPr>
        <w:t>危险物质</w:t>
      </w:r>
      <w:r>
        <w:rPr>
          <w:rFonts w:hint="default" w:ascii="Times New Roman" w:hAnsi="Times New Roman" w:cs="Times New Roman"/>
          <w:color w:val="auto"/>
          <w:kern w:val="0"/>
          <w:sz w:val="24"/>
          <w:highlight w:val="none"/>
          <w:lang w:val="en-US" w:eastAsia="zh-CN"/>
        </w:rPr>
        <w:t>，液压油为可燃液体</w:t>
      </w:r>
      <w:r>
        <w:rPr>
          <w:rFonts w:hint="default" w:ascii="Times New Roman" w:hAnsi="Times New Roman" w:eastAsia="宋体" w:cs="Times New Roman"/>
          <w:color w:val="auto"/>
          <w:kern w:val="0"/>
          <w:sz w:val="24"/>
          <w:highlight w:val="none"/>
          <w:lang w:val="en-US" w:eastAsia="zh-CN"/>
        </w:rPr>
        <w:t>，因此项目的泄漏风险较大。</w:t>
      </w:r>
    </w:p>
    <w:p w14:paraId="4A408544">
      <w:pPr>
        <w:keepNext w:val="0"/>
        <w:keepLines w:val="0"/>
        <w:pageBreakBefore w:val="0"/>
        <w:widowControl/>
        <w:suppressLineNumbers w:val="0"/>
        <w:kinsoku/>
        <w:wordWrap/>
        <w:overflowPunct/>
        <w:topLinePunct w:val="0"/>
        <w:bidi w:val="0"/>
        <w:adjustRightInd w:val="0"/>
        <w:snapToGrid w:val="0"/>
        <w:spacing w:line="360" w:lineRule="auto"/>
        <w:jc w:val="both"/>
        <w:textAlignment w:val="auto"/>
        <w:outlineLvl w:val="2"/>
        <w:rPr>
          <w:rFonts w:hint="default" w:ascii="Times New Roman" w:hAnsi="Times New Roman" w:eastAsia="宋体" w:cs="Times New Roman"/>
          <w:b/>
          <w:bCs w:val="0"/>
          <w:color w:val="auto"/>
          <w:kern w:val="2"/>
          <w:sz w:val="30"/>
          <w:szCs w:val="30"/>
          <w:lang w:val="en-US" w:eastAsia="zh-CN"/>
        </w:rPr>
      </w:pPr>
      <w:bookmarkStart w:id="57" w:name="_Toc1063"/>
      <w:r>
        <w:rPr>
          <w:rFonts w:hint="default" w:ascii="Times New Roman" w:hAnsi="Times New Roman" w:eastAsia="宋体" w:cs="Times New Roman"/>
          <w:b/>
          <w:bCs w:val="0"/>
          <w:color w:val="auto"/>
          <w:kern w:val="2"/>
          <w:sz w:val="30"/>
          <w:szCs w:val="30"/>
          <w:lang w:val="en-US" w:eastAsia="zh-CN"/>
        </w:rPr>
        <w:t>5.3生产系统风险识别</w:t>
      </w:r>
      <w:bookmarkEnd w:id="57"/>
    </w:p>
    <w:p w14:paraId="3E449585">
      <w:pPr>
        <w:keepNext w:val="0"/>
        <w:keepLines w:val="0"/>
        <w:pageBreakBefore w:val="0"/>
        <w:widowControl/>
        <w:suppressLineNumbers w:val="0"/>
        <w:kinsoku/>
        <w:wordWrap/>
        <w:overflowPunct/>
        <w:topLinePunct w:val="0"/>
        <w:autoSpaceDE/>
        <w:autoSpaceDN/>
        <w:bidi w:val="0"/>
        <w:adjustRightInd w:val="0"/>
        <w:snapToGrid w:val="0"/>
        <w:spacing w:line="360" w:lineRule="auto"/>
        <w:jc w:val="left"/>
        <w:textAlignment w:val="auto"/>
        <w:outlineLvl w:val="9"/>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1、危险单元划分</w:t>
      </w:r>
    </w:p>
    <w:p w14:paraId="57B1C780">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根据导则定义，危险单元是指由一个或者多个风险源构成的具有相对独立功能的单元，事故状态下应可实现与其他功能单元的分割。根据以上定义，项目危险单元划分情况具体见下表：危险单元分布图见图</w:t>
      </w:r>
      <w:r>
        <w:rPr>
          <w:rFonts w:hint="default" w:ascii="Times New Roman" w:hAnsi="Times New Roman" w:cs="Times New Roman"/>
          <w:color w:val="auto"/>
          <w:kern w:val="0"/>
          <w:sz w:val="24"/>
          <w:szCs w:val="24"/>
          <w:lang w:val="en-US" w:eastAsia="zh-CN" w:bidi="ar"/>
        </w:rPr>
        <w:t>2.1-</w:t>
      </w:r>
      <w:r>
        <w:rPr>
          <w:rFonts w:hint="default" w:ascii="Times New Roman" w:hAnsi="Times New Roman" w:eastAsia="宋体" w:cs="Times New Roman"/>
          <w:color w:val="auto"/>
          <w:kern w:val="0"/>
          <w:sz w:val="24"/>
          <w:szCs w:val="24"/>
          <w:lang w:val="en-US" w:eastAsia="zh-CN" w:bidi="ar"/>
        </w:rPr>
        <w:t>1。</w:t>
      </w:r>
    </w:p>
    <w:p w14:paraId="5410375A">
      <w:pPr>
        <w:keepNext w:val="0"/>
        <w:keepLines w:val="0"/>
        <w:pageBreakBefore w:val="0"/>
        <w:widowControl/>
        <w:suppressLineNumbers w:val="0"/>
        <w:kinsoku/>
        <w:wordWrap/>
        <w:overflowPunct/>
        <w:topLinePunct w:val="0"/>
        <w:autoSpaceDE/>
        <w:autoSpaceDN/>
        <w:bidi w:val="0"/>
        <w:adjustRightInd w:val="0"/>
        <w:snapToGrid w:val="0"/>
        <w:spacing w:line="360" w:lineRule="auto"/>
        <w:jc w:val="center"/>
        <w:textAlignment w:val="auto"/>
        <w:outlineLvl w:val="9"/>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表5.3-1本项目涉及危险单元划分情况</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38"/>
        <w:gridCol w:w="1221"/>
        <w:gridCol w:w="1261"/>
        <w:gridCol w:w="1704"/>
        <w:gridCol w:w="1408"/>
        <w:gridCol w:w="2845"/>
      </w:tblGrid>
      <w:tr w14:paraId="01C1D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51" w:type="pct"/>
            <w:noWrap w:val="0"/>
            <w:vAlign w:val="center"/>
          </w:tcPr>
          <w:p w14:paraId="1166DA4D">
            <w:pPr>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672" w:type="pct"/>
            <w:noWrap w:val="0"/>
            <w:vAlign w:val="center"/>
          </w:tcPr>
          <w:p w14:paraId="6D6EF3D1">
            <w:pPr>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单元名称</w:t>
            </w:r>
          </w:p>
        </w:tc>
        <w:tc>
          <w:tcPr>
            <w:tcW w:w="694" w:type="pct"/>
            <w:noWrap w:val="0"/>
            <w:vAlign w:val="center"/>
          </w:tcPr>
          <w:p w14:paraId="4CD42660">
            <w:pPr>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单元功能</w:t>
            </w:r>
          </w:p>
        </w:tc>
        <w:tc>
          <w:tcPr>
            <w:tcW w:w="938" w:type="pct"/>
            <w:noWrap w:val="0"/>
            <w:vAlign w:val="center"/>
          </w:tcPr>
          <w:p w14:paraId="490AFAC5">
            <w:pPr>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主要危险物质</w:t>
            </w:r>
          </w:p>
        </w:tc>
        <w:tc>
          <w:tcPr>
            <w:tcW w:w="775" w:type="pct"/>
            <w:noWrap w:val="0"/>
            <w:vAlign w:val="center"/>
          </w:tcPr>
          <w:p w14:paraId="4C44858B">
            <w:pPr>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环境风险类型</w:t>
            </w:r>
          </w:p>
        </w:tc>
        <w:tc>
          <w:tcPr>
            <w:tcW w:w="1566" w:type="pct"/>
            <w:noWrap w:val="0"/>
            <w:vAlign w:val="center"/>
          </w:tcPr>
          <w:p w14:paraId="381742A2">
            <w:pPr>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可能受影响的环境敏感目标</w:t>
            </w:r>
          </w:p>
        </w:tc>
      </w:tr>
      <w:tr w14:paraId="655CB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1" w:hRule="atLeast"/>
          <w:jc w:val="center"/>
        </w:trPr>
        <w:tc>
          <w:tcPr>
            <w:tcW w:w="351" w:type="pct"/>
            <w:noWrap w:val="0"/>
            <w:vAlign w:val="center"/>
          </w:tcPr>
          <w:p w14:paraId="5071351E">
            <w:pPr>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672" w:type="pct"/>
            <w:noWrap w:val="0"/>
            <w:vAlign w:val="center"/>
          </w:tcPr>
          <w:p w14:paraId="63C864CC">
            <w:pPr>
              <w:snapToGrid w:val="0"/>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生产车间</w:t>
            </w:r>
            <w:r>
              <w:rPr>
                <w:rFonts w:hint="default" w:ascii="Times New Roman" w:hAnsi="Times New Roman" w:cs="Times New Roman"/>
                <w:color w:val="auto"/>
                <w:sz w:val="21"/>
                <w:szCs w:val="21"/>
                <w:lang w:eastAsia="zh-CN"/>
              </w:rPr>
              <w:t>，天然气</w:t>
            </w:r>
            <w:r>
              <w:rPr>
                <w:rFonts w:hint="default" w:ascii="Times New Roman" w:hAnsi="Times New Roman" w:cs="Times New Roman"/>
                <w:color w:val="auto"/>
                <w:sz w:val="21"/>
                <w:szCs w:val="21"/>
                <w:lang w:val="en-US" w:eastAsia="zh-CN"/>
              </w:rPr>
              <w:t>管道</w:t>
            </w:r>
          </w:p>
        </w:tc>
        <w:tc>
          <w:tcPr>
            <w:tcW w:w="694" w:type="pct"/>
            <w:noWrap w:val="0"/>
            <w:vAlign w:val="center"/>
          </w:tcPr>
          <w:p w14:paraId="684D3E5B">
            <w:pPr>
              <w:snapToGrid w:val="0"/>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生产</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输送</w:t>
            </w:r>
          </w:p>
        </w:tc>
        <w:tc>
          <w:tcPr>
            <w:tcW w:w="938" w:type="pct"/>
            <w:noWrap w:val="0"/>
            <w:vAlign w:val="center"/>
          </w:tcPr>
          <w:p w14:paraId="226B5F05">
            <w:pPr>
              <w:snapToGrid w:val="0"/>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eastAsia="zh-CN"/>
              </w:rPr>
              <w:t>天然气</w:t>
            </w:r>
          </w:p>
        </w:tc>
        <w:tc>
          <w:tcPr>
            <w:tcW w:w="775" w:type="pct"/>
            <w:noWrap w:val="0"/>
            <w:vAlign w:val="center"/>
          </w:tcPr>
          <w:p w14:paraId="597434CB">
            <w:pPr>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eastAsia="zh-CN"/>
              </w:rPr>
              <w:t>泄漏</w:t>
            </w:r>
            <w:r>
              <w:rPr>
                <w:rFonts w:hint="default" w:ascii="Times New Roman" w:hAnsi="Times New Roman" w:eastAsia="宋体" w:cs="Times New Roman"/>
                <w:color w:val="auto"/>
                <w:sz w:val="21"/>
                <w:szCs w:val="21"/>
              </w:rPr>
              <w:t>、火灾、爆炸</w:t>
            </w:r>
          </w:p>
        </w:tc>
        <w:tc>
          <w:tcPr>
            <w:tcW w:w="1566" w:type="pct"/>
            <w:noWrap w:val="0"/>
            <w:vAlign w:val="center"/>
          </w:tcPr>
          <w:p w14:paraId="2F899061">
            <w:pPr>
              <w:snapToGrid w:val="0"/>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周边村民、大气</w:t>
            </w:r>
          </w:p>
        </w:tc>
      </w:tr>
      <w:tr w14:paraId="52A00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1" w:hRule="atLeast"/>
          <w:jc w:val="center"/>
        </w:trPr>
        <w:tc>
          <w:tcPr>
            <w:tcW w:w="351" w:type="pct"/>
            <w:noWrap w:val="0"/>
            <w:vAlign w:val="center"/>
          </w:tcPr>
          <w:p w14:paraId="4D0655F6">
            <w:pPr>
              <w:snapToGrid w:val="0"/>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672" w:type="pct"/>
            <w:noWrap w:val="0"/>
            <w:vAlign w:val="center"/>
          </w:tcPr>
          <w:p w14:paraId="73464889">
            <w:pPr>
              <w:snapToGrid w:val="0"/>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原料仓库、生产车间</w:t>
            </w:r>
          </w:p>
        </w:tc>
        <w:tc>
          <w:tcPr>
            <w:tcW w:w="694" w:type="pct"/>
            <w:noWrap w:val="0"/>
            <w:vAlign w:val="center"/>
          </w:tcPr>
          <w:p w14:paraId="071C4EB6">
            <w:pPr>
              <w:snapToGrid w:val="0"/>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生产储存</w:t>
            </w:r>
          </w:p>
        </w:tc>
        <w:tc>
          <w:tcPr>
            <w:tcW w:w="938" w:type="pct"/>
            <w:noWrap w:val="0"/>
            <w:vAlign w:val="center"/>
          </w:tcPr>
          <w:p w14:paraId="6ACC7CAB">
            <w:pPr>
              <w:snapToGrid w:val="0"/>
              <w:spacing w:line="300" w:lineRule="exact"/>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硫酸铵</w:t>
            </w:r>
          </w:p>
        </w:tc>
        <w:tc>
          <w:tcPr>
            <w:tcW w:w="775" w:type="pct"/>
            <w:noWrap w:val="0"/>
            <w:vAlign w:val="center"/>
          </w:tcPr>
          <w:p w14:paraId="077DD422">
            <w:pPr>
              <w:snapToGrid w:val="0"/>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泄漏、中毒</w:t>
            </w:r>
          </w:p>
        </w:tc>
        <w:tc>
          <w:tcPr>
            <w:tcW w:w="1566" w:type="pct"/>
            <w:noWrap w:val="0"/>
            <w:vAlign w:val="center"/>
          </w:tcPr>
          <w:p w14:paraId="3AAB69DC">
            <w:pPr>
              <w:snapToGrid w:val="0"/>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周村村民、地表水、地下水、土壤</w:t>
            </w:r>
          </w:p>
        </w:tc>
      </w:tr>
      <w:tr w14:paraId="09B9A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1" w:hRule="atLeast"/>
          <w:jc w:val="center"/>
        </w:trPr>
        <w:tc>
          <w:tcPr>
            <w:tcW w:w="351" w:type="pct"/>
            <w:noWrap w:val="0"/>
            <w:vAlign w:val="center"/>
          </w:tcPr>
          <w:p w14:paraId="168A3ED0">
            <w:pPr>
              <w:snapToGrid w:val="0"/>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w:t>
            </w:r>
          </w:p>
        </w:tc>
        <w:tc>
          <w:tcPr>
            <w:tcW w:w="672" w:type="pct"/>
            <w:noWrap w:val="0"/>
            <w:vAlign w:val="center"/>
          </w:tcPr>
          <w:p w14:paraId="7E37F4E9">
            <w:pPr>
              <w:snapToGrid w:val="0"/>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rPr>
              <w:t>生产车间</w:t>
            </w:r>
          </w:p>
        </w:tc>
        <w:tc>
          <w:tcPr>
            <w:tcW w:w="694" w:type="pct"/>
            <w:noWrap w:val="0"/>
            <w:vAlign w:val="center"/>
          </w:tcPr>
          <w:p w14:paraId="450760E8">
            <w:pPr>
              <w:snapToGrid w:val="0"/>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生产设备</w:t>
            </w:r>
          </w:p>
        </w:tc>
        <w:tc>
          <w:tcPr>
            <w:tcW w:w="938" w:type="pct"/>
            <w:noWrap w:val="0"/>
            <w:vAlign w:val="center"/>
          </w:tcPr>
          <w:p w14:paraId="4FAFDCDE">
            <w:pPr>
              <w:snapToGrid w:val="0"/>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液压油</w:t>
            </w:r>
          </w:p>
        </w:tc>
        <w:tc>
          <w:tcPr>
            <w:tcW w:w="775" w:type="pct"/>
            <w:noWrap w:val="0"/>
            <w:vAlign w:val="center"/>
          </w:tcPr>
          <w:p w14:paraId="4E391A82">
            <w:pPr>
              <w:snapToGrid w:val="0"/>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rPr>
              <w:t>泄露、火灾</w:t>
            </w:r>
          </w:p>
        </w:tc>
        <w:tc>
          <w:tcPr>
            <w:tcW w:w="1566" w:type="pct"/>
            <w:noWrap w:val="0"/>
            <w:vAlign w:val="center"/>
          </w:tcPr>
          <w:p w14:paraId="4B8B4FE2">
            <w:pPr>
              <w:snapToGrid w:val="0"/>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周边村民、大气、地表水、地下水、土壤</w:t>
            </w:r>
          </w:p>
        </w:tc>
      </w:tr>
      <w:tr w14:paraId="72DEB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1" w:hRule="atLeast"/>
          <w:jc w:val="center"/>
        </w:trPr>
        <w:tc>
          <w:tcPr>
            <w:tcW w:w="351" w:type="pct"/>
            <w:noWrap w:val="0"/>
            <w:vAlign w:val="center"/>
          </w:tcPr>
          <w:p w14:paraId="7E7D86EC">
            <w:pPr>
              <w:snapToGrid w:val="0"/>
              <w:spacing w:line="300" w:lineRule="exact"/>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4</w:t>
            </w:r>
          </w:p>
        </w:tc>
        <w:tc>
          <w:tcPr>
            <w:tcW w:w="672" w:type="pct"/>
            <w:noWrap w:val="0"/>
            <w:vAlign w:val="center"/>
          </w:tcPr>
          <w:p w14:paraId="2271478B">
            <w:pPr>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生产车间</w:t>
            </w:r>
          </w:p>
        </w:tc>
        <w:tc>
          <w:tcPr>
            <w:tcW w:w="694" w:type="pct"/>
            <w:noWrap w:val="0"/>
            <w:vAlign w:val="center"/>
          </w:tcPr>
          <w:p w14:paraId="57BAC550">
            <w:pPr>
              <w:snapToGrid w:val="0"/>
              <w:spacing w:line="300" w:lineRule="exact"/>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废气治理</w:t>
            </w:r>
          </w:p>
        </w:tc>
        <w:tc>
          <w:tcPr>
            <w:tcW w:w="938" w:type="pct"/>
            <w:noWrap w:val="0"/>
            <w:vAlign w:val="center"/>
          </w:tcPr>
          <w:p w14:paraId="071298E2">
            <w:pPr>
              <w:snapToGrid w:val="0"/>
              <w:spacing w:line="300" w:lineRule="exact"/>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水喷淋废水</w:t>
            </w:r>
          </w:p>
        </w:tc>
        <w:tc>
          <w:tcPr>
            <w:tcW w:w="775" w:type="pct"/>
            <w:noWrap w:val="0"/>
            <w:vAlign w:val="center"/>
          </w:tcPr>
          <w:p w14:paraId="72B2DB33">
            <w:pPr>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泄漏</w:t>
            </w:r>
          </w:p>
        </w:tc>
        <w:tc>
          <w:tcPr>
            <w:tcW w:w="1566" w:type="pct"/>
            <w:noWrap w:val="0"/>
            <w:vAlign w:val="center"/>
          </w:tcPr>
          <w:p w14:paraId="4FB977C1">
            <w:pPr>
              <w:snapToGrid w:val="0"/>
              <w:spacing w:line="30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周村村民、地表水、地下水、土壤</w:t>
            </w:r>
          </w:p>
        </w:tc>
      </w:tr>
    </w:tbl>
    <w:p w14:paraId="0188E484">
      <w:pPr>
        <w:keepNext w:val="0"/>
        <w:keepLines w:val="0"/>
        <w:pageBreakBefore w:val="0"/>
        <w:widowControl/>
        <w:suppressLineNumbers w:val="0"/>
        <w:kinsoku/>
        <w:wordWrap/>
        <w:overflowPunct/>
        <w:topLinePunct w:val="0"/>
        <w:autoSpaceDE/>
        <w:autoSpaceDN/>
        <w:bidi w:val="0"/>
        <w:adjustRightInd w:val="0"/>
        <w:snapToGrid w:val="0"/>
        <w:spacing w:line="360" w:lineRule="auto"/>
        <w:jc w:val="left"/>
        <w:textAlignment w:val="auto"/>
        <w:outlineLvl w:val="9"/>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2、生产系统危险性识别范围 </w:t>
      </w:r>
    </w:p>
    <w:p w14:paraId="7EAF6523">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生产系统危险性识别范围主要生产装置、贮运系统、公用工程系统、工程环保设施及辅助生产设施等。 </w:t>
      </w:r>
    </w:p>
    <w:p w14:paraId="1AC82D6F">
      <w:pPr>
        <w:keepNext w:val="0"/>
        <w:keepLines w:val="0"/>
        <w:pageBreakBefore w:val="0"/>
        <w:widowControl/>
        <w:suppressLineNumbers w:val="0"/>
        <w:kinsoku/>
        <w:wordWrap/>
        <w:overflowPunct/>
        <w:topLinePunct w:val="0"/>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（1）生产装置 </w:t>
      </w:r>
    </w:p>
    <w:p w14:paraId="6BBF0845">
      <w:pPr>
        <w:keepNext w:val="0"/>
        <w:keepLines w:val="0"/>
        <w:pageBreakBefore w:val="0"/>
        <w:widowControl/>
        <w:suppressLineNumbers w:val="0"/>
        <w:kinsoku/>
        <w:wordWrap/>
        <w:overflowPunct/>
        <w:topLinePunct w:val="0"/>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lang w:val="en-US" w:eastAsia="zh-CN" w:bidi="ar"/>
        </w:rPr>
        <w:t>生产装置风险主要来源</w:t>
      </w:r>
      <w:r>
        <w:rPr>
          <w:rFonts w:hint="default" w:ascii="Times New Roman" w:hAnsi="Times New Roman" w:eastAsia="宋体" w:cs="Times New Roman"/>
          <w:color w:val="auto"/>
          <w:kern w:val="0"/>
          <w:sz w:val="24"/>
          <w:szCs w:val="24"/>
          <w:highlight w:val="none"/>
          <w:lang w:val="en-US" w:eastAsia="zh-CN" w:bidi="ar"/>
        </w:rPr>
        <w:t>于</w:t>
      </w:r>
      <w:r>
        <w:rPr>
          <w:rFonts w:hint="default" w:ascii="Times New Roman" w:hAnsi="Times New Roman" w:cs="Times New Roman"/>
          <w:color w:val="auto"/>
          <w:kern w:val="0"/>
          <w:sz w:val="24"/>
          <w:szCs w:val="24"/>
          <w:highlight w:val="none"/>
          <w:lang w:val="en-US" w:eastAsia="zh-CN" w:bidi="ar"/>
        </w:rPr>
        <w:t>混合机、造粒机、烘干机、天然气燃烧器等</w:t>
      </w:r>
      <w:r>
        <w:rPr>
          <w:rFonts w:hint="default" w:ascii="Times New Roman" w:hAnsi="Times New Roman" w:eastAsia="宋体" w:cs="Times New Roman"/>
          <w:color w:val="auto"/>
          <w:kern w:val="0"/>
          <w:sz w:val="24"/>
          <w:szCs w:val="24"/>
          <w:highlight w:val="none"/>
          <w:lang w:val="en-US" w:eastAsia="zh-CN" w:bidi="ar"/>
        </w:rPr>
        <w:t xml:space="preserve">。 </w:t>
      </w:r>
    </w:p>
    <w:p w14:paraId="0234B001">
      <w:pPr>
        <w:keepNext w:val="0"/>
        <w:keepLines w:val="0"/>
        <w:pageBreakBefore w:val="0"/>
        <w:widowControl/>
        <w:suppressLineNumbers w:val="0"/>
        <w:kinsoku/>
        <w:wordWrap/>
        <w:overflowPunct/>
        <w:topLinePunct w:val="0"/>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 xml:space="preserve">（2）储运设施 </w:t>
      </w:r>
    </w:p>
    <w:p w14:paraId="0C22409F">
      <w:pPr>
        <w:keepNext w:val="0"/>
        <w:keepLines w:val="0"/>
        <w:pageBreakBefore w:val="0"/>
        <w:widowControl/>
        <w:suppressLineNumbers w:val="0"/>
        <w:kinsoku/>
        <w:wordWrap/>
        <w:overflowPunct/>
        <w:topLinePunct w:val="0"/>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储运设施风险主要来源于</w:t>
      </w:r>
      <w:r>
        <w:rPr>
          <w:rFonts w:hint="default" w:ascii="Times New Roman" w:hAnsi="Times New Roman" w:cs="Times New Roman"/>
          <w:color w:val="auto"/>
          <w:kern w:val="0"/>
          <w:sz w:val="24"/>
          <w:szCs w:val="24"/>
          <w:lang w:val="en-US" w:eastAsia="zh-CN" w:bidi="ar"/>
        </w:rPr>
        <w:t>天然气管理、原料仓库</w:t>
      </w:r>
      <w:r>
        <w:rPr>
          <w:rFonts w:hint="default" w:ascii="Times New Roman" w:hAnsi="Times New Roman" w:eastAsia="宋体" w:cs="Times New Roman"/>
          <w:color w:val="auto"/>
          <w:kern w:val="0"/>
          <w:sz w:val="24"/>
          <w:szCs w:val="24"/>
          <w:lang w:val="en-US" w:eastAsia="zh-CN" w:bidi="ar"/>
        </w:rPr>
        <w:t xml:space="preserve">等。 </w:t>
      </w:r>
    </w:p>
    <w:p w14:paraId="0D23E071">
      <w:pPr>
        <w:keepNext w:val="0"/>
        <w:keepLines w:val="0"/>
        <w:pageBreakBefore w:val="0"/>
        <w:widowControl/>
        <w:suppressLineNumbers w:val="0"/>
        <w:kinsoku/>
        <w:wordWrap/>
        <w:overflowPunct/>
        <w:topLinePunct w:val="0"/>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（3）工程环保设施及辅助生产设施 </w:t>
      </w:r>
    </w:p>
    <w:p w14:paraId="705F9D67">
      <w:pPr>
        <w:keepNext w:val="0"/>
        <w:keepLines w:val="0"/>
        <w:pageBreakBefore w:val="0"/>
        <w:widowControl/>
        <w:suppressLineNumbers w:val="0"/>
        <w:kinsoku/>
        <w:wordWrap/>
        <w:overflowPunct/>
        <w:topLinePunct w:val="0"/>
        <w:bidi w:val="0"/>
        <w:adjustRightInd w:val="0"/>
        <w:snapToGrid w:val="0"/>
        <w:spacing w:line="360" w:lineRule="auto"/>
        <w:ind w:firstLine="480" w:firstLineChars="200"/>
        <w:jc w:val="left"/>
        <w:textAlignment w:val="auto"/>
        <w:outlineLvl w:val="9"/>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工程环保设施及辅助生产设施风险主要来源于废气处理设施</w:t>
      </w:r>
      <w:r>
        <w:rPr>
          <w:rFonts w:hint="default" w:ascii="Times New Roman" w:hAnsi="Times New Roman" w:cs="Times New Roman"/>
          <w:color w:val="auto"/>
          <w:kern w:val="0"/>
          <w:sz w:val="24"/>
          <w:szCs w:val="24"/>
          <w:lang w:val="en-US" w:eastAsia="zh-CN" w:bidi="ar"/>
        </w:rPr>
        <w:t>，当废气处理设施发生故障或者操作失误，导致废气处理系统失效，引起废气的事故性排放，将对周边大气环境带来一定影响</w:t>
      </w:r>
      <w:r>
        <w:rPr>
          <w:rFonts w:hint="default" w:ascii="Times New Roman" w:hAnsi="Times New Roman" w:eastAsia="宋体" w:cs="Times New Roman"/>
          <w:color w:val="auto"/>
          <w:kern w:val="0"/>
          <w:sz w:val="24"/>
          <w:szCs w:val="24"/>
          <w:lang w:val="en-US" w:eastAsia="zh-CN" w:bidi="ar"/>
        </w:rPr>
        <w:t>。</w:t>
      </w:r>
    </w:p>
    <w:p w14:paraId="31F1F843">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 xml:space="preserve">本项目生产系统危险性识别，详见表5.3-2。 </w:t>
      </w:r>
    </w:p>
    <w:p w14:paraId="157ED12E">
      <w:pPr>
        <w:keepNext w:val="0"/>
        <w:keepLines w:val="0"/>
        <w:pageBreakBefore w:val="0"/>
        <w:widowControl w:val="0"/>
        <w:kinsoku/>
        <w:wordWrap/>
        <w:overflowPunct/>
        <w:topLinePunct w:val="0"/>
        <w:autoSpaceDE w:val="0"/>
        <w:autoSpaceDN w:val="0"/>
        <w:bidi w:val="0"/>
        <w:adjustRightInd w:val="0"/>
        <w:snapToGrid w:val="0"/>
        <w:spacing w:line="360" w:lineRule="auto"/>
        <w:ind w:left="0" w:firstLine="482" w:firstLineChars="200"/>
        <w:jc w:val="center"/>
        <w:textAlignment w:val="auto"/>
        <w:outlineLvl w:val="9"/>
        <w:rPr>
          <w:rFonts w:hint="default" w:ascii="Times New Roman" w:hAnsi="Times New Roman" w:eastAsia="宋体" w:cs="Times New Roman"/>
          <w:b/>
          <w:bCs w:val="0"/>
          <w:color w:val="auto"/>
          <w:kern w:val="0"/>
          <w:sz w:val="24"/>
          <w:szCs w:val="24"/>
        </w:rPr>
      </w:pPr>
      <w:r>
        <w:rPr>
          <w:rFonts w:hint="default" w:ascii="Times New Roman" w:hAnsi="Times New Roman" w:eastAsia="宋体" w:cs="Times New Roman"/>
          <w:b/>
          <w:bCs w:val="0"/>
          <w:color w:val="auto"/>
          <w:kern w:val="0"/>
          <w:sz w:val="24"/>
          <w:szCs w:val="24"/>
          <w:lang w:val="en-US" w:eastAsia="zh-CN"/>
        </w:rPr>
        <w:t>表5.3-2 生产系统的环境风险事故类型一览表</w:t>
      </w:r>
    </w:p>
    <w:tbl>
      <w:tblPr>
        <w:tblStyle w:val="81"/>
        <w:tblW w:w="499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8"/>
        <w:gridCol w:w="1819"/>
        <w:gridCol w:w="1181"/>
        <w:gridCol w:w="1593"/>
        <w:gridCol w:w="1817"/>
        <w:gridCol w:w="1966"/>
      </w:tblGrid>
      <w:tr w14:paraId="3C82F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484" w:type="pct"/>
            <w:tcBorders>
              <w:bottom w:val="single" w:color="auto" w:sz="4" w:space="0"/>
            </w:tcBorders>
            <w:noWrap w:val="0"/>
            <w:vAlign w:val="center"/>
          </w:tcPr>
          <w:p w14:paraId="4B7B37A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980" w:type="pct"/>
            <w:tcBorders>
              <w:bottom w:val="single" w:color="auto" w:sz="4" w:space="0"/>
            </w:tcBorders>
            <w:noWrap w:val="0"/>
            <w:vAlign w:val="center"/>
          </w:tcPr>
          <w:p w14:paraId="1AE4A1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名称</w:t>
            </w:r>
          </w:p>
        </w:tc>
        <w:tc>
          <w:tcPr>
            <w:tcW w:w="636" w:type="pct"/>
            <w:tcBorders>
              <w:bottom w:val="single" w:color="auto" w:sz="4" w:space="0"/>
            </w:tcBorders>
            <w:noWrap w:val="0"/>
            <w:vAlign w:val="center"/>
          </w:tcPr>
          <w:p w14:paraId="70BDAF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生产区</w:t>
            </w:r>
          </w:p>
        </w:tc>
        <w:tc>
          <w:tcPr>
            <w:tcW w:w="858" w:type="pct"/>
            <w:tcBorders>
              <w:bottom w:val="single" w:color="auto" w:sz="4" w:space="0"/>
            </w:tcBorders>
            <w:noWrap w:val="0"/>
            <w:vAlign w:val="center"/>
          </w:tcPr>
          <w:p w14:paraId="3B44972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储运区</w:t>
            </w:r>
          </w:p>
        </w:tc>
        <w:tc>
          <w:tcPr>
            <w:tcW w:w="979" w:type="pct"/>
            <w:tcBorders>
              <w:bottom w:val="single" w:color="auto" w:sz="4" w:space="0"/>
            </w:tcBorders>
            <w:noWrap w:val="0"/>
            <w:vAlign w:val="center"/>
          </w:tcPr>
          <w:p w14:paraId="268D7F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公用工程区</w:t>
            </w:r>
          </w:p>
        </w:tc>
        <w:tc>
          <w:tcPr>
            <w:tcW w:w="1059" w:type="pct"/>
            <w:tcBorders>
              <w:bottom w:val="single" w:color="auto" w:sz="4" w:space="0"/>
            </w:tcBorders>
            <w:noWrap w:val="0"/>
            <w:vAlign w:val="center"/>
          </w:tcPr>
          <w:p w14:paraId="0B71DC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工程环保设施区</w:t>
            </w:r>
          </w:p>
        </w:tc>
      </w:tr>
      <w:tr w14:paraId="75D93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484" w:type="pct"/>
            <w:tcBorders>
              <w:top w:val="single" w:color="auto" w:sz="4" w:space="0"/>
              <w:bottom w:val="single" w:color="auto" w:sz="4" w:space="0"/>
            </w:tcBorders>
            <w:noWrap w:val="0"/>
            <w:vAlign w:val="center"/>
          </w:tcPr>
          <w:p w14:paraId="606D3E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980" w:type="pct"/>
            <w:tcBorders>
              <w:top w:val="single" w:color="auto" w:sz="4" w:space="0"/>
              <w:bottom w:val="single" w:color="auto" w:sz="4" w:space="0"/>
            </w:tcBorders>
            <w:noWrap w:val="0"/>
            <w:vAlign w:val="center"/>
          </w:tcPr>
          <w:p w14:paraId="47DDC8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火灾爆炸</w:t>
            </w:r>
          </w:p>
        </w:tc>
        <w:tc>
          <w:tcPr>
            <w:tcW w:w="636" w:type="pct"/>
            <w:tcBorders>
              <w:top w:val="single" w:color="auto" w:sz="4" w:space="0"/>
              <w:bottom w:val="single" w:color="auto" w:sz="4" w:space="0"/>
            </w:tcBorders>
            <w:noWrap w:val="0"/>
            <w:vAlign w:val="center"/>
          </w:tcPr>
          <w:p w14:paraId="3EFC7E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存在</w:t>
            </w:r>
          </w:p>
        </w:tc>
        <w:tc>
          <w:tcPr>
            <w:tcW w:w="858" w:type="pct"/>
            <w:tcBorders>
              <w:top w:val="single" w:color="auto" w:sz="4" w:space="0"/>
              <w:bottom w:val="single" w:color="auto" w:sz="4" w:space="0"/>
            </w:tcBorders>
            <w:noWrap w:val="0"/>
            <w:vAlign w:val="center"/>
          </w:tcPr>
          <w:p w14:paraId="464250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不存在</w:t>
            </w:r>
          </w:p>
        </w:tc>
        <w:tc>
          <w:tcPr>
            <w:tcW w:w="979" w:type="pct"/>
            <w:tcBorders>
              <w:top w:val="single" w:color="auto" w:sz="4" w:space="0"/>
              <w:bottom w:val="single" w:color="auto" w:sz="4" w:space="0"/>
            </w:tcBorders>
            <w:noWrap w:val="0"/>
            <w:vAlign w:val="center"/>
          </w:tcPr>
          <w:p w14:paraId="3DEC4C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不存在</w:t>
            </w:r>
          </w:p>
        </w:tc>
        <w:tc>
          <w:tcPr>
            <w:tcW w:w="1059" w:type="pct"/>
            <w:tcBorders>
              <w:top w:val="single" w:color="auto" w:sz="4" w:space="0"/>
              <w:bottom w:val="single" w:color="auto" w:sz="4" w:space="0"/>
            </w:tcBorders>
            <w:noWrap w:val="0"/>
            <w:vAlign w:val="center"/>
          </w:tcPr>
          <w:p w14:paraId="6C4C66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不存在</w:t>
            </w:r>
          </w:p>
        </w:tc>
      </w:tr>
      <w:tr w14:paraId="2C30C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484" w:type="pct"/>
            <w:tcBorders>
              <w:top w:val="single" w:color="auto" w:sz="4" w:space="0"/>
              <w:bottom w:val="single" w:color="auto" w:sz="4" w:space="0"/>
            </w:tcBorders>
            <w:noWrap w:val="0"/>
            <w:vAlign w:val="center"/>
          </w:tcPr>
          <w:p w14:paraId="230ECB6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980" w:type="pct"/>
            <w:tcBorders>
              <w:top w:val="single" w:color="auto" w:sz="4" w:space="0"/>
              <w:bottom w:val="single" w:color="auto" w:sz="4" w:space="0"/>
            </w:tcBorders>
            <w:noWrap w:val="0"/>
            <w:vAlign w:val="center"/>
          </w:tcPr>
          <w:p w14:paraId="65B463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化学品泄漏</w:t>
            </w:r>
          </w:p>
        </w:tc>
        <w:tc>
          <w:tcPr>
            <w:tcW w:w="636" w:type="pct"/>
            <w:tcBorders>
              <w:top w:val="single" w:color="auto" w:sz="4" w:space="0"/>
              <w:bottom w:val="single" w:color="auto" w:sz="4" w:space="0"/>
            </w:tcBorders>
            <w:noWrap w:val="0"/>
            <w:vAlign w:val="center"/>
          </w:tcPr>
          <w:p w14:paraId="1F30CF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存在</w:t>
            </w:r>
          </w:p>
        </w:tc>
        <w:tc>
          <w:tcPr>
            <w:tcW w:w="858" w:type="pct"/>
            <w:tcBorders>
              <w:top w:val="single" w:color="auto" w:sz="4" w:space="0"/>
              <w:bottom w:val="single" w:color="auto" w:sz="4" w:space="0"/>
            </w:tcBorders>
            <w:noWrap w:val="0"/>
            <w:vAlign w:val="center"/>
          </w:tcPr>
          <w:p w14:paraId="141F0D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存在</w:t>
            </w:r>
          </w:p>
        </w:tc>
        <w:tc>
          <w:tcPr>
            <w:tcW w:w="979" w:type="pct"/>
            <w:tcBorders>
              <w:top w:val="single" w:color="auto" w:sz="4" w:space="0"/>
              <w:bottom w:val="single" w:color="auto" w:sz="4" w:space="0"/>
            </w:tcBorders>
            <w:noWrap w:val="0"/>
            <w:vAlign w:val="center"/>
          </w:tcPr>
          <w:p w14:paraId="31945C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不存在</w:t>
            </w:r>
          </w:p>
        </w:tc>
        <w:tc>
          <w:tcPr>
            <w:tcW w:w="1059" w:type="pct"/>
            <w:tcBorders>
              <w:top w:val="single" w:color="auto" w:sz="4" w:space="0"/>
              <w:bottom w:val="single" w:color="auto" w:sz="4" w:space="0"/>
            </w:tcBorders>
            <w:noWrap w:val="0"/>
            <w:vAlign w:val="center"/>
          </w:tcPr>
          <w:p w14:paraId="4ABAB8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存在</w:t>
            </w:r>
          </w:p>
        </w:tc>
      </w:tr>
      <w:tr w14:paraId="3A3F5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484" w:type="pct"/>
            <w:tcBorders>
              <w:top w:val="single" w:color="auto" w:sz="4" w:space="0"/>
              <w:bottom w:val="single" w:color="auto" w:sz="4" w:space="0"/>
            </w:tcBorders>
            <w:noWrap w:val="0"/>
            <w:vAlign w:val="center"/>
          </w:tcPr>
          <w:p w14:paraId="3B38D1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980" w:type="pct"/>
            <w:tcBorders>
              <w:top w:val="single" w:color="auto" w:sz="4" w:space="0"/>
              <w:bottom w:val="single" w:color="auto" w:sz="4" w:space="0"/>
            </w:tcBorders>
            <w:noWrap w:val="0"/>
            <w:vAlign w:val="center"/>
          </w:tcPr>
          <w:p w14:paraId="507907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中毒和窒息</w:t>
            </w:r>
          </w:p>
        </w:tc>
        <w:tc>
          <w:tcPr>
            <w:tcW w:w="636" w:type="pct"/>
            <w:tcBorders>
              <w:top w:val="single" w:color="auto" w:sz="4" w:space="0"/>
              <w:bottom w:val="single" w:color="auto" w:sz="4" w:space="0"/>
            </w:tcBorders>
            <w:noWrap w:val="0"/>
            <w:vAlign w:val="center"/>
          </w:tcPr>
          <w:p w14:paraId="410D2A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存在</w:t>
            </w:r>
          </w:p>
        </w:tc>
        <w:tc>
          <w:tcPr>
            <w:tcW w:w="858" w:type="pct"/>
            <w:tcBorders>
              <w:top w:val="single" w:color="auto" w:sz="4" w:space="0"/>
              <w:bottom w:val="single" w:color="auto" w:sz="4" w:space="0"/>
            </w:tcBorders>
            <w:noWrap w:val="0"/>
            <w:vAlign w:val="center"/>
          </w:tcPr>
          <w:p w14:paraId="0821526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存在</w:t>
            </w:r>
          </w:p>
        </w:tc>
        <w:tc>
          <w:tcPr>
            <w:tcW w:w="979" w:type="pct"/>
            <w:tcBorders>
              <w:top w:val="single" w:color="auto" w:sz="4" w:space="0"/>
              <w:bottom w:val="single" w:color="auto" w:sz="4" w:space="0"/>
            </w:tcBorders>
            <w:noWrap w:val="0"/>
            <w:vAlign w:val="center"/>
          </w:tcPr>
          <w:p w14:paraId="04BCAB7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不存在</w:t>
            </w:r>
          </w:p>
        </w:tc>
        <w:tc>
          <w:tcPr>
            <w:tcW w:w="1059" w:type="pct"/>
            <w:tcBorders>
              <w:top w:val="single" w:color="auto" w:sz="4" w:space="0"/>
              <w:bottom w:val="single" w:color="auto" w:sz="4" w:space="0"/>
            </w:tcBorders>
            <w:noWrap w:val="0"/>
            <w:vAlign w:val="center"/>
          </w:tcPr>
          <w:p w14:paraId="48B5A53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存在</w:t>
            </w:r>
          </w:p>
        </w:tc>
      </w:tr>
      <w:tr w14:paraId="18778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484" w:type="pct"/>
            <w:tcBorders>
              <w:top w:val="single" w:color="auto" w:sz="4" w:space="0"/>
            </w:tcBorders>
            <w:noWrap w:val="0"/>
            <w:vAlign w:val="center"/>
          </w:tcPr>
          <w:p w14:paraId="6FFA85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980" w:type="pct"/>
            <w:tcBorders>
              <w:top w:val="single" w:color="auto" w:sz="4" w:space="0"/>
            </w:tcBorders>
            <w:noWrap w:val="0"/>
            <w:vAlign w:val="center"/>
          </w:tcPr>
          <w:p w14:paraId="69514C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废气超标排放</w:t>
            </w:r>
          </w:p>
        </w:tc>
        <w:tc>
          <w:tcPr>
            <w:tcW w:w="636" w:type="pct"/>
            <w:tcBorders>
              <w:top w:val="single" w:color="auto" w:sz="4" w:space="0"/>
            </w:tcBorders>
            <w:noWrap w:val="0"/>
            <w:vAlign w:val="center"/>
          </w:tcPr>
          <w:p w14:paraId="7D6DED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存在</w:t>
            </w:r>
          </w:p>
        </w:tc>
        <w:tc>
          <w:tcPr>
            <w:tcW w:w="858" w:type="pct"/>
            <w:tcBorders>
              <w:top w:val="single" w:color="auto" w:sz="4" w:space="0"/>
            </w:tcBorders>
            <w:noWrap w:val="0"/>
            <w:vAlign w:val="center"/>
          </w:tcPr>
          <w:p w14:paraId="0A0FCE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不存在</w:t>
            </w:r>
          </w:p>
        </w:tc>
        <w:tc>
          <w:tcPr>
            <w:tcW w:w="979" w:type="pct"/>
            <w:tcBorders>
              <w:top w:val="single" w:color="auto" w:sz="4" w:space="0"/>
            </w:tcBorders>
            <w:noWrap w:val="0"/>
            <w:vAlign w:val="center"/>
          </w:tcPr>
          <w:p w14:paraId="596D4E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不存在</w:t>
            </w:r>
          </w:p>
        </w:tc>
        <w:tc>
          <w:tcPr>
            <w:tcW w:w="1059" w:type="pct"/>
            <w:tcBorders>
              <w:top w:val="single" w:color="auto" w:sz="4" w:space="0"/>
            </w:tcBorders>
            <w:noWrap w:val="0"/>
            <w:vAlign w:val="center"/>
          </w:tcPr>
          <w:p w14:paraId="5FB48C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存在</w:t>
            </w:r>
          </w:p>
        </w:tc>
      </w:tr>
    </w:tbl>
    <w:p w14:paraId="22DF249B">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3</w:t>
      </w:r>
      <w:r>
        <w:rPr>
          <w:rFonts w:hint="default" w:ascii="Times New Roman" w:hAnsi="Times New Roman" w:eastAsia="宋体" w:cs="Times New Roman"/>
          <w:color w:val="auto"/>
          <w:kern w:val="0"/>
          <w:sz w:val="24"/>
          <w:szCs w:val="24"/>
        </w:rPr>
        <w:t>、生产区风险识别</w:t>
      </w:r>
    </w:p>
    <w:p w14:paraId="17A65D8B">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具体如下：</w:t>
      </w:r>
    </w:p>
    <w:p w14:paraId="0E064760">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（1）本项目</w:t>
      </w:r>
      <w:r>
        <w:rPr>
          <w:rFonts w:hint="default" w:ascii="Times New Roman" w:hAnsi="Times New Roman" w:eastAsia="宋体" w:cs="Times New Roman"/>
          <w:color w:val="auto"/>
          <w:kern w:val="0"/>
          <w:sz w:val="24"/>
          <w:szCs w:val="24"/>
          <w:lang w:val="en-US" w:eastAsia="zh-CN"/>
        </w:rPr>
        <w:t>设备</w:t>
      </w:r>
      <w:r>
        <w:rPr>
          <w:rFonts w:hint="default" w:ascii="Times New Roman" w:hAnsi="Times New Roman" w:eastAsia="宋体" w:cs="Times New Roman"/>
          <w:color w:val="auto"/>
          <w:kern w:val="0"/>
          <w:sz w:val="24"/>
          <w:szCs w:val="24"/>
        </w:rPr>
        <w:t>操作不当，机器故障都有可能导致火灾爆炸、化学品泄漏、中毒和窒息、废气超标排放。</w:t>
      </w:r>
    </w:p>
    <w:p w14:paraId="5C070A74">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（2）项目</w:t>
      </w:r>
      <w:r>
        <w:rPr>
          <w:rFonts w:hint="default" w:ascii="Times New Roman" w:hAnsi="Times New Roman" w:eastAsia="宋体" w:cs="Times New Roman"/>
          <w:color w:val="auto"/>
          <w:kern w:val="0"/>
          <w:sz w:val="24"/>
          <w:szCs w:val="24"/>
          <w:lang w:val="en-US" w:eastAsia="zh-CN"/>
        </w:rPr>
        <w:t>使用</w:t>
      </w:r>
      <w:r>
        <w:rPr>
          <w:rFonts w:hint="default" w:ascii="Times New Roman" w:hAnsi="Times New Roman" w:cs="Times New Roman"/>
          <w:color w:val="auto"/>
          <w:kern w:val="0"/>
          <w:sz w:val="24"/>
          <w:szCs w:val="24"/>
          <w:lang w:eastAsia="zh-CN"/>
        </w:rPr>
        <w:t>天然气、硫酸铵等危险物质</w:t>
      </w:r>
      <w:r>
        <w:rPr>
          <w:rFonts w:hint="default" w:ascii="Times New Roman" w:hAnsi="Times New Roman" w:eastAsia="宋体" w:cs="Times New Roman"/>
          <w:color w:val="auto"/>
          <w:kern w:val="0"/>
          <w:sz w:val="24"/>
          <w:szCs w:val="24"/>
        </w:rPr>
        <w:t>，可能导致泄漏风险，在</w:t>
      </w:r>
      <w:r>
        <w:rPr>
          <w:rFonts w:hint="default" w:ascii="Times New Roman" w:hAnsi="Times New Roman" w:eastAsia="宋体" w:cs="Times New Roman"/>
          <w:color w:val="auto"/>
          <w:kern w:val="0"/>
          <w:sz w:val="24"/>
          <w:szCs w:val="24"/>
          <w:lang w:val="en-US" w:eastAsia="zh-CN"/>
        </w:rPr>
        <w:t>生产</w:t>
      </w:r>
      <w:r>
        <w:rPr>
          <w:rFonts w:hint="default" w:ascii="Times New Roman" w:hAnsi="Times New Roman" w:eastAsia="宋体" w:cs="Times New Roman"/>
          <w:color w:val="auto"/>
          <w:kern w:val="0"/>
          <w:sz w:val="24"/>
          <w:szCs w:val="24"/>
        </w:rPr>
        <w:t>过程中会形成</w:t>
      </w:r>
      <w:r>
        <w:rPr>
          <w:rFonts w:hint="default" w:ascii="Times New Roman" w:hAnsi="Times New Roman" w:cs="Times New Roman"/>
          <w:color w:val="auto"/>
          <w:kern w:val="0"/>
          <w:sz w:val="24"/>
          <w:szCs w:val="24"/>
          <w:lang w:val="en-US" w:eastAsia="zh-CN"/>
        </w:rPr>
        <w:t>CO、氨气</w:t>
      </w:r>
      <w:r>
        <w:rPr>
          <w:rFonts w:hint="default" w:ascii="Times New Roman" w:hAnsi="Times New Roman" w:eastAsia="宋体" w:cs="Times New Roman"/>
          <w:color w:val="auto"/>
          <w:kern w:val="0"/>
          <w:sz w:val="24"/>
          <w:szCs w:val="24"/>
        </w:rPr>
        <w:t>等有毒气体，在运行过程一旦泄漏极易引起中毒事故。</w:t>
      </w:r>
    </w:p>
    <w:p w14:paraId="6FA92BF3">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lang w:eastAsia="zh-CN"/>
        </w:rPr>
      </w:pPr>
      <w:r>
        <w:rPr>
          <w:rFonts w:hint="default" w:ascii="Times New Roman" w:hAnsi="Times New Roman" w:eastAsia="宋体" w:cs="Times New Roman"/>
          <w:color w:val="auto"/>
          <w:kern w:val="0"/>
          <w:sz w:val="24"/>
          <w:szCs w:val="24"/>
        </w:rPr>
        <w:t>（3）生产设备发生泄漏，会导</w:t>
      </w:r>
      <w:r>
        <w:rPr>
          <w:rFonts w:hint="default" w:ascii="Times New Roman" w:hAnsi="Times New Roman" w:cs="Times New Roman"/>
          <w:color w:val="auto"/>
          <w:kern w:val="0"/>
          <w:sz w:val="24"/>
          <w:szCs w:val="24"/>
          <w:lang w:eastAsia="zh-CN"/>
        </w:rPr>
        <w:t>致</w:t>
      </w:r>
      <w:r>
        <w:rPr>
          <w:rFonts w:hint="default" w:ascii="Times New Roman" w:hAnsi="Times New Roman" w:eastAsia="宋体" w:cs="Times New Roman"/>
          <w:color w:val="auto"/>
          <w:kern w:val="0"/>
          <w:sz w:val="24"/>
          <w:szCs w:val="24"/>
        </w:rPr>
        <w:t>废气不经环保设备处理直接释放到大气中，污染空气</w:t>
      </w:r>
      <w:r>
        <w:rPr>
          <w:rFonts w:hint="default" w:ascii="Times New Roman" w:hAnsi="Times New Roman" w:eastAsia="宋体" w:cs="Times New Roman"/>
          <w:color w:val="auto"/>
          <w:kern w:val="0"/>
          <w:sz w:val="24"/>
          <w:szCs w:val="24"/>
          <w:lang w:eastAsia="zh-CN"/>
        </w:rPr>
        <w:t>。</w:t>
      </w:r>
    </w:p>
    <w:p w14:paraId="7940BAF1">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4</w:t>
      </w:r>
      <w:r>
        <w:rPr>
          <w:rFonts w:hint="default" w:ascii="Times New Roman" w:hAnsi="Times New Roman" w:eastAsia="宋体" w:cs="Times New Roman"/>
          <w:color w:val="auto"/>
          <w:kern w:val="0"/>
          <w:sz w:val="24"/>
          <w:szCs w:val="24"/>
        </w:rPr>
        <w:t>、储运区风险识别</w:t>
      </w:r>
    </w:p>
    <w:p w14:paraId="34340A88">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具体如下：</w:t>
      </w:r>
    </w:p>
    <w:p w14:paraId="5229628B">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1）运输过程</w:t>
      </w:r>
    </w:p>
    <w:p w14:paraId="3571D9F8">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（1）人为因素</w:t>
      </w:r>
    </w:p>
    <w:p w14:paraId="6FAF3FC5">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人为因素主要由驾驶员、押运员、装卸管理人员的违规工作引起，在运输过程中疲劳驾驶、盲目开快车、强行会车、超车、酒后驾车等极容易引起撞车、翻车事故。</w:t>
      </w:r>
    </w:p>
    <w:p w14:paraId="14F50805">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（2）车辆因素</w:t>
      </w:r>
    </w:p>
    <w:p w14:paraId="4E3CFB10">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危险</w:t>
      </w:r>
      <w:r>
        <w:rPr>
          <w:rFonts w:hint="default" w:ascii="Times New Roman" w:hAnsi="Times New Roman" w:eastAsia="宋体" w:cs="Times New Roman"/>
          <w:color w:val="auto"/>
          <w:kern w:val="0"/>
          <w:sz w:val="24"/>
          <w:szCs w:val="24"/>
          <w:lang w:val="en-US" w:eastAsia="zh-CN"/>
        </w:rPr>
        <w:t>物质</w:t>
      </w:r>
      <w:r>
        <w:rPr>
          <w:rFonts w:hint="default" w:ascii="Times New Roman" w:hAnsi="Times New Roman" w:eastAsia="宋体" w:cs="Times New Roman"/>
          <w:color w:val="auto"/>
          <w:kern w:val="0"/>
          <w:sz w:val="24"/>
          <w:szCs w:val="24"/>
        </w:rPr>
        <w:t>运输车辆的安全状况是引起事故的一个重要因素，车辆技术状况的好坏，是安全运输的基础，如果车况不好会严重影响行车安全，导致事故发生。</w:t>
      </w:r>
    </w:p>
    <w:p w14:paraId="107E052F">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（3）客观因素</w:t>
      </w:r>
    </w:p>
    <w:p w14:paraId="5E4D042F">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客观因素指道路状况、天气状况等。当运输车辆通过地面不平整的道路时会剧烈震动，可能使车辆机件损坏，使包装容器之间发生碰撞而损坏；在泥泞的道路上，在山道、弯道较多的路段容易发生侧滑而引发事故；大雨天、大雾天或冰雪天会因为视线不清、路滑造成车辆碰撞或撞车而引发事故。</w:t>
      </w:r>
    </w:p>
    <w:p w14:paraId="38D22839">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2）厂区储存过程</w:t>
      </w:r>
    </w:p>
    <w:p w14:paraId="6DE625DD">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lang w:val="en-US" w:eastAsia="zh-CN"/>
        </w:rPr>
      </w:pPr>
      <w:r>
        <w:rPr>
          <w:rFonts w:hint="default" w:ascii="Times New Roman" w:hAnsi="Times New Roman" w:cs="Times New Roman"/>
          <w:color w:val="auto"/>
          <w:kern w:val="0"/>
          <w:sz w:val="24"/>
          <w:szCs w:val="24"/>
          <w:lang w:eastAsia="zh-CN"/>
        </w:rPr>
        <w:t>天然气</w:t>
      </w:r>
      <w:r>
        <w:rPr>
          <w:rFonts w:hint="default" w:ascii="Times New Roman" w:hAnsi="Times New Roman" w:cs="Times New Roman"/>
          <w:color w:val="auto"/>
          <w:kern w:val="0"/>
          <w:sz w:val="24"/>
          <w:szCs w:val="24"/>
          <w:lang w:val="en-US" w:eastAsia="zh-CN"/>
        </w:rPr>
        <w:t>为管道输送，</w:t>
      </w:r>
      <w:r>
        <w:rPr>
          <w:rFonts w:hint="default" w:ascii="Times New Roman" w:hAnsi="Times New Roman" w:eastAsia="宋体" w:cs="Times New Roman"/>
          <w:color w:val="auto"/>
          <w:kern w:val="0"/>
          <w:sz w:val="24"/>
          <w:szCs w:val="24"/>
        </w:rPr>
        <w:t>阀门和法兰损坏使</w:t>
      </w:r>
      <w:r>
        <w:rPr>
          <w:rFonts w:hint="default" w:ascii="Times New Roman" w:hAnsi="Times New Roman" w:cs="Times New Roman"/>
          <w:color w:val="auto"/>
          <w:kern w:val="0"/>
          <w:sz w:val="24"/>
          <w:szCs w:val="24"/>
          <w:lang w:eastAsia="zh-CN"/>
        </w:rPr>
        <w:t>天然气</w:t>
      </w:r>
      <w:r>
        <w:rPr>
          <w:rFonts w:hint="default" w:ascii="Times New Roman" w:hAnsi="Times New Roman" w:cs="Times New Roman"/>
          <w:color w:val="auto"/>
          <w:kern w:val="0"/>
          <w:sz w:val="24"/>
          <w:szCs w:val="24"/>
          <w:lang w:val="en-US" w:eastAsia="zh-CN"/>
        </w:rPr>
        <w:t>泄漏，易发生火灾、爆炸事故，</w:t>
      </w:r>
      <w:r>
        <w:rPr>
          <w:rFonts w:hint="default" w:ascii="Times New Roman" w:hAnsi="Times New Roman" w:eastAsia="宋体" w:cs="Times New Roman"/>
          <w:color w:val="auto"/>
          <w:kern w:val="0"/>
          <w:sz w:val="24"/>
          <w:szCs w:val="24"/>
        </w:rPr>
        <w:t>大气环境、地表水、地下水和土壤</w:t>
      </w:r>
      <w:r>
        <w:rPr>
          <w:rFonts w:hint="default" w:ascii="Times New Roman" w:hAnsi="Times New Roman" w:eastAsia="宋体" w:cs="Times New Roman"/>
          <w:color w:val="auto"/>
          <w:kern w:val="0"/>
          <w:sz w:val="24"/>
          <w:szCs w:val="24"/>
          <w:lang w:val="en-US" w:eastAsia="zh-CN"/>
        </w:rPr>
        <w:t>造成污染。</w:t>
      </w:r>
    </w:p>
    <w:p w14:paraId="2A19F98F">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cs="Times New Roman"/>
          <w:color w:val="auto"/>
          <w:kern w:val="0"/>
          <w:sz w:val="24"/>
          <w:szCs w:val="24"/>
          <w:lang w:val="en-US" w:eastAsia="zh-CN"/>
        </w:rPr>
      </w:pPr>
      <w:r>
        <w:rPr>
          <w:rFonts w:hint="default" w:ascii="Times New Roman" w:hAnsi="Times New Roman" w:cs="Times New Roman"/>
          <w:color w:val="auto"/>
          <w:kern w:val="0"/>
          <w:sz w:val="24"/>
          <w:szCs w:val="24"/>
          <w:lang w:val="en-US" w:eastAsia="zh-CN"/>
        </w:rPr>
        <w:t>原料仓库主要存放物质为硫酸铵、尿素、磷酸二铵、磷酸一铵，均为固体。这些危险物质在运输、装卸、使用、储存过程中由于员工操作失误、储存点防雨功能薄弱等情况，使危险物质存在泄漏、逸散等情况，从而污染大气、土壤和地下水。</w:t>
      </w:r>
    </w:p>
    <w:p w14:paraId="72EE41BE">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5</w:t>
      </w:r>
      <w:r>
        <w:rPr>
          <w:rFonts w:hint="default" w:ascii="Times New Roman" w:hAnsi="Times New Roman" w:eastAsia="宋体" w:cs="Times New Roman"/>
          <w:color w:val="auto"/>
          <w:kern w:val="0"/>
          <w:sz w:val="24"/>
          <w:szCs w:val="24"/>
        </w:rPr>
        <w:t>、公用工程区风险识别</w:t>
      </w:r>
    </w:p>
    <w:p w14:paraId="4C3E685A">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电气设备和输电线路存在触电危险。由于电器设备本身缺陷或绝缘损坏、线头外露等未能及时发现和整改等原因，可能造成触电和火灾事故的发生。</w:t>
      </w:r>
    </w:p>
    <w:p w14:paraId="290D3C34">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6</w:t>
      </w:r>
      <w:r>
        <w:rPr>
          <w:rFonts w:hint="default" w:ascii="Times New Roman" w:hAnsi="Times New Roman" w:eastAsia="宋体" w:cs="Times New Roman"/>
          <w:color w:val="auto"/>
          <w:kern w:val="0"/>
          <w:sz w:val="24"/>
          <w:szCs w:val="24"/>
        </w:rPr>
        <w:t>、工程环保设施区</w:t>
      </w:r>
    </w:p>
    <w:p w14:paraId="5E336477">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废气处理装置存在因故障不能正常工作，污染物不能达标排放，引发大气环境污染风险</w:t>
      </w:r>
      <w:r>
        <w:rPr>
          <w:rFonts w:hint="eastAsia" w:cs="Times New Roman"/>
          <w:color w:val="auto"/>
          <w:kern w:val="0"/>
          <w:sz w:val="24"/>
          <w:szCs w:val="24"/>
          <w:lang w:val="en-US" w:eastAsia="zh-CN"/>
        </w:rPr>
        <w:t>；水喷淋废水泄漏，</w:t>
      </w:r>
      <w:r>
        <w:rPr>
          <w:rFonts w:hint="default" w:ascii="Times New Roman" w:hAnsi="Times New Roman" w:cs="Times New Roman"/>
          <w:color w:val="auto"/>
          <w:kern w:val="0"/>
          <w:sz w:val="24"/>
          <w:szCs w:val="24"/>
          <w:lang w:val="en-US" w:eastAsia="zh-CN"/>
        </w:rPr>
        <w:t>污染大气、土壤和地下水</w:t>
      </w:r>
      <w:r>
        <w:rPr>
          <w:rFonts w:hint="default" w:ascii="Times New Roman" w:hAnsi="Times New Roman" w:eastAsia="宋体" w:cs="Times New Roman"/>
          <w:color w:val="auto"/>
          <w:kern w:val="0"/>
          <w:sz w:val="24"/>
          <w:szCs w:val="24"/>
        </w:rPr>
        <w:t>。</w:t>
      </w:r>
    </w:p>
    <w:p w14:paraId="59202C8B">
      <w:pPr>
        <w:keepNext w:val="0"/>
        <w:keepLines w:val="0"/>
        <w:pageBreakBefore w:val="0"/>
        <w:widowControl/>
        <w:suppressLineNumbers w:val="0"/>
        <w:kinsoku/>
        <w:wordWrap/>
        <w:overflowPunct/>
        <w:topLinePunct w:val="0"/>
        <w:bidi w:val="0"/>
        <w:adjustRightInd w:val="0"/>
        <w:snapToGrid w:val="0"/>
        <w:spacing w:line="360" w:lineRule="auto"/>
        <w:jc w:val="both"/>
        <w:textAlignment w:val="auto"/>
        <w:outlineLvl w:val="2"/>
        <w:rPr>
          <w:rFonts w:hint="default" w:ascii="Times New Roman" w:hAnsi="Times New Roman" w:eastAsia="宋体" w:cs="Times New Roman"/>
          <w:b/>
          <w:bCs w:val="0"/>
          <w:color w:val="auto"/>
          <w:kern w:val="2"/>
          <w:sz w:val="30"/>
          <w:szCs w:val="30"/>
          <w:lang w:val="en-US" w:eastAsia="zh-CN"/>
        </w:rPr>
      </w:pPr>
      <w:bookmarkStart w:id="58" w:name="_Toc23815"/>
      <w:r>
        <w:rPr>
          <w:rFonts w:hint="default" w:ascii="Times New Roman" w:hAnsi="Times New Roman" w:eastAsia="宋体" w:cs="Times New Roman"/>
          <w:b/>
          <w:bCs w:val="0"/>
          <w:color w:val="auto"/>
          <w:kern w:val="2"/>
          <w:sz w:val="30"/>
          <w:szCs w:val="30"/>
          <w:lang w:val="en-US" w:eastAsia="zh-CN"/>
        </w:rPr>
        <w:t>5.4 物质向环境转移途径识别</w:t>
      </w:r>
      <w:bookmarkEnd w:id="58"/>
    </w:p>
    <w:p w14:paraId="4094BA96">
      <w:pPr>
        <w:spacing w:line="360" w:lineRule="auto"/>
        <w:ind w:firstLine="480" w:firstLineChars="200"/>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color w:val="auto"/>
          <w:kern w:val="0"/>
          <w:sz w:val="24"/>
          <w:lang w:eastAsia="zh-CN"/>
        </w:rPr>
        <w:t>在本项目建设完成后，建设单位在运营过程中危险物质扩散途径主要有三类</w:t>
      </w:r>
      <w:r>
        <w:rPr>
          <w:rFonts w:hint="default" w:ascii="Times New Roman" w:hAnsi="Times New Roman" w:cs="Times New Roman"/>
          <w:color w:val="auto"/>
          <w:kern w:val="0"/>
          <w:sz w:val="24"/>
          <w:lang w:eastAsia="zh-CN"/>
        </w:rPr>
        <w:t>：</w:t>
      </w:r>
    </w:p>
    <w:p w14:paraId="584C001D">
      <w:pPr>
        <w:spacing w:line="360" w:lineRule="auto"/>
        <w:ind w:firstLine="480" w:firstLineChars="200"/>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color w:val="auto"/>
          <w:kern w:val="0"/>
          <w:sz w:val="24"/>
          <w:lang w:eastAsia="zh-CN"/>
        </w:rPr>
        <w:t>1、环境空气扩散</w:t>
      </w:r>
    </w:p>
    <w:p w14:paraId="1F9CF4C8">
      <w:pPr>
        <w:spacing w:line="360" w:lineRule="auto"/>
        <w:ind w:firstLine="480" w:firstLineChars="200"/>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color w:val="auto"/>
          <w:kern w:val="0"/>
          <w:sz w:val="24"/>
          <w:lang w:eastAsia="zh-CN"/>
        </w:rPr>
        <w:t>项目有毒有害物质</w:t>
      </w:r>
      <w:r>
        <w:rPr>
          <w:rFonts w:hint="default" w:ascii="Times New Roman" w:hAnsi="Times New Roman" w:cs="Times New Roman"/>
          <w:color w:val="auto"/>
          <w:kern w:val="0"/>
          <w:sz w:val="24"/>
          <w:lang w:eastAsia="zh-CN"/>
        </w:rPr>
        <w:t>（</w:t>
      </w:r>
      <w:r>
        <w:rPr>
          <w:rFonts w:hint="default" w:ascii="Times New Roman" w:hAnsi="Times New Roman" w:cs="Times New Roman"/>
          <w:color w:val="auto"/>
          <w:kern w:val="0"/>
          <w:sz w:val="24"/>
          <w:lang w:val="en-US" w:eastAsia="zh-CN"/>
        </w:rPr>
        <w:t>天然气、硫酸铵、尿素等</w:t>
      </w:r>
      <w:r>
        <w:rPr>
          <w:rFonts w:hint="default" w:ascii="Times New Roman" w:hAnsi="Times New Roman" w:cs="Times New Roman"/>
          <w:color w:val="auto"/>
          <w:kern w:val="0"/>
          <w:sz w:val="24"/>
          <w:lang w:eastAsia="zh-CN"/>
        </w:rPr>
        <w:t>）</w:t>
      </w:r>
      <w:r>
        <w:rPr>
          <w:rFonts w:hint="default" w:ascii="Times New Roman" w:hAnsi="Times New Roman" w:eastAsia="宋体" w:cs="Times New Roman"/>
          <w:color w:val="auto"/>
          <w:kern w:val="0"/>
          <w:sz w:val="24"/>
          <w:lang w:eastAsia="zh-CN"/>
        </w:rPr>
        <w:t>在运输、装卸、储存和使用过程中，车间、仓库等发生火灾，废</w:t>
      </w:r>
      <w:r>
        <w:rPr>
          <w:rFonts w:hint="default" w:ascii="Times New Roman" w:hAnsi="Times New Roman" w:cs="Times New Roman"/>
          <w:color w:val="auto"/>
          <w:kern w:val="0"/>
          <w:sz w:val="24"/>
          <w:lang w:val="en-US" w:eastAsia="zh-CN"/>
        </w:rPr>
        <w:t>气</w:t>
      </w:r>
      <w:r>
        <w:rPr>
          <w:rFonts w:hint="default" w:ascii="Times New Roman" w:hAnsi="Times New Roman" w:eastAsia="宋体" w:cs="Times New Roman"/>
          <w:color w:val="auto"/>
          <w:kern w:val="0"/>
          <w:sz w:val="24"/>
          <w:lang w:eastAsia="zh-CN"/>
        </w:rPr>
        <w:t>处理措施发生故障，有毒有害物质散发到空气中，污染环境。</w:t>
      </w:r>
    </w:p>
    <w:p w14:paraId="417FD6D8">
      <w:pPr>
        <w:spacing w:line="360" w:lineRule="auto"/>
        <w:ind w:firstLine="480" w:firstLineChars="200"/>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color w:val="auto"/>
          <w:kern w:val="0"/>
          <w:sz w:val="24"/>
          <w:lang w:eastAsia="zh-CN"/>
        </w:rPr>
        <w:t>2、地表水体或地下水体扩散</w:t>
      </w:r>
    </w:p>
    <w:p w14:paraId="3ABC7BBA">
      <w:pPr>
        <w:spacing w:line="360" w:lineRule="auto"/>
        <w:ind w:firstLine="480" w:firstLineChars="200"/>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color w:val="auto"/>
          <w:kern w:val="0"/>
          <w:sz w:val="24"/>
          <w:lang w:eastAsia="zh-CN"/>
        </w:rPr>
        <w:t>项目有毒有害物质</w:t>
      </w:r>
      <w:r>
        <w:rPr>
          <w:rFonts w:hint="default" w:ascii="Times New Roman" w:hAnsi="Times New Roman" w:cs="Times New Roman"/>
          <w:color w:val="auto"/>
          <w:kern w:val="0"/>
          <w:sz w:val="24"/>
          <w:lang w:eastAsia="zh-CN"/>
        </w:rPr>
        <w:t>（</w:t>
      </w:r>
      <w:r>
        <w:rPr>
          <w:rFonts w:hint="default" w:ascii="Times New Roman" w:hAnsi="Times New Roman" w:cs="Times New Roman"/>
          <w:color w:val="auto"/>
          <w:kern w:val="0"/>
          <w:sz w:val="24"/>
          <w:lang w:val="en-US" w:eastAsia="zh-CN"/>
        </w:rPr>
        <w:t>硫酸铵</w:t>
      </w:r>
      <w:r>
        <w:rPr>
          <w:rFonts w:hint="eastAsia" w:cs="Times New Roman"/>
          <w:color w:val="auto"/>
          <w:kern w:val="0"/>
          <w:sz w:val="24"/>
          <w:lang w:val="en-US" w:eastAsia="zh-CN"/>
        </w:rPr>
        <w:t>、水喷淋废水</w:t>
      </w:r>
      <w:r>
        <w:rPr>
          <w:rFonts w:hint="default" w:ascii="Times New Roman" w:hAnsi="Times New Roman" w:cs="Times New Roman"/>
          <w:color w:val="auto"/>
          <w:kern w:val="0"/>
          <w:sz w:val="24"/>
          <w:lang w:val="en-US" w:eastAsia="zh-CN"/>
        </w:rPr>
        <w:t>等</w:t>
      </w:r>
      <w:r>
        <w:rPr>
          <w:rFonts w:hint="default" w:ascii="Times New Roman" w:hAnsi="Times New Roman" w:cs="Times New Roman"/>
          <w:color w:val="auto"/>
          <w:kern w:val="0"/>
          <w:sz w:val="24"/>
          <w:lang w:eastAsia="zh-CN"/>
        </w:rPr>
        <w:t>）</w:t>
      </w:r>
      <w:r>
        <w:rPr>
          <w:rFonts w:hint="default" w:ascii="Times New Roman" w:hAnsi="Times New Roman" w:eastAsia="宋体" w:cs="Times New Roman"/>
          <w:color w:val="auto"/>
          <w:kern w:val="0"/>
          <w:sz w:val="24"/>
          <w:lang w:eastAsia="zh-CN"/>
        </w:rPr>
        <w:t>在运输、装卸、储存和使用过程中发生泄漏，经过地表径流或者雨水管道进入周边水体，污染周边水体的水质</w:t>
      </w:r>
      <w:r>
        <w:rPr>
          <w:rFonts w:hint="default" w:ascii="Times New Roman" w:hAnsi="Times New Roman" w:cs="Times New Roman"/>
          <w:color w:val="auto"/>
          <w:kern w:val="0"/>
          <w:sz w:val="24"/>
          <w:lang w:eastAsia="zh-CN"/>
        </w:rPr>
        <w:t>；</w:t>
      </w:r>
      <w:r>
        <w:rPr>
          <w:rFonts w:hint="default" w:ascii="Times New Roman" w:hAnsi="Times New Roman" w:eastAsia="宋体" w:cs="Times New Roman"/>
          <w:color w:val="auto"/>
          <w:kern w:val="0"/>
          <w:sz w:val="24"/>
          <w:lang w:eastAsia="zh-CN"/>
        </w:rPr>
        <w:t>通过地表下渗污染地下水水质</w:t>
      </w:r>
      <w:r>
        <w:rPr>
          <w:rFonts w:hint="default" w:ascii="Times New Roman" w:hAnsi="Times New Roman" w:cs="Times New Roman"/>
          <w:color w:val="auto"/>
          <w:kern w:val="0"/>
          <w:sz w:val="24"/>
          <w:lang w:eastAsia="zh-CN"/>
        </w:rPr>
        <w:t>。</w:t>
      </w:r>
    </w:p>
    <w:p w14:paraId="55C19556">
      <w:pPr>
        <w:spacing w:line="360" w:lineRule="auto"/>
        <w:ind w:firstLine="480" w:firstLineChars="200"/>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color w:val="auto"/>
          <w:kern w:val="0"/>
          <w:sz w:val="24"/>
          <w:lang w:eastAsia="zh-CN"/>
        </w:rPr>
        <w:t>3、土壤和地下水扩散</w:t>
      </w:r>
    </w:p>
    <w:p w14:paraId="4500092B">
      <w:pPr>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eastAsia="zh-CN"/>
        </w:rPr>
        <w:t>项目有毒有害物质</w:t>
      </w:r>
      <w:r>
        <w:rPr>
          <w:rFonts w:hint="default" w:ascii="Times New Roman" w:hAnsi="Times New Roman" w:cs="Times New Roman"/>
          <w:color w:val="auto"/>
          <w:kern w:val="0"/>
          <w:sz w:val="24"/>
          <w:lang w:eastAsia="zh-CN"/>
        </w:rPr>
        <w:t>（</w:t>
      </w:r>
      <w:r>
        <w:rPr>
          <w:rFonts w:hint="default" w:ascii="Times New Roman" w:hAnsi="Times New Roman" w:cs="Times New Roman"/>
          <w:color w:val="auto"/>
          <w:kern w:val="0"/>
          <w:sz w:val="24"/>
          <w:lang w:val="en-US" w:eastAsia="zh-CN"/>
        </w:rPr>
        <w:t>硫酸铵</w:t>
      </w:r>
      <w:r>
        <w:rPr>
          <w:rFonts w:hint="eastAsia" w:cs="Times New Roman"/>
          <w:color w:val="auto"/>
          <w:kern w:val="0"/>
          <w:sz w:val="24"/>
          <w:lang w:val="en-US" w:eastAsia="zh-CN"/>
        </w:rPr>
        <w:t>、水喷淋废水</w:t>
      </w:r>
      <w:r>
        <w:rPr>
          <w:rFonts w:hint="default" w:ascii="Times New Roman" w:hAnsi="Times New Roman" w:cs="Times New Roman"/>
          <w:color w:val="auto"/>
          <w:kern w:val="0"/>
          <w:sz w:val="24"/>
          <w:lang w:val="en-US" w:eastAsia="zh-CN"/>
        </w:rPr>
        <w:t>等</w:t>
      </w:r>
      <w:r>
        <w:rPr>
          <w:rFonts w:hint="default" w:ascii="Times New Roman" w:hAnsi="Times New Roman" w:cs="Times New Roman"/>
          <w:color w:val="auto"/>
          <w:kern w:val="0"/>
          <w:sz w:val="24"/>
          <w:lang w:eastAsia="zh-CN"/>
        </w:rPr>
        <w:t>）</w:t>
      </w:r>
      <w:r>
        <w:rPr>
          <w:rFonts w:hint="default" w:ascii="Times New Roman" w:hAnsi="Times New Roman" w:eastAsia="宋体" w:cs="Times New Roman"/>
          <w:color w:val="auto"/>
          <w:kern w:val="0"/>
          <w:sz w:val="24"/>
          <w:lang w:eastAsia="zh-CN"/>
        </w:rPr>
        <w:t>在运输、装卸、储存和使用过程中发生泄漏，如遇裸露地表，则直接污染土壤。在土壤中的有毒有害物质，通过下渗等作用，进而污染地下水</w:t>
      </w:r>
      <w:r>
        <w:rPr>
          <w:rFonts w:hint="default" w:ascii="Times New Roman" w:hAnsi="Times New Roman" w:eastAsia="宋体" w:cs="Times New Roman"/>
          <w:color w:val="auto"/>
          <w:kern w:val="0"/>
          <w:sz w:val="24"/>
        </w:rPr>
        <w:t>。</w:t>
      </w:r>
    </w:p>
    <w:p w14:paraId="63525522">
      <w:pPr>
        <w:keepNext w:val="0"/>
        <w:keepLines w:val="0"/>
        <w:pageBreakBefore w:val="0"/>
        <w:widowControl/>
        <w:suppressLineNumbers w:val="0"/>
        <w:kinsoku/>
        <w:wordWrap/>
        <w:overflowPunct/>
        <w:topLinePunct w:val="0"/>
        <w:bidi w:val="0"/>
        <w:adjustRightInd w:val="0"/>
        <w:snapToGrid w:val="0"/>
        <w:spacing w:line="360" w:lineRule="auto"/>
        <w:jc w:val="both"/>
        <w:textAlignment w:val="auto"/>
        <w:outlineLvl w:val="2"/>
        <w:rPr>
          <w:rFonts w:hint="default" w:ascii="Times New Roman" w:hAnsi="Times New Roman" w:eastAsia="宋体" w:cs="Times New Roman"/>
          <w:b/>
          <w:bCs w:val="0"/>
          <w:color w:val="auto"/>
          <w:kern w:val="2"/>
          <w:sz w:val="30"/>
          <w:szCs w:val="30"/>
          <w:lang w:val="en-US" w:eastAsia="zh-CN"/>
        </w:rPr>
      </w:pPr>
      <w:bookmarkStart w:id="59" w:name="_Toc28522"/>
      <w:r>
        <w:rPr>
          <w:rFonts w:hint="default" w:ascii="Times New Roman" w:hAnsi="Times New Roman" w:eastAsia="宋体" w:cs="Times New Roman"/>
          <w:b/>
          <w:bCs w:val="0"/>
          <w:color w:val="auto"/>
          <w:kern w:val="2"/>
          <w:sz w:val="30"/>
          <w:szCs w:val="30"/>
          <w:lang w:val="en-US" w:eastAsia="zh-CN"/>
        </w:rPr>
        <w:t>5.5 风险识别结果</w:t>
      </w:r>
      <w:bookmarkEnd w:id="59"/>
    </w:p>
    <w:p w14:paraId="68A29A49">
      <w:pPr>
        <w:pStyle w:val="1314"/>
        <w:spacing w:line="360" w:lineRule="auto"/>
        <w:ind w:firstLine="480" w:firstLineChars="200"/>
        <w:jc w:val="both"/>
        <w:textAlignment w:val="baseline"/>
        <w:rPr>
          <w:rFonts w:hint="default" w:ascii="Times New Roman" w:hAnsi="Times New Roman" w:cs="Times New Roman"/>
          <w:color w:val="auto"/>
          <w:lang w:val="en-US" w:eastAsia="zh-CN"/>
        </w:rPr>
      </w:pPr>
      <w:bookmarkStart w:id="60" w:name="_Toc33691325"/>
      <w:r>
        <w:rPr>
          <w:rFonts w:hint="default" w:ascii="Times New Roman" w:hAnsi="Times New Roman" w:eastAsia="宋体" w:cs="Times New Roman"/>
          <w:color w:val="auto"/>
          <w:lang w:val="en-US" w:eastAsia="zh-CN"/>
        </w:rPr>
        <w:t>（1）</w:t>
      </w:r>
      <w:r>
        <w:rPr>
          <w:rFonts w:hint="default" w:ascii="Times New Roman" w:hAnsi="Times New Roman" w:eastAsia="宋体" w:cs="Times New Roman"/>
          <w:color w:val="auto"/>
          <w:lang w:val="en-US"/>
        </w:rPr>
        <w:t>硫酸铵</w:t>
      </w:r>
      <w:r>
        <w:rPr>
          <w:rFonts w:hint="eastAsia" w:ascii="Times New Roman" w:hAnsi="Times New Roman" w:cs="Times New Roman"/>
          <w:color w:val="auto"/>
          <w:lang w:val="en-US" w:eastAsia="zh-CN"/>
        </w:rPr>
        <w:t>、</w:t>
      </w:r>
      <w:r>
        <w:rPr>
          <w:rFonts w:hint="eastAsia" w:cs="Times New Roman"/>
          <w:color w:val="auto"/>
          <w:kern w:val="0"/>
          <w:sz w:val="24"/>
          <w:lang w:val="en-US" w:eastAsia="zh-CN"/>
        </w:rPr>
        <w:t>水喷淋废水</w:t>
      </w:r>
      <w:r>
        <w:rPr>
          <w:rFonts w:hint="default" w:ascii="Times New Roman" w:hAnsi="Times New Roman" w:eastAsia="宋体" w:cs="Times New Roman"/>
          <w:color w:val="auto"/>
          <w:lang w:val="en-US"/>
        </w:rPr>
        <w:t>意外泄漏，溶解至雨水内，随雨水一同进入雨水管道，若处理不及时，可能会沿着雨水排放口泄漏至厂外</w:t>
      </w:r>
      <w:r>
        <w:rPr>
          <w:rFonts w:hint="default" w:ascii="Times New Roman" w:hAnsi="Times New Roman" w:cs="Times New Roman"/>
          <w:color w:val="auto"/>
          <w:lang w:val="en-US" w:eastAsia="zh-CN"/>
        </w:rPr>
        <w:t>，</w:t>
      </w:r>
      <w:r>
        <w:rPr>
          <w:rFonts w:hint="default" w:ascii="Times New Roman" w:hAnsi="Times New Roman" w:eastAsia="宋体" w:cs="Times New Roman"/>
          <w:color w:val="auto"/>
          <w:lang w:val="en-US"/>
        </w:rPr>
        <w:t>进入地下水、土壤、地表水造成污染等</w:t>
      </w:r>
      <w:r>
        <w:rPr>
          <w:rFonts w:hint="default" w:ascii="Times New Roman" w:hAnsi="Times New Roman" w:cs="Times New Roman"/>
          <w:color w:val="auto"/>
          <w:lang w:val="en-US" w:eastAsia="zh-CN"/>
        </w:rPr>
        <w:t>。遇火灾，</w:t>
      </w:r>
      <w:r>
        <w:rPr>
          <w:rFonts w:hint="default" w:ascii="Times New Roman" w:hAnsi="Times New Roman" w:eastAsia="宋体" w:cs="Times New Roman"/>
          <w:color w:val="auto"/>
          <w:lang w:val="en-US" w:eastAsia="zh-CN"/>
        </w:rPr>
        <w:t>硫酸铵受热分解产生氨气</w:t>
      </w:r>
      <w:r>
        <w:rPr>
          <w:rFonts w:hint="default" w:ascii="Times New Roman" w:hAnsi="Times New Roman" w:cs="Times New Roman"/>
          <w:color w:val="auto"/>
          <w:lang w:val="en-US" w:eastAsia="zh-CN"/>
        </w:rPr>
        <w:t>，以及</w:t>
      </w:r>
      <w:r>
        <w:rPr>
          <w:rFonts w:hint="default" w:ascii="Times New Roman" w:hAnsi="Times New Roman" w:eastAsia="宋体" w:cs="Times New Roman"/>
          <w:color w:val="auto"/>
          <w:lang w:val="en-US" w:eastAsia="zh-CN"/>
        </w:rPr>
        <w:t>氨气燃烧导致大气污染</w:t>
      </w:r>
      <w:r>
        <w:rPr>
          <w:rFonts w:hint="default" w:ascii="Times New Roman" w:hAnsi="Times New Roman" w:cs="Times New Roman"/>
          <w:color w:val="auto"/>
          <w:lang w:val="en-US" w:eastAsia="zh-CN"/>
        </w:rPr>
        <w:t>。</w:t>
      </w:r>
    </w:p>
    <w:p w14:paraId="33E1927F">
      <w:pPr>
        <w:pStyle w:val="1314"/>
        <w:spacing w:line="360" w:lineRule="auto"/>
        <w:ind w:firstLine="480" w:firstLineChars="200"/>
        <w:jc w:val="both"/>
        <w:textAlignment w:val="baseline"/>
        <w:rPr>
          <w:rFonts w:hint="default" w:ascii="Times New Roman" w:hAnsi="Times New Roman" w:eastAsia="宋体" w:cs="Times New Roman"/>
          <w:color w:val="auto"/>
          <w:lang w:val="en-US"/>
        </w:rPr>
      </w:pP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lang w:val="en-US"/>
        </w:rPr>
        <w:t>天然气遇明火或不明火源会引起火灾爆炸事件，燃烧废气会产生大量的CO、NOx，对下风向的敏感点造成大气污染等。</w:t>
      </w:r>
    </w:p>
    <w:p w14:paraId="39918294">
      <w:pPr>
        <w:pStyle w:val="1314"/>
        <w:spacing w:line="360" w:lineRule="auto"/>
        <w:ind w:left="9" w:right="5376"/>
        <w:jc w:val="both"/>
        <w:textAlignment w:val="baseline"/>
        <w:outlineLvl w:val="1"/>
        <w:rPr>
          <w:rFonts w:hint="default" w:ascii="Times New Roman" w:hAnsi="Times New Roman" w:eastAsia="宋体" w:cs="Times New Roman"/>
          <w:b/>
          <w:bCs/>
          <w:color w:val="auto"/>
          <w:sz w:val="32"/>
          <w:szCs w:val="32"/>
          <w:highlight w:val="none"/>
          <w:lang w:val="en-US"/>
        </w:rPr>
      </w:pPr>
      <w:bookmarkStart w:id="61" w:name="_Toc31654"/>
      <w:r>
        <w:rPr>
          <w:rFonts w:hint="default" w:ascii="Times New Roman" w:hAnsi="Times New Roman" w:eastAsia="宋体" w:cs="Times New Roman"/>
          <w:b/>
          <w:bCs/>
          <w:color w:val="auto"/>
          <w:sz w:val="32"/>
          <w:szCs w:val="32"/>
          <w:highlight w:val="none"/>
          <w:lang w:val="en-US" w:eastAsia="zh-CN"/>
        </w:rPr>
        <w:t>6</w:t>
      </w:r>
      <w:r>
        <w:rPr>
          <w:rFonts w:hint="default" w:ascii="Times New Roman" w:hAnsi="Times New Roman" w:cs="Times New Roman"/>
          <w:b/>
          <w:bCs/>
          <w:color w:val="auto"/>
          <w:sz w:val="32"/>
          <w:szCs w:val="32"/>
          <w:highlight w:val="none"/>
          <w:lang w:val="en-US" w:eastAsia="zh-CN"/>
        </w:rPr>
        <w:t xml:space="preserve"> </w:t>
      </w:r>
      <w:r>
        <w:rPr>
          <w:rFonts w:hint="default" w:ascii="Times New Roman" w:hAnsi="Times New Roman" w:eastAsia="宋体" w:cs="Times New Roman"/>
          <w:b/>
          <w:bCs/>
          <w:color w:val="auto"/>
          <w:sz w:val="32"/>
          <w:szCs w:val="32"/>
          <w:highlight w:val="none"/>
          <w:lang w:val="en-US"/>
        </w:rPr>
        <w:t>风险事故情形分析</w:t>
      </w:r>
      <w:bookmarkEnd w:id="60"/>
      <w:bookmarkEnd w:id="61"/>
    </w:p>
    <w:p w14:paraId="2432F1DB">
      <w:pPr>
        <w:pStyle w:val="1314"/>
        <w:spacing w:line="360" w:lineRule="auto"/>
        <w:ind w:firstLine="48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根据《建设项目环境风险评价技术导则》(HJ169-2018)，“在风险识别的基础上，选择对环境影响较大并具有代表性</w:t>
      </w:r>
      <w:r>
        <w:rPr>
          <w:rFonts w:hint="default" w:ascii="Times New Roman" w:hAnsi="Times New Roman" w:eastAsia="宋体" w:cs="Times New Roman"/>
          <w:color w:val="auto"/>
          <w:highlight w:val="none"/>
          <w:lang w:val="en-US" w:eastAsia="zh-CN"/>
        </w:rPr>
        <w:t>的事故类型，设定风险事故情形”。本项目生产运营过程中涉及的风险物质主要为硫酸铵</w:t>
      </w:r>
      <w:r>
        <w:rPr>
          <w:rFonts w:hint="default" w:ascii="Times New Roman" w:hAnsi="Times New Roman" w:cs="Times New Roman"/>
          <w:color w:val="auto"/>
          <w:highlight w:val="none"/>
          <w:lang w:val="en-US" w:eastAsia="zh-CN"/>
        </w:rPr>
        <w:t>、天然气、液压油，其中液压油厂内不暂存，只存在于设备中，</w:t>
      </w:r>
      <w:r>
        <w:rPr>
          <w:rFonts w:hint="eastAsia" w:cs="Times New Roman"/>
          <w:color w:val="auto"/>
          <w:kern w:val="0"/>
          <w:sz w:val="24"/>
          <w:lang w:val="en-US" w:eastAsia="zh-CN"/>
        </w:rPr>
        <w:t>水喷淋废水主要存在于水喷淋装置中，更换时直接作为造粒用水用于生产，</w:t>
      </w:r>
      <w:r>
        <w:rPr>
          <w:rFonts w:hint="default" w:ascii="Times New Roman" w:hAnsi="Times New Roman" w:cs="Times New Roman"/>
          <w:color w:val="auto"/>
          <w:highlight w:val="none"/>
          <w:lang w:val="en-US" w:eastAsia="zh-CN"/>
        </w:rPr>
        <w:t>泄漏风险较小，天然气为管道输送，</w:t>
      </w:r>
      <w:r>
        <w:rPr>
          <w:rFonts w:hint="default" w:ascii="Times New Roman" w:hAnsi="Times New Roman" w:eastAsia="宋体" w:cs="Times New Roman"/>
          <w:color w:val="auto"/>
          <w:highlight w:val="none"/>
          <w:lang w:val="en-US"/>
        </w:rPr>
        <w:t>遇明火或不明火源会引起火灾爆炸事件，燃烧废气会产生大量的CO</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导致大气污染</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硫酸铵为固体，且本身不易燃，但是当厂区内发生火灾时，在</w:t>
      </w:r>
      <w:r>
        <w:rPr>
          <w:rFonts w:hint="default" w:ascii="Times New Roman" w:hAnsi="Times New Roman" w:cs="Times New Roman"/>
          <w:color w:val="auto"/>
          <w:highlight w:val="none"/>
          <w:lang w:val="en-US" w:eastAsia="zh-CN"/>
        </w:rPr>
        <w:t>原料仓库</w:t>
      </w:r>
      <w:r>
        <w:rPr>
          <w:rFonts w:hint="default" w:ascii="Times New Roman" w:hAnsi="Times New Roman" w:eastAsia="宋体" w:cs="Times New Roman"/>
          <w:color w:val="auto"/>
          <w:highlight w:val="none"/>
          <w:lang w:val="en-US" w:eastAsia="zh-CN"/>
        </w:rPr>
        <w:t>内存储的硫酸铵</w:t>
      </w:r>
      <w:r>
        <w:rPr>
          <w:rFonts w:hint="default" w:ascii="Times New Roman" w:hAnsi="Times New Roman" w:eastAsia="宋体" w:cs="Times New Roman"/>
          <w:color w:val="auto"/>
          <w:lang w:val="en-US" w:eastAsia="zh-CN"/>
        </w:rPr>
        <w:t>受热分解产生氨气</w:t>
      </w:r>
      <w:r>
        <w:rPr>
          <w:rFonts w:hint="default" w:ascii="Times New Roman" w:hAnsi="Times New Roman" w:cs="Times New Roman"/>
          <w:color w:val="auto"/>
          <w:lang w:val="en-US" w:eastAsia="zh-CN"/>
        </w:rPr>
        <w:t>，以及</w:t>
      </w:r>
      <w:r>
        <w:rPr>
          <w:rFonts w:hint="default" w:ascii="Times New Roman" w:hAnsi="Times New Roman" w:eastAsia="宋体" w:cs="Times New Roman"/>
          <w:color w:val="auto"/>
          <w:lang w:val="en-US" w:eastAsia="zh-CN"/>
        </w:rPr>
        <w:t>氨气燃烧导致大气污染，另外，在原料使用转运过程若硫酸铵洒落，硫酸铵为固体，一般情况下不会流出厂区，但遇下雨天气可能会通过厂区内雨水排放口进入到水环境，造成水质污染</w:t>
      </w:r>
      <w:r>
        <w:rPr>
          <w:rFonts w:hint="default" w:ascii="Times New Roman" w:hAnsi="Times New Roman" w:cs="Times New Roman"/>
          <w:color w:val="auto"/>
          <w:lang w:val="en-US" w:eastAsia="zh-CN"/>
        </w:rPr>
        <w:t>。</w:t>
      </w:r>
    </w:p>
    <w:p w14:paraId="1C063B28">
      <w:pPr>
        <w:pStyle w:val="1314"/>
        <w:spacing w:line="360" w:lineRule="auto"/>
        <w:ind w:left="9" w:right="5376"/>
        <w:jc w:val="both"/>
        <w:textAlignment w:val="baseline"/>
        <w:outlineLvl w:val="2"/>
        <w:rPr>
          <w:rFonts w:hint="default" w:ascii="Times New Roman" w:hAnsi="Times New Roman" w:eastAsia="宋体" w:cs="Times New Roman"/>
          <w:b/>
          <w:bCs/>
          <w:color w:val="auto"/>
          <w:sz w:val="30"/>
          <w:szCs w:val="30"/>
        </w:rPr>
      </w:pPr>
      <w:bookmarkStart w:id="62" w:name="_Toc32117"/>
      <w:r>
        <w:rPr>
          <w:rFonts w:hint="default" w:ascii="Times New Roman" w:hAnsi="Times New Roman" w:eastAsia="宋体" w:cs="Times New Roman"/>
          <w:b/>
          <w:bCs/>
          <w:color w:val="auto"/>
          <w:sz w:val="30"/>
          <w:szCs w:val="30"/>
          <w:lang w:val="en-US" w:eastAsia="zh-CN"/>
        </w:rPr>
        <w:t>6.</w:t>
      </w:r>
      <w:r>
        <w:rPr>
          <w:rFonts w:hint="default" w:ascii="Times New Roman" w:hAnsi="Times New Roman" w:eastAsia="宋体" w:cs="Times New Roman"/>
          <w:b/>
          <w:bCs/>
          <w:color w:val="auto"/>
          <w:sz w:val="30"/>
          <w:szCs w:val="30"/>
        </w:rPr>
        <w:t>1风险事故情形设定</w:t>
      </w:r>
      <w:bookmarkEnd w:id="62"/>
    </w:p>
    <w:p w14:paraId="674CDC2E">
      <w:pPr>
        <w:pStyle w:val="1314"/>
        <w:spacing w:line="360" w:lineRule="auto"/>
        <w:ind w:firstLine="480" w:firstLineChars="200"/>
        <w:jc w:val="both"/>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1、</w:t>
      </w:r>
      <w:r>
        <w:rPr>
          <w:rFonts w:hint="default" w:ascii="Times New Roman" w:hAnsi="Times New Roman" w:cs="Times New Roman"/>
          <w:color w:val="auto"/>
          <w:lang w:val="en-US" w:eastAsia="zh-CN"/>
        </w:rPr>
        <w:t>最大可信事故</w:t>
      </w:r>
    </w:p>
    <w:p w14:paraId="34DC1F4E">
      <w:pPr>
        <w:pStyle w:val="1314"/>
        <w:spacing w:line="360" w:lineRule="auto"/>
        <w:ind w:firstLine="480" w:firstLineChars="200"/>
        <w:jc w:val="both"/>
        <w:textAlignment w:val="baseline"/>
        <w:rPr>
          <w:rFonts w:hint="default" w:ascii="Times New Roman" w:hAnsi="Times New Roman" w:cs="Times New Roman"/>
          <w:color w:val="auto"/>
          <w:lang w:eastAsia="zh-CN"/>
        </w:rPr>
      </w:pPr>
      <w:r>
        <w:rPr>
          <w:rFonts w:hint="default" w:ascii="Times New Roman" w:hAnsi="Times New Roman" w:eastAsia="宋体" w:cs="Times New Roman"/>
          <w:color w:val="auto"/>
        </w:rPr>
        <w:t>最大可信事故是指在所有预测的概率不为零的事故中，对环境</w:t>
      </w:r>
      <w:r>
        <w:rPr>
          <w:rFonts w:hint="default" w:ascii="Times New Roman" w:hAnsi="Times New Roman" w:cs="Times New Roman"/>
          <w:color w:val="auto"/>
          <w:lang w:eastAsia="zh-CN"/>
        </w:rPr>
        <w:t>（</w:t>
      </w:r>
      <w:r>
        <w:rPr>
          <w:rFonts w:hint="default" w:ascii="Times New Roman" w:hAnsi="Times New Roman" w:eastAsia="宋体" w:cs="Times New Roman"/>
          <w:color w:val="auto"/>
        </w:rPr>
        <w:t>或健康</w:t>
      </w:r>
      <w:r>
        <w:rPr>
          <w:rFonts w:hint="default" w:ascii="Times New Roman" w:hAnsi="Times New Roman" w:cs="Times New Roman"/>
          <w:color w:val="auto"/>
          <w:lang w:eastAsia="zh-CN"/>
        </w:rPr>
        <w:t>）</w:t>
      </w:r>
      <w:r>
        <w:rPr>
          <w:rFonts w:hint="default" w:ascii="Times New Roman" w:hAnsi="Times New Roman" w:eastAsia="宋体" w:cs="Times New Roman"/>
          <w:color w:val="auto"/>
        </w:rPr>
        <w:t>危害最严重的重大事故，一般而言，发生频率小于10</w:t>
      </w:r>
      <w:r>
        <w:rPr>
          <w:rFonts w:hint="default" w:ascii="Times New Roman" w:hAnsi="Times New Roman" w:eastAsia="宋体" w:cs="Times New Roman"/>
          <w:color w:val="auto"/>
          <w:vertAlign w:val="superscript"/>
        </w:rPr>
        <w:t>-6</w:t>
      </w:r>
      <w:r>
        <w:rPr>
          <w:rFonts w:hint="default" w:ascii="Times New Roman" w:hAnsi="Times New Roman" w:eastAsia="宋体" w:cs="Times New Roman"/>
          <w:color w:val="auto"/>
        </w:rPr>
        <w:t>/年的事件是极小概率事件，可作为代表性事故情形中最大可信事故设定的参考。根据以上分析，</w:t>
      </w:r>
      <w:r>
        <w:rPr>
          <w:rFonts w:hint="default" w:ascii="Times New Roman" w:hAnsi="Times New Roman" w:cs="Times New Roman"/>
          <w:color w:val="auto"/>
          <w:lang w:val="en-US" w:eastAsia="zh-CN"/>
        </w:rPr>
        <w:t>硫酸铵储存量很大，</w:t>
      </w:r>
      <w:r>
        <w:rPr>
          <w:rFonts w:hint="default" w:ascii="Times New Roman" w:hAnsi="Times New Roman" w:eastAsia="宋体" w:cs="Times New Roman"/>
          <w:color w:val="auto"/>
        </w:rPr>
        <w:t>本工程最大可信事故及类型为原料</w:t>
      </w:r>
      <w:r>
        <w:rPr>
          <w:rFonts w:hint="default" w:ascii="Times New Roman" w:hAnsi="Times New Roman" w:cs="Times New Roman"/>
          <w:color w:val="auto"/>
          <w:lang w:val="en-US" w:eastAsia="zh-CN"/>
        </w:rPr>
        <w:t>仓库</w:t>
      </w:r>
      <w:r>
        <w:rPr>
          <w:rFonts w:hint="default" w:ascii="Times New Roman" w:hAnsi="Times New Roman" w:eastAsia="宋体" w:cs="Times New Roman"/>
          <w:color w:val="auto"/>
        </w:rPr>
        <w:t>的硫酸铵泄漏对人体造成的伤害事故，以及因下雨天间接导致硫酸铵进入水体环境的污染事故</w:t>
      </w:r>
      <w:r>
        <w:rPr>
          <w:rFonts w:hint="default" w:ascii="Times New Roman" w:hAnsi="Times New Roman" w:cs="Times New Roman"/>
          <w:color w:val="auto"/>
          <w:lang w:eastAsia="zh-CN"/>
        </w:rPr>
        <w:t>。</w:t>
      </w:r>
    </w:p>
    <w:p w14:paraId="216F785E">
      <w:pPr>
        <w:pStyle w:val="1314"/>
        <w:numPr>
          <w:ilvl w:val="0"/>
          <w:numId w:val="23"/>
        </w:numPr>
        <w:spacing w:line="360" w:lineRule="auto"/>
        <w:ind w:firstLine="480" w:firstLineChars="200"/>
        <w:jc w:val="both"/>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最大可信事故发生概率</w:t>
      </w:r>
    </w:p>
    <w:p w14:paraId="33978E30">
      <w:pPr>
        <w:pStyle w:val="1314"/>
        <w:spacing w:line="360" w:lineRule="auto"/>
        <w:ind w:firstLine="480" w:firstLineChars="200"/>
        <w:jc w:val="both"/>
        <w:textAlignment w:val="baseline"/>
        <w:rPr>
          <w:rFonts w:hint="default" w:ascii="Times New Roman" w:hAnsi="Times New Roman" w:eastAsia="宋体" w:cs="Times New Roman"/>
          <w:color w:val="auto"/>
          <w:lang w:val="en-US"/>
        </w:rPr>
      </w:pPr>
      <w:r>
        <w:rPr>
          <w:rFonts w:hint="default" w:ascii="Times New Roman" w:hAnsi="Times New Roman" w:cs="Times New Roman"/>
          <w:color w:val="auto"/>
          <w:lang w:val="en-US" w:eastAsia="zh-CN"/>
        </w:rPr>
        <w:t>（</w:t>
      </w:r>
      <w:r>
        <w:rPr>
          <w:rFonts w:hint="default" w:ascii="Times New Roman" w:hAnsi="Times New Roman" w:eastAsia="宋体" w:cs="Times New Roman"/>
          <w:color w:val="auto"/>
          <w:lang w:val="en-US"/>
        </w:rPr>
        <w:t>1</w:t>
      </w:r>
      <w:r>
        <w:rPr>
          <w:rFonts w:hint="default" w:ascii="Times New Roman" w:hAnsi="Times New Roman" w:cs="Times New Roman"/>
          <w:color w:val="auto"/>
          <w:lang w:val="en-US" w:eastAsia="zh-CN"/>
        </w:rPr>
        <w:t>）</w:t>
      </w:r>
      <w:r>
        <w:rPr>
          <w:rFonts w:hint="default" w:ascii="Times New Roman" w:hAnsi="Times New Roman" w:eastAsia="宋体" w:cs="Times New Roman"/>
          <w:color w:val="auto"/>
          <w:lang w:val="en-US"/>
        </w:rPr>
        <w:t>一般事故统计资料</w:t>
      </w:r>
    </w:p>
    <w:p w14:paraId="06DD4D51">
      <w:pPr>
        <w:pStyle w:val="1314"/>
        <w:spacing w:line="360" w:lineRule="auto"/>
        <w:ind w:firstLine="480" w:firstLineChars="200"/>
        <w:jc w:val="both"/>
        <w:textAlignment w:val="baseline"/>
        <w:rPr>
          <w:rFonts w:hint="default" w:ascii="Times New Roman" w:hAnsi="Times New Roman" w:eastAsia="宋体" w:cs="Times New Roman"/>
          <w:color w:val="auto"/>
          <w:lang w:val="en-US"/>
        </w:rPr>
      </w:pPr>
      <w:r>
        <w:rPr>
          <w:rFonts w:hint="default" w:ascii="Times New Roman" w:hAnsi="Times New Roman" w:eastAsia="宋体" w:cs="Times New Roman"/>
          <w:color w:val="auto"/>
          <w:lang w:val="en-US"/>
        </w:rPr>
        <w:t>通过对国内类似化工行业事故发生原因的调查统计，化工行业以设备、管道、贮罐破损泄漏等引起的事故出现比例最高，而造成设备破损泄漏的直接原因多为管理不善、未能定时检修造成。以违反操作规程、操作失误以及不懂技术操作等人为因素引起的事故出现的比例较高。</w:t>
      </w:r>
    </w:p>
    <w:p w14:paraId="21C4361C">
      <w:pPr>
        <w:pStyle w:val="1314"/>
        <w:spacing w:line="360" w:lineRule="auto"/>
        <w:jc w:val="center"/>
        <w:textAlignment w:val="baseline"/>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rPr>
        <w:t>表</w:t>
      </w:r>
      <w:r>
        <w:rPr>
          <w:rFonts w:hint="default" w:ascii="Times New Roman" w:hAnsi="Times New Roman" w:eastAsia="宋体" w:cs="Times New Roman"/>
          <w:b/>
          <w:bCs/>
          <w:color w:val="auto"/>
          <w:lang w:val="en-US" w:eastAsia="zh-CN"/>
        </w:rPr>
        <w:t>6.1-</w:t>
      </w:r>
      <w:r>
        <w:rPr>
          <w:rFonts w:hint="default" w:ascii="Times New Roman" w:hAnsi="Times New Roman" w:eastAsia="宋体" w:cs="Times New Roman"/>
          <w:b/>
          <w:bCs/>
          <w:color w:val="auto"/>
          <w:lang w:val="en-US"/>
        </w:rPr>
        <w:t xml:space="preserve">1  </w:t>
      </w:r>
      <w:r>
        <w:rPr>
          <w:rFonts w:hint="default" w:ascii="Times New Roman" w:hAnsi="Times New Roman" w:cs="Times New Roman"/>
          <w:b/>
          <w:bCs/>
          <w:color w:val="auto"/>
          <w:lang w:val="en-US" w:eastAsia="zh-CN"/>
        </w:rPr>
        <w:t>我国化工企业一般事故原因分析</w:t>
      </w:r>
    </w:p>
    <w:tbl>
      <w:tblPr>
        <w:tblStyle w:val="8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537"/>
        <w:gridCol w:w="2064"/>
        <w:gridCol w:w="2343"/>
        <w:gridCol w:w="2343"/>
      </w:tblGrid>
      <w:tr w14:paraId="5A1F5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537" w:type="dxa"/>
            <w:shd w:val="clear" w:color="auto" w:fill="auto"/>
            <w:vAlign w:val="center"/>
          </w:tcPr>
          <w:p w14:paraId="1A8278A0">
            <w:pPr>
              <w:pStyle w:val="1314"/>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事故原因</w:t>
            </w:r>
          </w:p>
        </w:tc>
        <w:tc>
          <w:tcPr>
            <w:tcW w:w="2064" w:type="dxa"/>
            <w:shd w:val="clear" w:color="auto" w:fill="auto"/>
            <w:vAlign w:val="center"/>
          </w:tcPr>
          <w:p w14:paraId="62E04C61">
            <w:pPr>
              <w:pStyle w:val="1314"/>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设备（贮罐、管道等）</w:t>
            </w:r>
          </w:p>
        </w:tc>
        <w:tc>
          <w:tcPr>
            <w:tcW w:w="2343" w:type="dxa"/>
            <w:shd w:val="clear" w:color="auto" w:fill="auto"/>
            <w:vAlign w:val="center"/>
          </w:tcPr>
          <w:p w14:paraId="3E919693">
            <w:pPr>
              <w:pStyle w:val="1314"/>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人为因素</w:t>
            </w:r>
          </w:p>
        </w:tc>
        <w:tc>
          <w:tcPr>
            <w:tcW w:w="2343" w:type="dxa"/>
            <w:shd w:val="clear" w:color="auto" w:fill="auto"/>
            <w:vAlign w:val="center"/>
          </w:tcPr>
          <w:p w14:paraId="2BC42DA0">
            <w:pPr>
              <w:pStyle w:val="1314"/>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自然因素</w:t>
            </w:r>
          </w:p>
        </w:tc>
      </w:tr>
      <w:tr w14:paraId="00B6E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5" w:hRule="atLeast"/>
        </w:trPr>
        <w:tc>
          <w:tcPr>
            <w:tcW w:w="2537" w:type="dxa"/>
            <w:shd w:val="clear" w:color="auto" w:fill="auto"/>
            <w:vAlign w:val="center"/>
          </w:tcPr>
          <w:p w14:paraId="4B17D6D2">
            <w:pPr>
              <w:pStyle w:val="1314"/>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出现几率（%）</w:t>
            </w:r>
          </w:p>
        </w:tc>
        <w:tc>
          <w:tcPr>
            <w:tcW w:w="2064" w:type="dxa"/>
            <w:shd w:val="clear" w:color="auto" w:fill="auto"/>
            <w:vAlign w:val="center"/>
          </w:tcPr>
          <w:p w14:paraId="3F627DE1">
            <w:pPr>
              <w:pStyle w:val="1314"/>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72</w:t>
            </w:r>
          </w:p>
        </w:tc>
        <w:tc>
          <w:tcPr>
            <w:tcW w:w="2343" w:type="dxa"/>
            <w:shd w:val="clear" w:color="auto" w:fill="auto"/>
            <w:vAlign w:val="center"/>
          </w:tcPr>
          <w:p w14:paraId="64238259">
            <w:pPr>
              <w:pStyle w:val="1314"/>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12</w:t>
            </w:r>
          </w:p>
        </w:tc>
        <w:tc>
          <w:tcPr>
            <w:tcW w:w="2343" w:type="dxa"/>
            <w:shd w:val="clear" w:color="auto" w:fill="auto"/>
            <w:vAlign w:val="center"/>
          </w:tcPr>
          <w:p w14:paraId="3BA9D5D6">
            <w:pPr>
              <w:pStyle w:val="1314"/>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16</w:t>
            </w:r>
          </w:p>
        </w:tc>
      </w:tr>
    </w:tbl>
    <w:p w14:paraId="686820E4">
      <w:pPr>
        <w:pStyle w:val="1314"/>
        <w:spacing w:line="360" w:lineRule="auto"/>
        <w:ind w:firstLine="480" w:firstLineChars="200"/>
        <w:jc w:val="both"/>
        <w:textAlignment w:val="baseline"/>
        <w:rPr>
          <w:rFonts w:hint="default" w:ascii="Times New Roman" w:hAnsi="Times New Roman" w:eastAsia="宋体" w:cs="Times New Roman"/>
          <w:color w:val="auto"/>
          <w:lang w:eastAsia="zh-TW"/>
        </w:rPr>
      </w:pPr>
      <w:r>
        <w:rPr>
          <w:rFonts w:hint="default" w:ascii="Times New Roman" w:hAnsi="Times New Roman" w:cs="Times New Roman"/>
          <w:color w:val="auto"/>
          <w:lang w:val="en-US" w:eastAsia="zh-CN"/>
        </w:rPr>
        <w:t>根据国内类似行业多年经验，事故发生原因统计结果</w:t>
      </w:r>
      <w:r>
        <w:rPr>
          <w:rFonts w:hint="default" w:ascii="Times New Roman" w:hAnsi="Times New Roman" w:eastAsia="宋体" w:cs="Times New Roman"/>
          <w:color w:val="auto"/>
          <w:lang w:eastAsia="zh-TW"/>
        </w:rPr>
        <w:t>如下表所示。</w:t>
      </w:r>
    </w:p>
    <w:p w14:paraId="43D21B72">
      <w:pPr>
        <w:pStyle w:val="1314"/>
        <w:spacing w:line="360" w:lineRule="auto"/>
        <w:jc w:val="center"/>
        <w:textAlignment w:val="baseline"/>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rPr>
        <w:t>表</w:t>
      </w:r>
      <w:r>
        <w:rPr>
          <w:rFonts w:hint="default" w:ascii="Times New Roman" w:hAnsi="Times New Roman" w:eastAsia="宋体" w:cs="Times New Roman"/>
          <w:b/>
          <w:bCs/>
          <w:color w:val="auto"/>
          <w:lang w:val="en-US" w:eastAsia="zh-CN"/>
        </w:rPr>
        <w:t>6.1-</w:t>
      </w:r>
      <w:r>
        <w:rPr>
          <w:rFonts w:hint="default" w:ascii="Times New Roman" w:hAnsi="Times New Roman" w:cs="Times New Roman"/>
          <w:b/>
          <w:bCs/>
          <w:color w:val="auto"/>
          <w:lang w:val="en-US" w:eastAsia="zh-CN"/>
        </w:rPr>
        <w:t>2</w:t>
      </w:r>
      <w:r>
        <w:rPr>
          <w:rFonts w:hint="default" w:ascii="Times New Roman" w:hAnsi="Times New Roman" w:eastAsia="宋体" w:cs="Times New Roman"/>
          <w:b/>
          <w:bCs/>
          <w:color w:val="auto"/>
          <w:lang w:val="en-US"/>
        </w:rPr>
        <w:t xml:space="preserve"> </w:t>
      </w:r>
      <w:r>
        <w:rPr>
          <w:rFonts w:hint="default" w:ascii="Times New Roman" w:hAnsi="Times New Roman" w:cs="Times New Roman"/>
          <w:b/>
          <w:bCs/>
          <w:color w:val="auto"/>
          <w:lang w:val="en-US" w:eastAsia="zh-CN"/>
        </w:rPr>
        <w:t>行业一般事故原因统计</w:t>
      </w:r>
    </w:p>
    <w:tbl>
      <w:tblPr>
        <w:tblStyle w:val="8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119"/>
        <w:gridCol w:w="4166"/>
      </w:tblGrid>
      <w:tr w14:paraId="7A36A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8" w:hRule="atLeast"/>
        </w:trPr>
        <w:tc>
          <w:tcPr>
            <w:tcW w:w="2756" w:type="pct"/>
            <w:shd w:val="clear" w:color="auto" w:fill="auto"/>
            <w:vAlign w:val="center"/>
          </w:tcPr>
          <w:p w14:paraId="4DEE9012">
            <w:pPr>
              <w:pStyle w:val="1314"/>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事故原因</w:t>
            </w:r>
          </w:p>
        </w:tc>
        <w:tc>
          <w:tcPr>
            <w:tcW w:w="2243" w:type="pct"/>
            <w:shd w:val="clear" w:color="auto" w:fill="auto"/>
            <w:vAlign w:val="center"/>
          </w:tcPr>
          <w:p w14:paraId="7D374B17">
            <w:pPr>
              <w:pStyle w:val="1314"/>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出现几率（%）</w:t>
            </w:r>
          </w:p>
        </w:tc>
      </w:tr>
      <w:tr w14:paraId="6128F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5" w:hRule="atLeast"/>
        </w:trPr>
        <w:tc>
          <w:tcPr>
            <w:tcW w:w="2756" w:type="pct"/>
            <w:shd w:val="clear" w:color="auto" w:fill="auto"/>
            <w:vAlign w:val="center"/>
          </w:tcPr>
          <w:p w14:paraId="55294A43">
            <w:pPr>
              <w:pStyle w:val="1314"/>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贮罐、管道和设备破损</w:t>
            </w:r>
          </w:p>
        </w:tc>
        <w:tc>
          <w:tcPr>
            <w:tcW w:w="2243" w:type="pct"/>
            <w:shd w:val="clear" w:color="auto" w:fill="auto"/>
            <w:vAlign w:val="center"/>
          </w:tcPr>
          <w:p w14:paraId="16E693A6">
            <w:pPr>
              <w:pStyle w:val="1314"/>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60</w:t>
            </w:r>
          </w:p>
        </w:tc>
      </w:tr>
      <w:tr w14:paraId="1BC37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2756" w:type="pct"/>
            <w:shd w:val="clear" w:color="auto" w:fill="auto"/>
            <w:vAlign w:val="center"/>
          </w:tcPr>
          <w:p w14:paraId="14F84F86">
            <w:pPr>
              <w:pStyle w:val="1314"/>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废气处理系统故障</w:t>
            </w:r>
          </w:p>
        </w:tc>
        <w:tc>
          <w:tcPr>
            <w:tcW w:w="2243" w:type="pct"/>
            <w:shd w:val="clear" w:color="auto" w:fill="auto"/>
            <w:vAlign w:val="center"/>
          </w:tcPr>
          <w:p w14:paraId="2E8018C0">
            <w:pPr>
              <w:pStyle w:val="1314"/>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r>
      <w:tr w14:paraId="716DF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5" w:hRule="atLeast"/>
        </w:trPr>
        <w:tc>
          <w:tcPr>
            <w:tcW w:w="2756" w:type="pct"/>
            <w:shd w:val="clear" w:color="auto" w:fill="auto"/>
            <w:vAlign w:val="center"/>
          </w:tcPr>
          <w:p w14:paraId="7BF676F8">
            <w:pPr>
              <w:pStyle w:val="1314"/>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生产装置爆炸</w:t>
            </w:r>
          </w:p>
        </w:tc>
        <w:tc>
          <w:tcPr>
            <w:tcW w:w="2243" w:type="pct"/>
            <w:shd w:val="clear" w:color="auto" w:fill="auto"/>
            <w:vAlign w:val="center"/>
          </w:tcPr>
          <w:p w14:paraId="0428D15A">
            <w:pPr>
              <w:pStyle w:val="1314"/>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0.5</w:t>
            </w:r>
          </w:p>
        </w:tc>
      </w:tr>
      <w:tr w14:paraId="074D3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5" w:hRule="atLeast"/>
        </w:trPr>
        <w:tc>
          <w:tcPr>
            <w:tcW w:w="2756" w:type="pct"/>
            <w:shd w:val="clear" w:color="auto" w:fill="auto"/>
            <w:vAlign w:val="center"/>
          </w:tcPr>
          <w:p w14:paraId="0A24D434">
            <w:pPr>
              <w:pStyle w:val="1314"/>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物料泄漏发生火灾</w:t>
            </w:r>
          </w:p>
        </w:tc>
        <w:tc>
          <w:tcPr>
            <w:tcW w:w="2243" w:type="pct"/>
            <w:shd w:val="clear" w:color="auto" w:fill="auto"/>
            <w:vAlign w:val="center"/>
          </w:tcPr>
          <w:p w14:paraId="56ADC98A">
            <w:pPr>
              <w:pStyle w:val="1314"/>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0.5</w:t>
            </w:r>
          </w:p>
        </w:tc>
      </w:tr>
      <w:tr w14:paraId="576EF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2756" w:type="pct"/>
            <w:shd w:val="clear" w:color="auto" w:fill="auto"/>
            <w:vAlign w:val="center"/>
          </w:tcPr>
          <w:p w14:paraId="4C8CE8C0">
            <w:pPr>
              <w:pStyle w:val="1314"/>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其它</w:t>
            </w:r>
          </w:p>
        </w:tc>
        <w:tc>
          <w:tcPr>
            <w:tcW w:w="2243" w:type="pct"/>
            <w:shd w:val="clear" w:color="auto" w:fill="auto"/>
            <w:vAlign w:val="center"/>
          </w:tcPr>
          <w:p w14:paraId="1DBCFC7E">
            <w:pPr>
              <w:pStyle w:val="1314"/>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29</w:t>
            </w:r>
          </w:p>
        </w:tc>
      </w:tr>
    </w:tbl>
    <w:p w14:paraId="10BBF0DD">
      <w:pPr>
        <w:pStyle w:val="1314"/>
        <w:spacing w:line="360" w:lineRule="auto"/>
        <w:ind w:firstLine="480" w:firstLineChars="200"/>
        <w:jc w:val="both"/>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（2）事故源项分析</w:t>
      </w:r>
    </w:p>
    <w:p w14:paraId="0727824A">
      <w:pPr>
        <w:pStyle w:val="1314"/>
        <w:spacing w:line="360" w:lineRule="auto"/>
        <w:ind w:firstLine="480" w:firstLineChars="200"/>
        <w:jc w:val="both"/>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根据各种设备泄漏情况分析，可将生产装置易发生泄漏的设备分类，通常归纳为：管道、阀门、容器等，如下所述。</w:t>
      </w:r>
    </w:p>
    <w:p w14:paraId="6817E82E">
      <w:pPr>
        <w:pStyle w:val="1314"/>
        <w:spacing w:line="360" w:lineRule="auto"/>
        <w:ind w:firstLine="480" w:firstLineChars="200"/>
        <w:jc w:val="both"/>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管道：其典型泄漏情况和裂口尺寸分别取管径的20%和20%—100%。</w:t>
      </w:r>
    </w:p>
    <w:p w14:paraId="6564A071">
      <w:pPr>
        <w:pStyle w:val="1314"/>
        <w:spacing w:line="360" w:lineRule="auto"/>
        <w:ind w:firstLine="480" w:firstLineChars="200"/>
        <w:jc w:val="both"/>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阀门：其典型泄漏情况和裂口尺寸为：阀壳体泄漏，裂口尺寸取管径的20%～100%；</w:t>
      </w:r>
    </w:p>
    <w:p w14:paraId="5A5D2809">
      <w:pPr>
        <w:pStyle w:val="1314"/>
        <w:spacing w:line="360" w:lineRule="auto"/>
        <w:ind w:firstLine="480" w:firstLineChars="200"/>
        <w:jc w:val="both"/>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阀盖泄漏，裂口尺寸取管径的20%；阀杆损坏泄漏，裂口尺寸取管径的20%。</w:t>
      </w:r>
    </w:p>
    <w:p w14:paraId="5825F4C5">
      <w:pPr>
        <w:pStyle w:val="1314"/>
        <w:spacing w:line="360" w:lineRule="auto"/>
        <w:ind w:firstLine="480" w:firstLineChars="200"/>
        <w:jc w:val="both"/>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容器：包括各反应器、贮槽等。其常见泄漏情况和裂口尺寸为：容器破裂而泄漏，裂口尺寸取容器本身尺寸：容器本体泄漏，裂口尺寸取与其连接的粗管道管径的100%；孔盖泄漏，裂口尺寸取管径的20%；喷嘴断裂而泄漏，裂口尺寸取管径的100%；仪表管路破裂泄漏，裂口尺寸取管径的20%～100%；容器内部爆炸，全部破裂。</w:t>
      </w:r>
    </w:p>
    <w:p w14:paraId="7522C00D">
      <w:pPr>
        <w:pStyle w:val="1314"/>
        <w:spacing w:line="360" w:lineRule="auto"/>
        <w:ind w:firstLine="480" w:firstLineChars="200"/>
        <w:jc w:val="both"/>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造成泄漏的原因，从人一机系统来考虑造成各种泄漏事故的原因主要有四类：</w:t>
      </w:r>
    </w:p>
    <w:p w14:paraId="055B232B">
      <w:pPr>
        <w:pStyle w:val="1314"/>
        <w:spacing w:line="360" w:lineRule="auto"/>
        <w:ind w:firstLine="480" w:firstLineChars="200"/>
        <w:jc w:val="both"/>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①设计失误</w:t>
      </w:r>
    </w:p>
    <w:p w14:paraId="3AEA511C">
      <w:pPr>
        <w:pStyle w:val="1314"/>
        <w:spacing w:line="360" w:lineRule="auto"/>
        <w:ind w:firstLine="480" w:firstLineChars="200"/>
        <w:jc w:val="both"/>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基础设计错误，如地基下沉，造成容器底部产生裂缝，或设备变形、错位等；选材不当，如强度不够、耐腐蚀性差、耐温、耐压性能差、规格不符等。</w:t>
      </w:r>
    </w:p>
    <w:p w14:paraId="34568625">
      <w:pPr>
        <w:pStyle w:val="1314"/>
        <w:spacing w:line="360" w:lineRule="auto"/>
        <w:ind w:firstLine="480" w:firstLineChars="200"/>
        <w:jc w:val="both"/>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②设备原因</w:t>
      </w:r>
    </w:p>
    <w:p w14:paraId="1926CC2E">
      <w:pPr>
        <w:pStyle w:val="1314"/>
        <w:spacing w:line="360" w:lineRule="auto"/>
        <w:ind w:firstLine="480" w:firstLineChars="200"/>
        <w:jc w:val="both"/>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加工不符合要求，或未经检验擅自采用代用材料：加工质量差，特别是焊接质量差；施工和安装精度不高，如泵和电机不同轴、机械设备不平衡、管道连接不严密等；采用的标准定型产品质量不合格；对安装的设备没有按《机械设备安装工程及验收规范》进行验收；设备长期使用后未按规定检修期进行检修，或检修质量差造成泄漏：计测仪表未定期校验，造成计量不准；阀门损坏或开关泄漏，又未及时更换；设备附件质量差，或长期使用后材料变质、腐蚀或破裂等。</w:t>
      </w:r>
    </w:p>
    <w:p w14:paraId="563A4428">
      <w:pPr>
        <w:pStyle w:val="1314"/>
        <w:spacing w:line="360" w:lineRule="auto"/>
        <w:ind w:firstLine="480" w:firstLineChars="200"/>
        <w:jc w:val="both"/>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③管理原因</w:t>
      </w:r>
    </w:p>
    <w:p w14:paraId="1EEB46E5">
      <w:pPr>
        <w:pStyle w:val="1314"/>
        <w:spacing w:line="360" w:lineRule="auto"/>
        <w:ind w:firstLine="480" w:firstLineChars="200"/>
        <w:jc w:val="both"/>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没有制定完善的安全操作规程：对安全漠不关心，已发现的问题不及时解决；没有严格执行监督检查制度；指挥错误，甚至违章指挥；未经培训的工人上岗，知识不足，不能判断错误；检修制度不严，没有及时检修已出现故障的设备，使设备带病运转。</w:t>
      </w:r>
    </w:p>
    <w:p w14:paraId="6846DDAE">
      <w:pPr>
        <w:pStyle w:val="1314"/>
        <w:spacing w:line="360" w:lineRule="auto"/>
        <w:ind w:firstLine="480" w:firstLineChars="200"/>
        <w:jc w:val="both"/>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④人为失误</w:t>
      </w:r>
    </w:p>
    <w:p w14:paraId="5C0C3FD3">
      <w:pPr>
        <w:pStyle w:val="1314"/>
        <w:spacing w:line="360" w:lineRule="auto"/>
        <w:ind w:firstLine="480" w:firstLineChars="200"/>
        <w:jc w:val="both"/>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误操作，违反操作规程：判断错误，如记错阀门位置而开错阀门；擅自脱岗；思想不集中，发现异常现象不知如何处理。</w:t>
      </w:r>
    </w:p>
    <w:p w14:paraId="2333BE00">
      <w:pPr>
        <w:pStyle w:val="1314"/>
        <w:spacing w:line="360" w:lineRule="auto"/>
        <w:ind w:firstLine="480" w:firstLineChars="200"/>
        <w:jc w:val="both"/>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（3）最大可信事故类型及概率</w:t>
      </w:r>
    </w:p>
    <w:p w14:paraId="77A13800">
      <w:pPr>
        <w:pStyle w:val="1314"/>
        <w:spacing w:line="360" w:lineRule="auto"/>
        <w:ind w:firstLine="480" w:firstLineChars="200"/>
        <w:jc w:val="both"/>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最大可信事故指事故所造成的危害在所有预测的事故中最严重，并且发生该事故的概率不为零。事故概率可以通过事故树分析，确定事件后用概率计算法求得，也可以通过同类装置事故调查给出概率统计值。通过对我国化工企业一般事故类型与一般事故原因统计得知，储罐、管道和设备破损的出现频次较高。因此，对本项目而言，最大可信事故类型为硫酸铵包装袋破损硫酸铵泄漏，下雨天使其进入水体环境、导致水质污染。参照《建设项目环境风险评价技术导则》</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HJ169-2018）附录E，泄漏频率的推荐值，根据国内外统计资料显示，物料管道和容器裂纹泄漏的重大事故概率在6.9×10</w:t>
      </w:r>
      <w:r>
        <w:rPr>
          <w:rFonts w:hint="default" w:ascii="Times New Roman" w:hAnsi="Times New Roman" w:cs="Times New Roman"/>
          <w:color w:val="auto"/>
          <w:vertAlign w:val="superscript"/>
          <w:lang w:val="en-US" w:eastAsia="zh-CN"/>
        </w:rPr>
        <w:t>-7</w:t>
      </w:r>
      <w:r>
        <w:rPr>
          <w:rFonts w:hint="default" w:ascii="Times New Roman" w:hAnsi="Times New Roman" w:cs="Times New Roman"/>
          <w:color w:val="auto"/>
          <w:lang w:val="en-US" w:eastAsia="zh-CN"/>
        </w:rPr>
        <w:t>~6.9×10</w:t>
      </w:r>
      <w:r>
        <w:rPr>
          <w:rFonts w:hint="default" w:ascii="Times New Roman" w:hAnsi="Times New Roman" w:cs="Times New Roman"/>
          <w:color w:val="auto"/>
          <w:vertAlign w:val="superscript"/>
          <w:lang w:val="en-US" w:eastAsia="zh-CN"/>
        </w:rPr>
        <w:t>-8</w:t>
      </w:r>
      <w:r>
        <w:rPr>
          <w:rFonts w:hint="default" w:ascii="Times New Roman" w:hAnsi="Times New Roman" w:cs="Times New Roman"/>
          <w:color w:val="auto"/>
          <w:lang w:val="en-US" w:eastAsia="zh-CN"/>
        </w:rPr>
        <w:t>/年左右，一般发生泄漏事故多为进出口料管道连接处的泄漏；据我国不完全统计，一般管道和容器裂纹泄漏的事故概率在1×10</w:t>
      </w:r>
      <w:r>
        <w:rPr>
          <w:rFonts w:hint="default" w:ascii="Times New Roman" w:hAnsi="Times New Roman" w:cs="Times New Roman"/>
          <w:color w:val="auto"/>
          <w:vertAlign w:val="superscript"/>
          <w:lang w:val="en-US" w:eastAsia="zh-CN"/>
        </w:rPr>
        <w:t>-5</w:t>
      </w:r>
      <w:r>
        <w:rPr>
          <w:rFonts w:hint="default" w:ascii="Times New Roman" w:hAnsi="Times New Roman" w:cs="Times New Roman"/>
          <w:color w:val="auto"/>
          <w:lang w:val="en-US" w:eastAsia="zh-CN"/>
        </w:rPr>
        <w:t>/年。根据本项目特点，类比上述容器裂纹泄漏的风险事故概率，确定硫酸铵泄漏的最大可信事故概率为1×10</w:t>
      </w:r>
      <w:r>
        <w:rPr>
          <w:rFonts w:hint="default" w:ascii="Times New Roman" w:hAnsi="Times New Roman" w:cs="Times New Roman"/>
          <w:color w:val="auto"/>
          <w:vertAlign w:val="superscript"/>
          <w:lang w:val="en-US" w:eastAsia="zh-CN"/>
        </w:rPr>
        <w:t>-5</w:t>
      </w:r>
      <w:r>
        <w:rPr>
          <w:rFonts w:hint="default" w:ascii="Times New Roman" w:hAnsi="Times New Roman" w:cs="Times New Roman"/>
          <w:color w:val="auto"/>
          <w:lang w:val="en-US" w:eastAsia="zh-CN"/>
        </w:rPr>
        <w:t>/年。</w:t>
      </w:r>
    </w:p>
    <w:p w14:paraId="608850BB">
      <w:pPr>
        <w:pStyle w:val="1314"/>
        <w:spacing w:line="360" w:lineRule="auto"/>
        <w:ind w:left="9" w:right="5376"/>
        <w:jc w:val="both"/>
        <w:textAlignment w:val="baseline"/>
        <w:outlineLvl w:val="2"/>
        <w:rPr>
          <w:rFonts w:hint="default" w:ascii="Times New Roman" w:hAnsi="Times New Roman" w:eastAsia="宋体" w:cs="Times New Roman"/>
          <w:b/>
          <w:bCs/>
          <w:color w:val="auto"/>
          <w:sz w:val="30"/>
          <w:szCs w:val="30"/>
          <w:lang w:val="en-US" w:eastAsia="zh-CN"/>
        </w:rPr>
      </w:pPr>
      <w:bookmarkStart w:id="63" w:name="_Toc29296"/>
      <w:r>
        <w:rPr>
          <w:rFonts w:hint="default" w:ascii="Times New Roman" w:hAnsi="Times New Roman" w:eastAsia="宋体" w:cs="Times New Roman"/>
          <w:b/>
          <w:bCs/>
          <w:color w:val="auto"/>
          <w:sz w:val="30"/>
          <w:szCs w:val="30"/>
          <w:lang w:val="en-US" w:eastAsia="zh-CN"/>
        </w:rPr>
        <w:t>6.2源项分析</w:t>
      </w:r>
      <w:bookmarkEnd w:id="63"/>
    </w:p>
    <w:p w14:paraId="3786D9EB">
      <w:pPr>
        <w:autoSpaceDE w:val="0"/>
        <w:autoSpaceDN w:val="0"/>
        <w:adjustRightInd w:val="0"/>
        <w:spacing w:line="360" w:lineRule="auto"/>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lang w:val="zh-CN"/>
        </w:rPr>
        <w:t>根据《建设项目环境风险评价技术导则》(HJ 169-2018) ，物质的泄漏主要针对液体和气体类型的环境风险物质，本项目危险物质为硫酸铵、属于固体物质，无法根据导则中的公式进行核算泄漏源强。硫酸铵本身不燃，但当厂区内发生火灾时，在</w:t>
      </w:r>
      <w:r>
        <w:rPr>
          <w:rFonts w:hint="default" w:ascii="Times New Roman" w:hAnsi="Times New Roman" w:cs="Times New Roman"/>
          <w:color w:val="auto"/>
          <w:sz w:val="24"/>
          <w:szCs w:val="22"/>
          <w:lang w:val="zh-CN"/>
        </w:rPr>
        <w:t>原料仓库</w:t>
      </w:r>
      <w:r>
        <w:rPr>
          <w:rFonts w:hint="default" w:ascii="Times New Roman" w:hAnsi="Times New Roman" w:eastAsia="宋体" w:cs="Times New Roman"/>
          <w:color w:val="auto"/>
          <w:sz w:val="24"/>
          <w:szCs w:val="22"/>
          <w:lang w:val="zh-CN"/>
        </w:rPr>
        <w:t>内存储的硫酸铵受热分解产生氨气、二氧化硫等次生污染物，从而造成大气污染。若包装袋发生破损，一袋物料将全部洒落到地面，本项目</w:t>
      </w:r>
      <w:r>
        <w:rPr>
          <w:rFonts w:hint="default" w:ascii="Times New Roman" w:hAnsi="Times New Roman" w:cs="Times New Roman"/>
          <w:color w:val="auto"/>
          <w:sz w:val="24"/>
          <w:szCs w:val="22"/>
          <w:lang w:val="en-US" w:eastAsia="zh-CN"/>
        </w:rPr>
        <w:t>袋装</w:t>
      </w:r>
      <w:r>
        <w:rPr>
          <w:rFonts w:hint="default" w:ascii="Times New Roman" w:hAnsi="Times New Roman" w:eastAsia="宋体" w:cs="Times New Roman"/>
          <w:color w:val="auto"/>
          <w:sz w:val="24"/>
          <w:szCs w:val="22"/>
          <w:lang w:val="zh-CN"/>
        </w:rPr>
        <w:t>原料最大按</w:t>
      </w:r>
      <w:r>
        <w:rPr>
          <w:rFonts w:hint="default" w:ascii="Times New Roman" w:hAnsi="Times New Roman" w:cs="Times New Roman"/>
          <w:color w:val="auto"/>
          <w:sz w:val="24"/>
          <w:szCs w:val="22"/>
          <w:lang w:val="en-US" w:eastAsia="zh-CN"/>
        </w:rPr>
        <w:t>50kg泄漏量</w:t>
      </w:r>
      <w:r>
        <w:rPr>
          <w:rFonts w:hint="default" w:ascii="Times New Roman" w:hAnsi="Times New Roman" w:eastAsia="宋体" w:cs="Times New Roman"/>
          <w:color w:val="auto"/>
          <w:sz w:val="24"/>
          <w:szCs w:val="22"/>
          <w:lang w:val="zh-CN"/>
        </w:rPr>
        <w:t>计算，根据硫酸铵受热分解化学式3(NH</w:t>
      </w:r>
      <w:r>
        <w:rPr>
          <w:rFonts w:hint="default" w:ascii="Times New Roman" w:hAnsi="Times New Roman" w:eastAsia="宋体" w:cs="Times New Roman"/>
          <w:color w:val="auto"/>
          <w:sz w:val="24"/>
          <w:szCs w:val="22"/>
          <w:vertAlign w:val="subscript"/>
          <w:lang w:val="zh-CN"/>
        </w:rPr>
        <w:t>4</w:t>
      </w:r>
      <w:r>
        <w:rPr>
          <w:rFonts w:hint="default" w:ascii="Times New Roman" w:hAnsi="Times New Roman" w:eastAsia="宋体" w:cs="Times New Roman"/>
          <w:color w:val="auto"/>
          <w:sz w:val="24"/>
          <w:szCs w:val="22"/>
          <w:lang w:val="zh-CN"/>
        </w:rPr>
        <w:t>)</w:t>
      </w:r>
      <w:r>
        <w:rPr>
          <w:rFonts w:hint="default" w:ascii="Times New Roman" w:hAnsi="Times New Roman" w:eastAsia="宋体" w:cs="Times New Roman"/>
          <w:color w:val="auto"/>
          <w:sz w:val="24"/>
          <w:szCs w:val="22"/>
          <w:vertAlign w:val="subscript"/>
          <w:lang w:val="zh-CN"/>
        </w:rPr>
        <w:t>2</w:t>
      </w:r>
      <w:r>
        <w:rPr>
          <w:rFonts w:hint="default" w:ascii="Times New Roman" w:hAnsi="Times New Roman" w:eastAsia="宋体" w:cs="Times New Roman"/>
          <w:color w:val="auto"/>
          <w:sz w:val="24"/>
          <w:szCs w:val="22"/>
          <w:lang w:val="zh-CN"/>
        </w:rPr>
        <w:t>SO</w:t>
      </w:r>
      <w:r>
        <w:rPr>
          <w:rFonts w:hint="default" w:ascii="Times New Roman" w:hAnsi="Times New Roman" w:eastAsia="宋体" w:cs="Times New Roman"/>
          <w:color w:val="auto"/>
          <w:sz w:val="24"/>
          <w:szCs w:val="22"/>
          <w:vertAlign w:val="subscript"/>
          <w:lang w:val="zh-CN"/>
        </w:rPr>
        <w:t>4</w:t>
      </w:r>
      <w:r>
        <w:rPr>
          <w:rFonts w:hint="default" w:ascii="Times New Roman" w:hAnsi="Times New Roman" w:eastAsia="宋体" w:cs="Times New Roman"/>
          <w:color w:val="auto"/>
          <w:sz w:val="24"/>
          <w:szCs w:val="22"/>
          <w:lang w:val="zh-CN"/>
        </w:rPr>
        <w:t>==4NH</w:t>
      </w:r>
      <w:r>
        <w:rPr>
          <w:rFonts w:hint="default" w:ascii="Times New Roman" w:hAnsi="Times New Roman" w:cs="Times New Roman"/>
          <w:color w:val="auto"/>
          <w:sz w:val="24"/>
          <w:szCs w:val="22"/>
          <w:vertAlign w:val="subscript"/>
          <w:lang w:val="en-US" w:eastAsia="zh-CN"/>
        </w:rPr>
        <w:t>3</w:t>
      </w:r>
      <w:r>
        <w:rPr>
          <w:rFonts w:hint="default" w:ascii="Times New Roman" w:hAnsi="Times New Roman" w:eastAsia="宋体" w:cs="Times New Roman"/>
          <w:color w:val="auto"/>
          <w:sz w:val="24"/>
          <w:szCs w:val="22"/>
          <w:lang w:val="zh-CN"/>
        </w:rPr>
        <w:t>+N</w:t>
      </w:r>
      <w:r>
        <w:rPr>
          <w:rFonts w:hint="default" w:ascii="Times New Roman" w:hAnsi="Times New Roman" w:eastAsia="宋体" w:cs="Times New Roman"/>
          <w:color w:val="auto"/>
          <w:sz w:val="24"/>
          <w:szCs w:val="22"/>
          <w:vertAlign w:val="subscript"/>
          <w:lang w:val="zh-CN"/>
        </w:rPr>
        <w:t>2</w:t>
      </w:r>
      <w:r>
        <w:rPr>
          <w:rFonts w:hint="default" w:ascii="Times New Roman" w:hAnsi="Times New Roman" w:eastAsia="宋体" w:cs="Times New Roman"/>
          <w:color w:val="auto"/>
          <w:sz w:val="24"/>
          <w:szCs w:val="22"/>
          <w:lang w:val="zh-CN"/>
        </w:rPr>
        <w:t>+6H</w:t>
      </w:r>
      <w:r>
        <w:rPr>
          <w:rFonts w:hint="default" w:ascii="Times New Roman" w:hAnsi="Times New Roman" w:eastAsia="宋体" w:cs="Times New Roman"/>
          <w:color w:val="auto"/>
          <w:sz w:val="24"/>
          <w:szCs w:val="22"/>
          <w:vertAlign w:val="subscript"/>
          <w:lang w:val="zh-CN"/>
        </w:rPr>
        <w:t>2</w:t>
      </w:r>
      <w:r>
        <w:rPr>
          <w:rFonts w:hint="default" w:ascii="Times New Roman" w:hAnsi="Times New Roman" w:eastAsia="宋体" w:cs="Times New Roman"/>
          <w:color w:val="auto"/>
          <w:sz w:val="24"/>
          <w:szCs w:val="22"/>
          <w:highlight w:val="none"/>
          <w:lang w:val="zh-CN"/>
        </w:rPr>
        <w:t>O+3SO</w:t>
      </w:r>
      <w:r>
        <w:rPr>
          <w:rFonts w:hint="default" w:ascii="Times New Roman" w:hAnsi="Times New Roman" w:eastAsia="宋体" w:cs="Times New Roman"/>
          <w:color w:val="auto"/>
          <w:sz w:val="24"/>
          <w:szCs w:val="22"/>
          <w:highlight w:val="none"/>
          <w:vertAlign w:val="subscript"/>
          <w:lang w:val="zh-CN"/>
        </w:rPr>
        <w:t>2</w:t>
      </w:r>
      <w:r>
        <w:rPr>
          <w:rFonts w:hint="default" w:ascii="Times New Roman" w:hAnsi="Times New Roman" w:cs="Times New Roman"/>
          <w:color w:val="auto"/>
          <w:sz w:val="24"/>
          <w:szCs w:val="22"/>
          <w:highlight w:val="none"/>
          <w:lang w:val="zh-CN"/>
        </w:rPr>
        <w:t>，</w:t>
      </w:r>
      <w:r>
        <w:rPr>
          <w:rFonts w:hint="default" w:ascii="Times New Roman" w:hAnsi="Times New Roman" w:eastAsia="宋体" w:cs="Times New Roman"/>
          <w:color w:val="auto"/>
          <w:sz w:val="24"/>
          <w:szCs w:val="22"/>
          <w:highlight w:val="none"/>
          <w:lang w:val="zh-CN"/>
        </w:rPr>
        <w:t>则硫酸铵受热分解生产NH</w:t>
      </w:r>
      <w:r>
        <w:rPr>
          <w:rFonts w:hint="default" w:ascii="Times New Roman" w:hAnsi="Times New Roman" w:cs="Times New Roman"/>
          <w:color w:val="auto"/>
          <w:sz w:val="24"/>
          <w:szCs w:val="22"/>
          <w:highlight w:val="none"/>
          <w:lang w:val="en-US" w:eastAsia="zh-CN"/>
        </w:rPr>
        <w:t>8.598</w:t>
      </w:r>
      <w:r>
        <w:rPr>
          <w:rFonts w:hint="default" w:ascii="Times New Roman" w:hAnsi="Times New Roman" w:eastAsia="宋体" w:cs="Times New Roman"/>
          <w:color w:val="auto"/>
          <w:sz w:val="24"/>
          <w:szCs w:val="22"/>
          <w:highlight w:val="none"/>
          <w:lang w:val="zh-CN"/>
        </w:rPr>
        <w:t>kg、SO</w:t>
      </w:r>
      <w:r>
        <w:rPr>
          <w:rFonts w:hint="default" w:ascii="Times New Roman" w:hAnsi="Times New Roman" w:cs="Times New Roman"/>
          <w:color w:val="auto"/>
          <w:sz w:val="24"/>
          <w:szCs w:val="22"/>
          <w:highlight w:val="none"/>
          <w:lang w:val="en-US" w:eastAsia="zh-CN"/>
        </w:rPr>
        <w:t>24.24</w:t>
      </w:r>
      <w:r>
        <w:rPr>
          <w:rFonts w:hint="default" w:ascii="Times New Roman" w:hAnsi="Times New Roman" w:eastAsia="宋体" w:cs="Times New Roman"/>
          <w:color w:val="auto"/>
          <w:sz w:val="24"/>
          <w:szCs w:val="22"/>
          <w:highlight w:val="none"/>
          <w:lang w:val="zh-CN"/>
        </w:rPr>
        <w:t>kg。</w:t>
      </w:r>
      <w:r>
        <w:rPr>
          <w:rFonts w:hint="default" w:ascii="Times New Roman" w:hAnsi="Times New Roman" w:cs="Times New Roman"/>
          <w:color w:val="auto"/>
          <w:sz w:val="24"/>
          <w:szCs w:val="22"/>
          <w:highlight w:val="none"/>
          <w:lang w:val="en-US" w:eastAsia="zh-CN"/>
        </w:rPr>
        <w:t>一</w:t>
      </w:r>
      <w:r>
        <w:rPr>
          <w:rFonts w:hint="default" w:ascii="Times New Roman" w:hAnsi="Times New Roman" w:eastAsia="宋体" w:cs="Times New Roman"/>
          <w:color w:val="auto"/>
          <w:sz w:val="24"/>
          <w:szCs w:val="22"/>
          <w:highlight w:val="none"/>
          <w:lang w:val="zh-CN"/>
        </w:rPr>
        <w:t>般情况下，设置紧急隔离系统的单元，泄漏时间可设定为10min，则NH</w:t>
      </w:r>
      <w:r>
        <w:rPr>
          <w:rFonts w:hint="default" w:ascii="Times New Roman" w:hAnsi="Times New Roman" w:eastAsia="宋体" w:cs="Times New Roman"/>
          <w:color w:val="auto"/>
          <w:sz w:val="24"/>
          <w:szCs w:val="22"/>
          <w:highlight w:val="none"/>
          <w:vertAlign w:val="subscript"/>
          <w:lang w:val="zh-CN"/>
        </w:rPr>
        <w:t>3</w:t>
      </w:r>
      <w:r>
        <w:rPr>
          <w:rFonts w:hint="default" w:ascii="Times New Roman" w:hAnsi="Times New Roman" w:eastAsia="宋体" w:cs="Times New Roman"/>
          <w:color w:val="auto"/>
          <w:sz w:val="24"/>
          <w:szCs w:val="22"/>
          <w:highlight w:val="none"/>
          <w:lang w:val="zh-CN"/>
        </w:rPr>
        <w:t>产生量为</w:t>
      </w:r>
      <w:r>
        <w:rPr>
          <w:rFonts w:hint="default" w:ascii="Times New Roman" w:hAnsi="Times New Roman" w:cs="Times New Roman"/>
          <w:color w:val="auto"/>
          <w:sz w:val="24"/>
          <w:szCs w:val="22"/>
          <w:highlight w:val="none"/>
          <w:lang w:val="en-US" w:eastAsia="zh-CN"/>
        </w:rPr>
        <w:t>0.0143</w:t>
      </w:r>
      <w:r>
        <w:rPr>
          <w:rFonts w:hint="default" w:ascii="Times New Roman" w:hAnsi="Times New Roman" w:eastAsia="宋体" w:cs="Times New Roman"/>
          <w:color w:val="auto"/>
          <w:sz w:val="24"/>
          <w:szCs w:val="22"/>
          <w:highlight w:val="none"/>
          <w:lang w:val="zh-CN"/>
        </w:rPr>
        <w:t>kg/s、SO</w:t>
      </w:r>
      <w:r>
        <w:rPr>
          <w:rFonts w:hint="default" w:ascii="Times New Roman" w:hAnsi="Times New Roman" w:eastAsia="宋体" w:cs="Times New Roman"/>
          <w:color w:val="auto"/>
          <w:sz w:val="24"/>
          <w:szCs w:val="22"/>
          <w:highlight w:val="none"/>
          <w:vertAlign w:val="subscript"/>
          <w:lang w:val="zh-CN"/>
        </w:rPr>
        <w:t>2</w:t>
      </w:r>
      <w:r>
        <w:rPr>
          <w:rFonts w:hint="default" w:ascii="Times New Roman" w:hAnsi="Times New Roman" w:eastAsia="宋体" w:cs="Times New Roman"/>
          <w:color w:val="auto"/>
          <w:sz w:val="24"/>
          <w:szCs w:val="22"/>
          <w:highlight w:val="none"/>
          <w:lang w:val="zh-CN"/>
        </w:rPr>
        <w:t>产生量为0.</w:t>
      </w:r>
      <w:r>
        <w:rPr>
          <w:rFonts w:hint="default" w:ascii="Times New Roman" w:hAnsi="Times New Roman" w:cs="Times New Roman"/>
          <w:color w:val="auto"/>
          <w:sz w:val="24"/>
          <w:szCs w:val="22"/>
          <w:highlight w:val="none"/>
          <w:lang w:val="en-US" w:eastAsia="zh-CN"/>
        </w:rPr>
        <w:t>404</w:t>
      </w:r>
      <w:r>
        <w:rPr>
          <w:rFonts w:hint="default" w:ascii="Times New Roman" w:hAnsi="Times New Roman" w:eastAsia="宋体" w:cs="Times New Roman"/>
          <w:color w:val="auto"/>
          <w:sz w:val="24"/>
          <w:szCs w:val="22"/>
          <w:highlight w:val="none"/>
          <w:lang w:val="zh-CN"/>
        </w:rPr>
        <w:t>kg/s</w:t>
      </w:r>
      <w:r>
        <w:rPr>
          <w:rFonts w:hint="default" w:ascii="Times New Roman" w:hAnsi="Times New Roman" w:cs="Times New Roman"/>
          <w:color w:val="auto"/>
          <w:sz w:val="24"/>
          <w:szCs w:val="22"/>
          <w:highlight w:val="none"/>
          <w:lang w:val="en-US" w:eastAsia="zh-CN"/>
        </w:rPr>
        <w:t>。</w:t>
      </w:r>
      <w:r>
        <w:rPr>
          <w:rFonts w:hint="default" w:ascii="Times New Roman" w:hAnsi="Times New Roman" w:eastAsia="宋体" w:cs="Times New Roman"/>
          <w:color w:val="auto"/>
          <w:sz w:val="24"/>
          <w:szCs w:val="22"/>
          <w:highlight w:val="none"/>
          <w:lang w:val="zh-CN"/>
        </w:rPr>
        <w:t>综上，则本</w:t>
      </w:r>
      <w:r>
        <w:rPr>
          <w:rFonts w:hint="default" w:ascii="Times New Roman" w:hAnsi="Times New Roman" w:cs="Times New Roman"/>
          <w:color w:val="auto"/>
          <w:sz w:val="24"/>
          <w:szCs w:val="22"/>
          <w:highlight w:val="none"/>
          <w:lang w:val="en-US" w:eastAsia="zh-CN"/>
        </w:rPr>
        <w:t>项目风险源强见下表。</w:t>
      </w:r>
    </w:p>
    <w:p w14:paraId="51410F44">
      <w:pPr>
        <w:spacing w:line="360" w:lineRule="auto"/>
        <w:jc w:val="center"/>
        <w:rPr>
          <w:rFonts w:hint="default" w:ascii="Times New Roman" w:hAnsi="Times New Roman" w:eastAsia="宋体" w:cs="Times New Roman"/>
          <w:b/>
          <w:bCs/>
          <w:color w:val="auto"/>
          <w:sz w:val="24"/>
          <w:szCs w:val="22"/>
          <w:highlight w:val="none"/>
        </w:rPr>
      </w:pPr>
      <w:r>
        <w:rPr>
          <w:rFonts w:hint="default" w:ascii="Times New Roman" w:hAnsi="Times New Roman" w:eastAsia="宋体" w:cs="Times New Roman"/>
          <w:b/>
          <w:bCs/>
          <w:color w:val="auto"/>
          <w:sz w:val="24"/>
          <w:szCs w:val="22"/>
          <w:highlight w:val="none"/>
        </w:rPr>
        <w:t>表</w:t>
      </w:r>
      <w:r>
        <w:rPr>
          <w:rFonts w:hint="default" w:ascii="Times New Roman" w:hAnsi="Times New Roman" w:eastAsia="宋体" w:cs="Times New Roman"/>
          <w:b/>
          <w:bCs/>
          <w:color w:val="auto"/>
          <w:sz w:val="24"/>
          <w:szCs w:val="22"/>
          <w:highlight w:val="none"/>
          <w:lang w:eastAsia="zh-CN"/>
        </w:rPr>
        <w:t>6.</w:t>
      </w:r>
      <w:r>
        <w:rPr>
          <w:rFonts w:hint="default" w:ascii="Times New Roman" w:hAnsi="Times New Roman" w:eastAsia="宋体" w:cs="Times New Roman"/>
          <w:b/>
          <w:bCs/>
          <w:color w:val="auto"/>
          <w:sz w:val="24"/>
          <w:szCs w:val="22"/>
          <w:highlight w:val="none"/>
          <w:lang w:val="en-US" w:eastAsia="zh-CN"/>
        </w:rPr>
        <w:t>2-</w:t>
      </w:r>
      <w:r>
        <w:rPr>
          <w:rFonts w:hint="default" w:ascii="Times New Roman" w:hAnsi="Times New Roman" w:cs="Times New Roman"/>
          <w:b/>
          <w:bCs/>
          <w:color w:val="auto"/>
          <w:sz w:val="24"/>
          <w:szCs w:val="22"/>
          <w:highlight w:val="none"/>
          <w:lang w:val="en-US" w:eastAsia="zh-CN"/>
        </w:rPr>
        <w:t>1</w:t>
      </w:r>
      <w:r>
        <w:rPr>
          <w:rFonts w:hint="default" w:ascii="Times New Roman" w:hAnsi="Times New Roman" w:eastAsia="宋体" w:cs="Times New Roman"/>
          <w:b/>
          <w:bCs/>
          <w:color w:val="auto"/>
          <w:sz w:val="24"/>
          <w:szCs w:val="22"/>
          <w:highlight w:val="none"/>
        </w:rPr>
        <w:t xml:space="preserve">  </w:t>
      </w:r>
      <w:r>
        <w:rPr>
          <w:rFonts w:hint="default" w:ascii="Times New Roman" w:hAnsi="Times New Roman" w:eastAsia="宋体" w:cs="Times New Roman"/>
          <w:b/>
          <w:bCs/>
          <w:color w:val="auto"/>
          <w:sz w:val="24"/>
          <w:szCs w:val="22"/>
          <w:highlight w:val="none"/>
          <w:lang w:val="en-US" w:eastAsia="zh-CN"/>
        </w:rPr>
        <w:t>事故泄漏源强</w:t>
      </w:r>
    </w:p>
    <w:tbl>
      <w:tblPr>
        <w:tblStyle w:val="1390"/>
        <w:tblW w:w="5031"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39"/>
        <w:gridCol w:w="624"/>
        <w:gridCol w:w="701"/>
        <w:gridCol w:w="754"/>
        <w:gridCol w:w="732"/>
        <w:gridCol w:w="819"/>
        <w:gridCol w:w="832"/>
        <w:gridCol w:w="732"/>
        <w:gridCol w:w="750"/>
        <w:gridCol w:w="750"/>
        <w:gridCol w:w="750"/>
        <w:gridCol w:w="750"/>
      </w:tblGrid>
      <w:tr w14:paraId="65EE2E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514" w:type="pct"/>
            <w:noWrap w:val="0"/>
            <w:vAlign w:val="center"/>
          </w:tcPr>
          <w:p w14:paraId="2990C3A4">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序号</w:t>
            </w:r>
          </w:p>
        </w:tc>
        <w:tc>
          <w:tcPr>
            <w:tcW w:w="341" w:type="pct"/>
            <w:noWrap w:val="0"/>
            <w:vAlign w:val="center"/>
          </w:tcPr>
          <w:p w14:paraId="6BD01580">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风险事故情形描述</w:t>
            </w:r>
          </w:p>
        </w:tc>
        <w:tc>
          <w:tcPr>
            <w:tcW w:w="383" w:type="pct"/>
            <w:noWrap w:val="0"/>
            <w:vAlign w:val="center"/>
          </w:tcPr>
          <w:p w14:paraId="7DBAF0B3">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泄漏口径</w:t>
            </w:r>
          </w:p>
        </w:tc>
        <w:tc>
          <w:tcPr>
            <w:tcW w:w="412" w:type="pct"/>
            <w:noWrap w:val="0"/>
            <w:vAlign w:val="center"/>
          </w:tcPr>
          <w:p w14:paraId="26D44119">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危险单元</w:t>
            </w:r>
          </w:p>
        </w:tc>
        <w:tc>
          <w:tcPr>
            <w:tcW w:w="400" w:type="pct"/>
            <w:noWrap w:val="0"/>
            <w:vAlign w:val="center"/>
          </w:tcPr>
          <w:p w14:paraId="13DB387B">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危险物质</w:t>
            </w:r>
          </w:p>
        </w:tc>
        <w:tc>
          <w:tcPr>
            <w:tcW w:w="448" w:type="pct"/>
            <w:noWrap w:val="0"/>
            <w:vAlign w:val="center"/>
          </w:tcPr>
          <w:p w14:paraId="691D8ECF">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影响途径</w:t>
            </w:r>
          </w:p>
        </w:tc>
        <w:tc>
          <w:tcPr>
            <w:tcW w:w="455" w:type="pct"/>
            <w:noWrap w:val="0"/>
            <w:vAlign w:val="center"/>
          </w:tcPr>
          <w:p w14:paraId="43DD6F51">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泄漏速率kg/s</w:t>
            </w:r>
          </w:p>
        </w:tc>
        <w:tc>
          <w:tcPr>
            <w:tcW w:w="400" w:type="pct"/>
            <w:noWrap w:val="0"/>
            <w:vAlign w:val="center"/>
          </w:tcPr>
          <w:p w14:paraId="73233EF3">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泄漏时间/min</w:t>
            </w:r>
          </w:p>
        </w:tc>
        <w:tc>
          <w:tcPr>
            <w:tcW w:w="410" w:type="pct"/>
            <w:noWrap w:val="0"/>
            <w:vAlign w:val="center"/>
          </w:tcPr>
          <w:p w14:paraId="4F2270D2">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最大泄漏量/kg</w:t>
            </w:r>
          </w:p>
        </w:tc>
        <w:tc>
          <w:tcPr>
            <w:tcW w:w="410" w:type="pct"/>
            <w:noWrap w:val="0"/>
            <w:vAlign w:val="center"/>
          </w:tcPr>
          <w:p w14:paraId="05E0AFCE">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泄漏液体蒸发量/kg</w:t>
            </w:r>
          </w:p>
        </w:tc>
        <w:tc>
          <w:tcPr>
            <w:tcW w:w="410" w:type="pct"/>
            <w:noWrap w:val="0"/>
            <w:vAlign w:val="center"/>
          </w:tcPr>
          <w:p w14:paraId="1F262CC5">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次生NH</w:t>
            </w:r>
            <w:r>
              <w:rPr>
                <w:rFonts w:hint="default" w:ascii="Times New Roman" w:hAnsi="Times New Roman" w:cs="Times New Roman"/>
                <w:color w:val="auto"/>
                <w:szCs w:val="20"/>
                <w:highlight w:val="none"/>
                <w:vertAlign w:val="subscript"/>
                <w:lang w:val="en-US" w:eastAsia="zh-CN"/>
              </w:rPr>
              <w:t>3</w:t>
            </w:r>
            <w:r>
              <w:rPr>
                <w:rFonts w:hint="default" w:ascii="Times New Roman" w:hAnsi="Times New Roman" w:cs="Times New Roman"/>
                <w:color w:val="auto"/>
                <w:szCs w:val="20"/>
                <w:highlight w:val="none"/>
                <w:lang w:val="en-US" w:eastAsia="zh-CN"/>
              </w:rPr>
              <w:t>量kg/s</w:t>
            </w:r>
          </w:p>
        </w:tc>
        <w:tc>
          <w:tcPr>
            <w:tcW w:w="410" w:type="pct"/>
            <w:noWrap w:val="0"/>
            <w:vAlign w:val="center"/>
          </w:tcPr>
          <w:p w14:paraId="23C8AA69">
            <w:pPr>
              <w:autoSpaceDE w:val="0"/>
              <w:autoSpaceDN w:val="0"/>
              <w:jc w:val="center"/>
              <w:rPr>
                <w:rFonts w:hint="default" w:ascii="Times New Roman" w:hAnsi="Times New Roman" w:eastAsia="宋体" w:cs="Times New Roman"/>
                <w:color w:val="auto"/>
                <w:szCs w:val="20"/>
                <w:highlight w:val="none"/>
              </w:rPr>
            </w:pPr>
            <w:r>
              <w:rPr>
                <w:rFonts w:hint="default" w:ascii="Times New Roman" w:hAnsi="Times New Roman" w:cs="Times New Roman"/>
                <w:color w:val="auto"/>
                <w:szCs w:val="20"/>
                <w:highlight w:val="none"/>
                <w:lang w:val="en-US" w:eastAsia="zh-CN"/>
              </w:rPr>
              <w:t>次生SO</w:t>
            </w:r>
            <w:r>
              <w:rPr>
                <w:rFonts w:hint="default" w:ascii="Times New Roman" w:hAnsi="Times New Roman" w:cs="Times New Roman"/>
                <w:color w:val="auto"/>
                <w:szCs w:val="20"/>
                <w:highlight w:val="none"/>
                <w:vertAlign w:val="subscript"/>
                <w:lang w:val="en-US" w:eastAsia="zh-CN"/>
              </w:rPr>
              <w:t>2</w:t>
            </w:r>
            <w:r>
              <w:rPr>
                <w:rFonts w:hint="default" w:ascii="Times New Roman" w:hAnsi="Times New Roman" w:cs="Times New Roman"/>
                <w:color w:val="auto"/>
                <w:szCs w:val="20"/>
                <w:highlight w:val="none"/>
                <w:lang w:val="en-US" w:eastAsia="zh-CN"/>
              </w:rPr>
              <w:t>量kg/s</w:t>
            </w:r>
          </w:p>
        </w:tc>
      </w:tr>
      <w:tr w14:paraId="6A5FAE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514" w:type="pct"/>
            <w:noWrap w:val="0"/>
            <w:vAlign w:val="center"/>
          </w:tcPr>
          <w:p w14:paraId="1DB5BAB1">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w:t>
            </w:r>
          </w:p>
        </w:tc>
        <w:tc>
          <w:tcPr>
            <w:tcW w:w="341" w:type="pct"/>
            <w:noWrap w:val="0"/>
            <w:vAlign w:val="center"/>
          </w:tcPr>
          <w:p w14:paraId="6EC75B3A">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容器泄漏</w:t>
            </w:r>
          </w:p>
        </w:tc>
        <w:tc>
          <w:tcPr>
            <w:tcW w:w="383" w:type="pct"/>
            <w:noWrap w:val="0"/>
            <w:vAlign w:val="center"/>
          </w:tcPr>
          <w:p w14:paraId="712141FE">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412" w:type="pct"/>
            <w:noWrap w:val="0"/>
            <w:vAlign w:val="center"/>
          </w:tcPr>
          <w:p w14:paraId="7E1B71A3">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原料仓库</w:t>
            </w:r>
          </w:p>
        </w:tc>
        <w:tc>
          <w:tcPr>
            <w:tcW w:w="400" w:type="pct"/>
            <w:noWrap w:val="0"/>
            <w:vAlign w:val="center"/>
          </w:tcPr>
          <w:p w14:paraId="06696288">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硫酸铵</w:t>
            </w:r>
          </w:p>
        </w:tc>
        <w:tc>
          <w:tcPr>
            <w:tcW w:w="448" w:type="pct"/>
            <w:noWrap w:val="0"/>
            <w:vAlign w:val="center"/>
          </w:tcPr>
          <w:p w14:paraId="26A052C7">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大气扩散</w:t>
            </w:r>
          </w:p>
        </w:tc>
        <w:tc>
          <w:tcPr>
            <w:tcW w:w="455" w:type="pct"/>
            <w:noWrap w:val="0"/>
            <w:vAlign w:val="center"/>
          </w:tcPr>
          <w:p w14:paraId="2FC9EC90">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w:t>
            </w:r>
          </w:p>
        </w:tc>
        <w:tc>
          <w:tcPr>
            <w:tcW w:w="400" w:type="pct"/>
            <w:noWrap w:val="0"/>
            <w:vAlign w:val="center"/>
          </w:tcPr>
          <w:p w14:paraId="55551916">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10</w:t>
            </w:r>
          </w:p>
        </w:tc>
        <w:tc>
          <w:tcPr>
            <w:tcW w:w="410" w:type="pct"/>
            <w:noWrap w:val="0"/>
            <w:vAlign w:val="center"/>
          </w:tcPr>
          <w:p w14:paraId="20D80E9B">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50</w:t>
            </w:r>
          </w:p>
        </w:tc>
        <w:tc>
          <w:tcPr>
            <w:tcW w:w="410" w:type="pct"/>
            <w:noWrap w:val="0"/>
            <w:vAlign w:val="center"/>
          </w:tcPr>
          <w:p w14:paraId="24912F40">
            <w:pPr>
              <w:autoSpaceDE w:val="0"/>
              <w:autoSpaceDN w:val="0"/>
              <w:jc w:val="center"/>
              <w:rPr>
                <w:rFonts w:hint="default" w:ascii="Times New Roman" w:hAnsi="Times New Roman" w:eastAsia="宋体" w:cs="Times New Roman"/>
                <w:color w:val="auto"/>
                <w:szCs w:val="20"/>
                <w:highlight w:val="none"/>
                <w:lang w:eastAsia="zh-CN"/>
              </w:rPr>
            </w:pPr>
            <w:r>
              <w:rPr>
                <w:rFonts w:hint="default" w:ascii="Times New Roman" w:hAnsi="Times New Roman" w:cs="Times New Roman"/>
                <w:color w:val="auto"/>
                <w:szCs w:val="20"/>
                <w:highlight w:val="none"/>
                <w:lang w:val="en-US" w:eastAsia="zh-CN"/>
              </w:rPr>
              <w:t>/</w:t>
            </w:r>
          </w:p>
        </w:tc>
        <w:tc>
          <w:tcPr>
            <w:tcW w:w="410" w:type="pct"/>
            <w:noWrap w:val="0"/>
            <w:vAlign w:val="center"/>
          </w:tcPr>
          <w:p w14:paraId="3E32B893">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0.0143</w:t>
            </w:r>
          </w:p>
        </w:tc>
        <w:tc>
          <w:tcPr>
            <w:tcW w:w="410" w:type="pct"/>
            <w:noWrap w:val="0"/>
            <w:vAlign w:val="center"/>
          </w:tcPr>
          <w:p w14:paraId="78DF31F4">
            <w:pPr>
              <w:autoSpaceDE w:val="0"/>
              <w:autoSpaceDN w:val="0"/>
              <w:jc w:val="center"/>
              <w:rPr>
                <w:rFonts w:hint="default" w:ascii="Times New Roman" w:hAnsi="Times New Roman" w:eastAsia="宋体" w:cs="Times New Roman"/>
                <w:color w:val="auto"/>
                <w:szCs w:val="20"/>
                <w:highlight w:val="none"/>
                <w:lang w:val="en-US" w:eastAsia="zh-CN"/>
              </w:rPr>
            </w:pPr>
            <w:r>
              <w:rPr>
                <w:rFonts w:hint="default" w:ascii="Times New Roman" w:hAnsi="Times New Roman" w:cs="Times New Roman"/>
                <w:color w:val="auto"/>
                <w:szCs w:val="20"/>
                <w:highlight w:val="none"/>
                <w:lang w:val="en-US" w:eastAsia="zh-CN"/>
              </w:rPr>
              <w:t>0.0404</w:t>
            </w:r>
          </w:p>
        </w:tc>
      </w:tr>
    </w:tbl>
    <w:p w14:paraId="385AC234">
      <w:pPr>
        <w:keepNext/>
        <w:keepLines/>
        <w:widowControl/>
        <w:spacing w:before="120" w:after="120" w:line="360" w:lineRule="auto"/>
        <w:jc w:val="left"/>
        <w:outlineLvl w:val="1"/>
        <w:rPr>
          <w:rFonts w:hint="default" w:ascii="Times New Roman" w:hAnsi="Times New Roman" w:eastAsia="宋体" w:cs="Times New Roman"/>
          <w:b/>
          <w:bCs/>
          <w:color w:val="auto"/>
          <w:kern w:val="0"/>
          <w:sz w:val="30"/>
          <w:szCs w:val="30"/>
        </w:rPr>
      </w:pPr>
      <w:bookmarkStart w:id="64" w:name="_Toc33691326"/>
      <w:bookmarkStart w:id="65" w:name="_Toc6776"/>
      <w:r>
        <w:rPr>
          <w:rFonts w:hint="default" w:ascii="Times New Roman" w:hAnsi="Times New Roman" w:eastAsia="宋体" w:cs="Times New Roman"/>
          <w:b/>
          <w:bCs/>
          <w:color w:val="auto"/>
          <w:kern w:val="0"/>
          <w:sz w:val="30"/>
          <w:szCs w:val="30"/>
          <w:lang w:val="en-US" w:eastAsia="zh-CN"/>
        </w:rPr>
        <w:t>6.3</w:t>
      </w:r>
      <w:r>
        <w:rPr>
          <w:rFonts w:hint="default" w:ascii="Times New Roman" w:hAnsi="Times New Roman" w:eastAsia="宋体" w:cs="Times New Roman"/>
          <w:b/>
          <w:bCs/>
          <w:color w:val="auto"/>
          <w:kern w:val="0"/>
          <w:sz w:val="30"/>
          <w:szCs w:val="30"/>
        </w:rPr>
        <w:t xml:space="preserve"> 环境风险预测与评价</w:t>
      </w:r>
      <w:bookmarkEnd w:id="64"/>
      <w:bookmarkEnd w:id="65"/>
    </w:p>
    <w:p w14:paraId="56D1DC05">
      <w:pPr>
        <w:pStyle w:val="1314"/>
        <w:spacing w:line="360" w:lineRule="auto"/>
        <w:ind w:left="9" w:right="90"/>
        <w:jc w:val="both"/>
        <w:textAlignment w:val="baseline"/>
        <w:outlineLvl w:val="2"/>
        <w:rPr>
          <w:rFonts w:hint="default" w:ascii="Times New Roman" w:hAnsi="Times New Roman" w:eastAsia="宋体" w:cs="Times New Roman"/>
          <w:b/>
          <w:bCs/>
          <w:color w:val="auto"/>
          <w:sz w:val="28"/>
          <w:szCs w:val="28"/>
          <w:lang w:val="en-US"/>
        </w:rPr>
      </w:pPr>
      <w:bookmarkStart w:id="66" w:name="_Toc27366"/>
      <w:r>
        <w:rPr>
          <w:rFonts w:hint="default" w:ascii="Times New Roman" w:hAnsi="Times New Roman" w:eastAsia="宋体" w:cs="Times New Roman"/>
          <w:b/>
          <w:bCs/>
          <w:color w:val="auto"/>
          <w:sz w:val="28"/>
          <w:szCs w:val="28"/>
          <w:lang w:val="en-US" w:eastAsia="zh-CN"/>
        </w:rPr>
        <w:t>6.3.</w:t>
      </w:r>
      <w:r>
        <w:rPr>
          <w:rFonts w:hint="default" w:ascii="Times New Roman" w:hAnsi="Times New Roman" w:eastAsia="宋体" w:cs="Times New Roman"/>
          <w:b/>
          <w:bCs/>
          <w:color w:val="auto"/>
          <w:sz w:val="28"/>
          <w:szCs w:val="28"/>
          <w:lang w:val="en-US"/>
        </w:rPr>
        <w:t>1 有毒有害物质在大气中的扩散</w:t>
      </w:r>
      <w:bookmarkEnd w:id="66"/>
    </w:p>
    <w:p w14:paraId="3F003CA3">
      <w:pPr>
        <w:spacing w:line="360" w:lineRule="auto"/>
        <w:ind w:firstLine="480" w:firstLineChars="200"/>
        <w:rPr>
          <w:rFonts w:hint="default" w:ascii="Times New Roman" w:hAnsi="Times New Roman" w:cs="Times New Roman"/>
          <w:color w:val="auto"/>
          <w:kern w:val="0"/>
          <w:sz w:val="24"/>
          <w:lang w:eastAsia="zh-CN"/>
        </w:rPr>
      </w:pPr>
      <w:r>
        <w:rPr>
          <w:rFonts w:hint="default" w:ascii="Times New Roman" w:hAnsi="Times New Roman" w:eastAsia="宋体" w:cs="Times New Roman"/>
          <w:color w:val="auto"/>
          <w:kern w:val="0"/>
          <w:sz w:val="24"/>
          <w:lang w:eastAsia="zh-CN"/>
        </w:rPr>
        <w:t>本项目硫酸铵为固体，本身不燃，但当厂区内发生火灾时，在</w:t>
      </w:r>
      <w:r>
        <w:rPr>
          <w:rFonts w:hint="default" w:ascii="Times New Roman" w:hAnsi="Times New Roman" w:cs="Times New Roman"/>
          <w:color w:val="auto"/>
          <w:kern w:val="0"/>
          <w:sz w:val="24"/>
          <w:lang w:eastAsia="zh-CN"/>
        </w:rPr>
        <w:t>原料仓库</w:t>
      </w:r>
      <w:r>
        <w:rPr>
          <w:rFonts w:hint="default" w:ascii="Times New Roman" w:hAnsi="Times New Roman" w:eastAsia="宋体" w:cs="Times New Roman"/>
          <w:color w:val="auto"/>
          <w:kern w:val="0"/>
          <w:sz w:val="24"/>
          <w:lang w:eastAsia="zh-CN"/>
        </w:rPr>
        <w:t>内存储的硫酸铵受热分解产生氨气、</w:t>
      </w:r>
      <w:r>
        <w:rPr>
          <w:rFonts w:hint="default" w:ascii="Times New Roman" w:hAnsi="Times New Roman" w:cs="Times New Roman"/>
          <w:color w:val="auto"/>
          <w:kern w:val="0"/>
          <w:sz w:val="24"/>
          <w:lang w:val="en-US" w:eastAsia="zh-CN"/>
        </w:rPr>
        <w:t>SO</w:t>
      </w:r>
      <w:r>
        <w:rPr>
          <w:rFonts w:hint="default" w:ascii="Times New Roman" w:hAnsi="Times New Roman" w:cs="Times New Roman"/>
          <w:color w:val="auto"/>
          <w:kern w:val="0"/>
          <w:sz w:val="24"/>
          <w:vertAlign w:val="subscript"/>
          <w:lang w:val="en-US" w:eastAsia="zh-CN"/>
        </w:rPr>
        <w:t>2</w:t>
      </w:r>
      <w:r>
        <w:rPr>
          <w:rFonts w:hint="default" w:ascii="Times New Roman" w:hAnsi="Times New Roman" w:cs="Times New Roman"/>
          <w:color w:val="auto"/>
          <w:kern w:val="0"/>
          <w:sz w:val="24"/>
          <w:lang w:val="en-US" w:eastAsia="zh-CN"/>
        </w:rPr>
        <w:t>、</w:t>
      </w:r>
      <w:r>
        <w:rPr>
          <w:rFonts w:hint="default" w:ascii="Times New Roman" w:hAnsi="Times New Roman" w:eastAsia="宋体" w:cs="Times New Roman"/>
          <w:color w:val="auto"/>
          <w:kern w:val="0"/>
          <w:sz w:val="24"/>
          <w:lang w:eastAsia="zh-CN"/>
        </w:rPr>
        <w:t>以及氨气燃烧导致大气污染</w:t>
      </w:r>
      <w:r>
        <w:rPr>
          <w:rFonts w:hint="default" w:ascii="Times New Roman" w:hAnsi="Times New Roman" w:cs="Times New Roman"/>
          <w:color w:val="auto"/>
          <w:kern w:val="0"/>
          <w:sz w:val="24"/>
          <w:lang w:eastAsia="zh-CN"/>
        </w:rPr>
        <w:t>。</w:t>
      </w:r>
    </w:p>
    <w:p w14:paraId="38D94CC4">
      <w:pPr>
        <w:keepNext/>
        <w:keepLines/>
        <w:widowControl/>
        <w:spacing w:before="120" w:after="120" w:line="360" w:lineRule="auto"/>
        <w:jc w:val="left"/>
        <w:outlineLvl w:val="3"/>
        <w:rPr>
          <w:rFonts w:hint="default" w:ascii="Times New Roman" w:hAnsi="Times New Roman" w:eastAsia="宋体" w:cs="Times New Roman"/>
          <w:b/>
          <w:bCs/>
          <w:color w:val="auto"/>
          <w:kern w:val="0"/>
          <w:sz w:val="24"/>
          <w:szCs w:val="24"/>
          <w:highlight w:val="none"/>
        </w:rPr>
      </w:pPr>
      <w:r>
        <w:rPr>
          <w:rFonts w:hint="default" w:ascii="Times New Roman" w:hAnsi="Times New Roman" w:eastAsia="宋体" w:cs="Times New Roman"/>
          <w:b/>
          <w:bCs/>
          <w:color w:val="auto"/>
          <w:kern w:val="0"/>
          <w:sz w:val="24"/>
          <w:szCs w:val="24"/>
          <w:lang w:eastAsia="zh-CN"/>
        </w:rPr>
        <w:t>6.3.</w:t>
      </w:r>
      <w:r>
        <w:rPr>
          <w:rFonts w:hint="default" w:ascii="Times New Roman" w:hAnsi="Times New Roman" w:eastAsia="宋体" w:cs="Times New Roman"/>
          <w:b/>
          <w:bCs/>
          <w:color w:val="auto"/>
          <w:kern w:val="0"/>
          <w:sz w:val="24"/>
          <w:szCs w:val="24"/>
          <w:lang w:val="en-US" w:eastAsia="zh-CN"/>
        </w:rPr>
        <w:t>1</w:t>
      </w:r>
      <w:r>
        <w:rPr>
          <w:rFonts w:hint="default" w:ascii="Times New Roman" w:hAnsi="Times New Roman" w:eastAsia="宋体" w:cs="Times New Roman"/>
          <w:b/>
          <w:bCs/>
          <w:color w:val="auto"/>
          <w:kern w:val="0"/>
          <w:sz w:val="24"/>
          <w:szCs w:val="24"/>
          <w:lang w:eastAsia="zh-CN"/>
        </w:rPr>
        <w:t>.</w:t>
      </w:r>
      <w:r>
        <w:rPr>
          <w:rFonts w:hint="default" w:ascii="Times New Roman" w:hAnsi="Times New Roman" w:eastAsia="宋体" w:cs="Times New Roman"/>
          <w:b/>
          <w:bCs/>
          <w:color w:val="auto"/>
          <w:kern w:val="0"/>
          <w:sz w:val="24"/>
          <w:szCs w:val="24"/>
        </w:rPr>
        <w:t>1 预测模型筛选</w:t>
      </w:r>
    </w:p>
    <w:p w14:paraId="24741119">
      <w:pPr>
        <w:spacing w:line="360" w:lineRule="auto"/>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根据《建设项目环境风险评价技术导则》（HJ 169—2018）要求，预测计算时应区分重质气体与轻质气体排放，依据附录G筛选大气风险预测推荐模型的方法，确定各事故下预测模型如下：</w:t>
      </w:r>
    </w:p>
    <w:p w14:paraId="75721E5D">
      <w:pPr>
        <w:pStyle w:val="80"/>
        <w:ind w:left="0" w:leftChars="0" w:firstLine="0" w:firstLine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eastAsia="zh-CN"/>
        </w:rPr>
        <w:t>6.3-</w:t>
      </w:r>
      <w:r>
        <w:rPr>
          <w:rFonts w:hint="default" w:ascii="Times New Roman" w:hAnsi="Times New Roman" w:eastAsia="宋体" w:cs="Times New Roman"/>
          <w:b/>
          <w:bCs/>
          <w:color w:val="auto"/>
          <w:sz w:val="24"/>
          <w:highlight w:val="none"/>
        </w:rPr>
        <w:t>1  各事故下预测模型筛选确定表</w:t>
      </w:r>
    </w:p>
    <w:tbl>
      <w:tblPr>
        <w:tblStyle w:val="8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4637"/>
        <w:gridCol w:w="2322"/>
        <w:gridCol w:w="2324"/>
      </w:tblGrid>
      <w:tr w14:paraId="41F00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7" w:type="pct"/>
            <w:shd w:val="clear" w:color="auto" w:fill="auto"/>
            <w:vAlign w:val="center"/>
          </w:tcPr>
          <w:p w14:paraId="737A5783">
            <w:pPr>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有毒有害物质</w:t>
            </w:r>
          </w:p>
        </w:tc>
        <w:tc>
          <w:tcPr>
            <w:tcW w:w="1250" w:type="pct"/>
            <w:shd w:val="clear" w:color="auto" w:fill="auto"/>
            <w:vAlign w:val="center"/>
          </w:tcPr>
          <w:p w14:paraId="456C9F5A">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氨气</w:t>
            </w:r>
          </w:p>
        </w:tc>
        <w:tc>
          <w:tcPr>
            <w:tcW w:w="1251" w:type="pct"/>
            <w:shd w:val="clear" w:color="auto" w:fill="auto"/>
            <w:vAlign w:val="center"/>
          </w:tcPr>
          <w:p w14:paraId="646353BC">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SO</w:t>
            </w:r>
            <w:r>
              <w:rPr>
                <w:rFonts w:hint="default" w:ascii="Times New Roman" w:hAnsi="Times New Roman" w:cs="Times New Roman"/>
                <w:color w:val="auto"/>
                <w:highlight w:val="none"/>
                <w:vertAlign w:val="subscript"/>
                <w:lang w:val="en-US" w:eastAsia="zh-CN"/>
              </w:rPr>
              <w:t>2</w:t>
            </w:r>
          </w:p>
        </w:tc>
      </w:tr>
      <w:tr w14:paraId="14DDE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497" w:type="pct"/>
            <w:shd w:val="clear" w:color="auto" w:fill="auto"/>
            <w:vAlign w:val="center"/>
          </w:tcPr>
          <w:p w14:paraId="06D9418F">
            <w:pPr>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模型选择</w:t>
            </w:r>
          </w:p>
        </w:tc>
        <w:tc>
          <w:tcPr>
            <w:tcW w:w="1250" w:type="pct"/>
            <w:shd w:val="clear" w:color="auto" w:fill="auto"/>
            <w:vAlign w:val="center"/>
          </w:tcPr>
          <w:p w14:paraId="49AE2965">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AFTOX</w:t>
            </w:r>
          </w:p>
        </w:tc>
        <w:tc>
          <w:tcPr>
            <w:tcW w:w="1251" w:type="pct"/>
            <w:shd w:val="clear" w:color="auto" w:fill="auto"/>
            <w:vAlign w:val="center"/>
          </w:tcPr>
          <w:p w14:paraId="41B1CC5D">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SLAB</w:t>
            </w:r>
          </w:p>
        </w:tc>
      </w:tr>
    </w:tbl>
    <w:p w14:paraId="14369613">
      <w:pPr>
        <w:keepNext/>
        <w:keepLines/>
        <w:widowControl/>
        <w:spacing w:before="120" w:after="120" w:line="360" w:lineRule="auto"/>
        <w:jc w:val="left"/>
        <w:outlineLvl w:val="3"/>
        <w:rPr>
          <w:rFonts w:hint="default" w:ascii="Times New Roman" w:hAnsi="Times New Roman" w:eastAsia="宋体" w:cs="Times New Roman"/>
          <w:b/>
          <w:bCs/>
          <w:color w:val="auto"/>
          <w:kern w:val="0"/>
          <w:sz w:val="24"/>
          <w:highlight w:val="none"/>
        </w:rPr>
      </w:pPr>
      <w:r>
        <w:rPr>
          <w:rFonts w:hint="default" w:ascii="Times New Roman" w:hAnsi="Times New Roman" w:eastAsia="宋体" w:cs="Times New Roman"/>
          <w:b/>
          <w:bCs/>
          <w:color w:val="auto"/>
          <w:kern w:val="0"/>
          <w:sz w:val="24"/>
          <w:highlight w:val="none"/>
          <w:lang w:eastAsia="zh-CN"/>
        </w:rPr>
        <w:t>6.3.</w:t>
      </w:r>
      <w:r>
        <w:rPr>
          <w:rFonts w:hint="default" w:ascii="Times New Roman" w:hAnsi="Times New Roman" w:eastAsia="宋体" w:cs="Times New Roman"/>
          <w:b/>
          <w:bCs/>
          <w:color w:val="auto"/>
          <w:kern w:val="0"/>
          <w:sz w:val="24"/>
          <w:highlight w:val="none"/>
          <w:lang w:val="en-US" w:eastAsia="zh-CN"/>
        </w:rPr>
        <w:t>1</w:t>
      </w:r>
      <w:r>
        <w:rPr>
          <w:rFonts w:hint="default" w:ascii="Times New Roman" w:hAnsi="Times New Roman" w:eastAsia="宋体" w:cs="Times New Roman"/>
          <w:b/>
          <w:bCs/>
          <w:color w:val="auto"/>
          <w:kern w:val="0"/>
          <w:sz w:val="24"/>
          <w:highlight w:val="none"/>
          <w:lang w:eastAsia="zh-CN"/>
        </w:rPr>
        <w:t>.</w:t>
      </w:r>
      <w:r>
        <w:rPr>
          <w:rFonts w:hint="default" w:ascii="Times New Roman" w:hAnsi="Times New Roman" w:eastAsia="宋体" w:cs="Times New Roman"/>
          <w:b/>
          <w:bCs/>
          <w:color w:val="auto"/>
          <w:kern w:val="0"/>
          <w:sz w:val="24"/>
          <w:highlight w:val="none"/>
        </w:rPr>
        <w:t>2 预测范围与计算点</w:t>
      </w:r>
    </w:p>
    <w:p w14:paraId="1916136F">
      <w:pPr>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rPr>
        <w:t>预测范围为预测物质达到评价标准时的最大影</w:t>
      </w:r>
      <w:r>
        <w:rPr>
          <w:rFonts w:hint="default" w:ascii="Times New Roman" w:hAnsi="Times New Roman" w:eastAsia="宋体" w:cs="Times New Roman"/>
          <w:color w:val="auto"/>
          <w:kern w:val="0"/>
          <w:sz w:val="24"/>
          <w:highlight w:val="none"/>
        </w:rPr>
        <w:t>响范围，根据预测结果进行调整、选取。一般计算点按照导则要求，均取50m间距。特殊计算点的选取综合考虑距离风险源的距离以及敏感点人数等因素，选取了</w:t>
      </w:r>
      <w:r>
        <w:rPr>
          <w:rFonts w:hint="default" w:ascii="Times New Roman" w:hAnsi="Times New Roman" w:cs="Times New Roman"/>
          <w:color w:val="auto"/>
          <w:kern w:val="0"/>
          <w:sz w:val="24"/>
          <w:highlight w:val="none"/>
          <w:lang w:val="en-US" w:eastAsia="zh-CN"/>
        </w:rPr>
        <w:t>杨兰村、凤凰村、南铺村、瓦村、小旦村</w:t>
      </w:r>
      <w:r>
        <w:rPr>
          <w:rFonts w:hint="default" w:ascii="Times New Roman" w:hAnsi="Times New Roman" w:eastAsia="宋体" w:cs="Times New Roman"/>
          <w:color w:val="auto"/>
          <w:kern w:val="0"/>
          <w:sz w:val="24"/>
          <w:highlight w:val="none"/>
        </w:rPr>
        <w:t>等</w:t>
      </w:r>
      <w:r>
        <w:rPr>
          <w:rFonts w:hint="default" w:ascii="Times New Roman" w:hAnsi="Times New Roman" w:cs="Times New Roman"/>
          <w:color w:val="auto"/>
          <w:kern w:val="0"/>
          <w:sz w:val="24"/>
          <w:highlight w:val="none"/>
          <w:lang w:val="en-US" w:eastAsia="zh-CN"/>
        </w:rPr>
        <w:t>5</w:t>
      </w:r>
      <w:r>
        <w:rPr>
          <w:rFonts w:hint="default" w:ascii="Times New Roman" w:hAnsi="Times New Roman" w:eastAsia="宋体" w:cs="Times New Roman"/>
          <w:color w:val="auto"/>
          <w:kern w:val="0"/>
          <w:sz w:val="24"/>
          <w:highlight w:val="none"/>
        </w:rPr>
        <w:t>个离散点。本次</w:t>
      </w:r>
      <w:r>
        <w:rPr>
          <w:rFonts w:hint="default" w:ascii="Times New Roman" w:hAnsi="Times New Roman" w:cs="Times New Roman"/>
          <w:color w:val="auto"/>
          <w:kern w:val="0"/>
          <w:sz w:val="24"/>
          <w:highlight w:val="none"/>
          <w:lang w:eastAsia="zh-CN"/>
        </w:rPr>
        <w:t>预测</w:t>
      </w:r>
      <w:r>
        <w:rPr>
          <w:rFonts w:hint="default" w:ascii="Times New Roman" w:hAnsi="Times New Roman" w:eastAsia="宋体" w:cs="Times New Roman"/>
          <w:color w:val="auto"/>
          <w:kern w:val="0"/>
          <w:sz w:val="24"/>
          <w:highlight w:val="none"/>
        </w:rPr>
        <w:t>范围与计算点选取情况详见下表：</w:t>
      </w:r>
    </w:p>
    <w:p w14:paraId="2637F6B6">
      <w:pPr>
        <w:pStyle w:val="80"/>
        <w:ind w:left="0" w:leftChars="0" w:firstLine="0" w:firstLineChars="0"/>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w:t>
      </w:r>
      <w:r>
        <w:rPr>
          <w:rFonts w:hint="default" w:ascii="Times New Roman" w:hAnsi="Times New Roman" w:eastAsia="宋体" w:cs="Times New Roman"/>
          <w:b/>
          <w:bCs/>
          <w:color w:val="auto"/>
          <w:sz w:val="24"/>
          <w:lang w:eastAsia="zh-CN"/>
        </w:rPr>
        <w:t>6.3-</w:t>
      </w:r>
      <w:r>
        <w:rPr>
          <w:rFonts w:hint="default" w:ascii="Times New Roman" w:hAnsi="Times New Roman" w:eastAsia="宋体" w:cs="Times New Roman"/>
          <w:b/>
          <w:bCs/>
          <w:color w:val="auto"/>
          <w:sz w:val="24"/>
        </w:rPr>
        <w:t>2  预测范围与计算点选取情况表</w:t>
      </w:r>
    </w:p>
    <w:tbl>
      <w:tblPr>
        <w:tblStyle w:val="82"/>
        <w:tblW w:w="5000" w:type="pct"/>
        <w:tblInd w:w="-14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454"/>
        <w:gridCol w:w="2485"/>
        <w:gridCol w:w="1476"/>
        <w:gridCol w:w="2872"/>
      </w:tblGrid>
      <w:tr w14:paraId="35CDC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454" w:type="dxa"/>
            <w:shd w:val="clear" w:color="auto" w:fill="auto"/>
            <w:vAlign w:val="center"/>
          </w:tcPr>
          <w:p w14:paraId="0CFFCCD0">
            <w:pPr>
              <w:pStyle w:val="80"/>
              <w:spacing w:after="0"/>
              <w:ind w:left="0" w:leftChars="0" w:firstLine="0" w:firstLineChars="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项目</w:t>
            </w:r>
          </w:p>
        </w:tc>
        <w:tc>
          <w:tcPr>
            <w:tcW w:w="2485" w:type="dxa"/>
            <w:shd w:val="clear" w:color="auto" w:fill="auto"/>
            <w:vAlign w:val="center"/>
          </w:tcPr>
          <w:p w14:paraId="38E73FFF">
            <w:pPr>
              <w:pStyle w:val="80"/>
              <w:spacing w:after="0"/>
              <w:ind w:left="0" w:leftChars="0" w:firstLine="0" w:firstLineChars="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轴线最远距离</w:t>
            </w:r>
          </w:p>
        </w:tc>
        <w:tc>
          <w:tcPr>
            <w:tcW w:w="1476" w:type="dxa"/>
            <w:shd w:val="clear" w:color="auto" w:fill="auto"/>
            <w:vAlign w:val="center"/>
          </w:tcPr>
          <w:p w14:paraId="16FBC200">
            <w:pPr>
              <w:pStyle w:val="80"/>
              <w:spacing w:after="0"/>
              <w:ind w:left="-105" w:leftChars="-50" w:right="-109" w:rightChars="-52" w:firstLine="0" w:firstLineChars="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轴线计算距离</w:t>
            </w:r>
          </w:p>
        </w:tc>
        <w:tc>
          <w:tcPr>
            <w:tcW w:w="2872" w:type="dxa"/>
            <w:shd w:val="clear" w:color="auto" w:fill="auto"/>
            <w:vAlign w:val="center"/>
          </w:tcPr>
          <w:p w14:paraId="1F239373">
            <w:pPr>
              <w:pStyle w:val="80"/>
              <w:spacing w:after="0"/>
              <w:ind w:left="0" w:leftChars="0" w:firstLine="0" w:firstLineChars="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离散点</w:t>
            </w:r>
          </w:p>
        </w:tc>
      </w:tr>
      <w:tr w14:paraId="639E0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454" w:type="dxa"/>
            <w:shd w:val="clear" w:color="auto" w:fill="auto"/>
            <w:vAlign w:val="center"/>
          </w:tcPr>
          <w:p w14:paraId="50726038">
            <w:pPr>
              <w:pStyle w:val="80"/>
              <w:spacing w:after="0"/>
              <w:ind w:left="-111" w:leftChars="-53" w:right="-107" w:rightChars="-51" w:firstLine="0" w:firstLine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氨气</w:t>
            </w:r>
          </w:p>
        </w:tc>
        <w:tc>
          <w:tcPr>
            <w:tcW w:w="2485" w:type="dxa"/>
            <w:shd w:val="clear" w:color="auto" w:fill="auto"/>
            <w:vAlign w:val="center"/>
          </w:tcPr>
          <w:p w14:paraId="3FD6A54C">
            <w:pPr>
              <w:pStyle w:val="80"/>
              <w:spacing w:after="0"/>
              <w:ind w:left="0" w:leftChars="0" w:firstLine="0" w:firstLine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rPr>
              <w:t>事故源至下风向</w:t>
            </w:r>
            <w:r>
              <w:rPr>
                <w:rFonts w:hint="default" w:ascii="Times New Roman" w:hAnsi="Times New Roman" w:eastAsia="宋体" w:cs="Times New Roman"/>
                <w:color w:val="auto"/>
                <w:lang w:val="en-US" w:eastAsia="zh-CN"/>
              </w:rPr>
              <w:t>5</w:t>
            </w:r>
            <w:r>
              <w:rPr>
                <w:rFonts w:hint="default" w:ascii="Times New Roman" w:hAnsi="Times New Roman" w:eastAsia="宋体" w:cs="Times New Roman"/>
                <w:color w:val="auto"/>
              </w:rPr>
              <w:t>000m</w:t>
            </w:r>
          </w:p>
        </w:tc>
        <w:tc>
          <w:tcPr>
            <w:tcW w:w="1476" w:type="dxa"/>
            <w:shd w:val="clear" w:color="auto" w:fill="auto"/>
            <w:vAlign w:val="center"/>
          </w:tcPr>
          <w:p w14:paraId="630BF8CE">
            <w:pPr>
              <w:pStyle w:val="80"/>
              <w:spacing w:after="0"/>
              <w:ind w:left="0" w:leftChars="0" w:firstLine="0" w:firstLine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rPr>
              <w:t>50m</w:t>
            </w:r>
          </w:p>
        </w:tc>
        <w:tc>
          <w:tcPr>
            <w:tcW w:w="2872" w:type="dxa"/>
            <w:shd w:val="clear" w:color="auto" w:fill="auto"/>
            <w:vAlign w:val="center"/>
          </w:tcPr>
          <w:p w14:paraId="10B67533">
            <w:pPr>
              <w:spacing w:after="0"/>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杨兰村、凤凰村、南铺村、瓦村、小旦村</w:t>
            </w:r>
          </w:p>
        </w:tc>
      </w:tr>
    </w:tbl>
    <w:p w14:paraId="2BA85314">
      <w:pPr>
        <w:keepNext/>
        <w:keepLines/>
        <w:widowControl/>
        <w:spacing w:before="120" w:after="120" w:line="360" w:lineRule="auto"/>
        <w:jc w:val="left"/>
        <w:outlineLvl w:val="3"/>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lang w:eastAsia="zh-CN"/>
        </w:rPr>
        <w:t>6.3.</w:t>
      </w:r>
      <w:r>
        <w:rPr>
          <w:rFonts w:hint="default" w:ascii="Times New Roman" w:hAnsi="Times New Roman" w:eastAsia="宋体" w:cs="Times New Roman"/>
          <w:b/>
          <w:bCs/>
          <w:color w:val="auto"/>
          <w:kern w:val="0"/>
          <w:sz w:val="24"/>
          <w:lang w:val="en-US" w:eastAsia="zh-CN"/>
        </w:rPr>
        <w:t>1</w:t>
      </w:r>
      <w:r>
        <w:rPr>
          <w:rFonts w:hint="default" w:ascii="Times New Roman" w:hAnsi="Times New Roman" w:eastAsia="宋体" w:cs="Times New Roman"/>
          <w:b/>
          <w:bCs/>
          <w:color w:val="auto"/>
          <w:kern w:val="0"/>
          <w:sz w:val="24"/>
          <w:lang w:eastAsia="zh-CN"/>
        </w:rPr>
        <w:t>.</w:t>
      </w:r>
      <w:r>
        <w:rPr>
          <w:rFonts w:hint="default" w:ascii="Times New Roman" w:hAnsi="Times New Roman" w:eastAsia="宋体" w:cs="Times New Roman"/>
          <w:b/>
          <w:bCs/>
          <w:color w:val="auto"/>
          <w:kern w:val="0"/>
          <w:sz w:val="24"/>
        </w:rPr>
        <w:t>3 气象参数选取</w:t>
      </w:r>
    </w:p>
    <w:p w14:paraId="6ACB0CE9">
      <w:pPr>
        <w:spacing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本次大气环境风险评价等级为</w:t>
      </w:r>
      <w:r>
        <w:rPr>
          <w:rFonts w:hint="default" w:ascii="Times New Roman" w:hAnsi="Times New Roman" w:cs="Times New Roman"/>
          <w:color w:val="auto"/>
          <w:kern w:val="0"/>
          <w:sz w:val="24"/>
          <w:lang w:val="en-US" w:eastAsia="zh-CN"/>
        </w:rPr>
        <w:t>二</w:t>
      </w:r>
      <w:r>
        <w:rPr>
          <w:rFonts w:hint="default" w:ascii="Times New Roman" w:hAnsi="Times New Roman" w:eastAsia="宋体" w:cs="Times New Roman"/>
          <w:color w:val="auto"/>
          <w:kern w:val="0"/>
          <w:sz w:val="24"/>
        </w:rPr>
        <w:t>级评价，选取最不利气象条件进行预测。</w:t>
      </w:r>
    </w:p>
    <w:p w14:paraId="77625AC8">
      <w:pPr>
        <w:pStyle w:val="80"/>
        <w:ind w:left="0" w:leftChars="0" w:firstLine="0" w:firstLineChars="0"/>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w:t>
      </w:r>
      <w:r>
        <w:rPr>
          <w:rFonts w:hint="default" w:ascii="Times New Roman" w:hAnsi="Times New Roman" w:eastAsia="宋体" w:cs="Times New Roman"/>
          <w:b/>
          <w:bCs/>
          <w:color w:val="auto"/>
          <w:sz w:val="24"/>
          <w:lang w:eastAsia="zh-CN"/>
        </w:rPr>
        <w:t>6.3-</w:t>
      </w:r>
      <w:r>
        <w:rPr>
          <w:rFonts w:hint="default" w:ascii="Times New Roman" w:hAnsi="Times New Roman" w:eastAsia="宋体" w:cs="Times New Roman"/>
          <w:b/>
          <w:bCs/>
          <w:color w:val="auto"/>
          <w:sz w:val="24"/>
        </w:rPr>
        <w:t>3 大气风险预测模型主要参数表</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729"/>
        <w:gridCol w:w="3024"/>
        <w:gridCol w:w="4534"/>
      </w:tblGrid>
      <w:tr w14:paraId="216D6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729" w:type="dxa"/>
            <w:shd w:val="clear" w:color="auto" w:fill="auto"/>
            <w:vAlign w:val="center"/>
          </w:tcPr>
          <w:p w14:paraId="70DCAE7D">
            <w:pPr>
              <w:pStyle w:val="369"/>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参数类型</w:t>
            </w:r>
          </w:p>
        </w:tc>
        <w:tc>
          <w:tcPr>
            <w:tcW w:w="3024" w:type="dxa"/>
            <w:shd w:val="clear" w:color="auto" w:fill="auto"/>
            <w:vAlign w:val="center"/>
          </w:tcPr>
          <w:p w14:paraId="466FFA05">
            <w:pPr>
              <w:pStyle w:val="369"/>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选项</w:t>
            </w:r>
          </w:p>
        </w:tc>
        <w:tc>
          <w:tcPr>
            <w:tcW w:w="4534" w:type="dxa"/>
            <w:shd w:val="clear" w:color="auto" w:fill="auto"/>
            <w:vAlign w:val="center"/>
          </w:tcPr>
          <w:p w14:paraId="33A7DCF1">
            <w:pPr>
              <w:pStyle w:val="369"/>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参数</w:t>
            </w:r>
          </w:p>
        </w:tc>
      </w:tr>
      <w:tr w14:paraId="61D3E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25" w:hRule="atLeast"/>
          <w:jc w:val="center"/>
        </w:trPr>
        <w:tc>
          <w:tcPr>
            <w:tcW w:w="1729" w:type="dxa"/>
            <w:vMerge w:val="restart"/>
            <w:shd w:val="clear" w:color="auto" w:fill="auto"/>
            <w:vAlign w:val="center"/>
          </w:tcPr>
          <w:p w14:paraId="4628546F">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基本情况</w:t>
            </w:r>
          </w:p>
        </w:tc>
        <w:tc>
          <w:tcPr>
            <w:tcW w:w="3024" w:type="dxa"/>
            <w:shd w:val="clear" w:color="auto" w:fill="auto"/>
            <w:vAlign w:val="center"/>
          </w:tcPr>
          <w:p w14:paraId="6C2E6D0F">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事故源经度/（°）</w:t>
            </w:r>
          </w:p>
        </w:tc>
        <w:tc>
          <w:tcPr>
            <w:tcW w:w="4534" w:type="dxa"/>
            <w:shd w:val="clear" w:color="auto" w:fill="auto"/>
            <w:vAlign w:val="center"/>
          </w:tcPr>
          <w:p w14:paraId="091611B1">
            <w:pPr>
              <w:pStyle w:val="369"/>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117.999108</w:t>
            </w:r>
          </w:p>
        </w:tc>
      </w:tr>
      <w:tr w14:paraId="4A0B3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729" w:type="dxa"/>
            <w:vMerge w:val="continue"/>
            <w:shd w:val="clear" w:color="auto" w:fill="auto"/>
            <w:vAlign w:val="center"/>
          </w:tcPr>
          <w:p w14:paraId="565A82C4">
            <w:pPr>
              <w:pStyle w:val="369"/>
              <w:jc w:val="center"/>
              <w:rPr>
                <w:rFonts w:hint="default" w:ascii="Times New Roman" w:hAnsi="Times New Roman" w:eastAsia="宋体" w:cs="Times New Roman"/>
                <w:color w:val="auto"/>
              </w:rPr>
            </w:pPr>
          </w:p>
        </w:tc>
        <w:tc>
          <w:tcPr>
            <w:tcW w:w="3024" w:type="dxa"/>
            <w:shd w:val="clear" w:color="auto" w:fill="auto"/>
            <w:vAlign w:val="center"/>
          </w:tcPr>
          <w:p w14:paraId="00AABCC6">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事故源纬度/（°）</w:t>
            </w:r>
          </w:p>
        </w:tc>
        <w:tc>
          <w:tcPr>
            <w:tcW w:w="4534" w:type="dxa"/>
            <w:shd w:val="clear" w:color="auto" w:fill="auto"/>
            <w:vAlign w:val="center"/>
          </w:tcPr>
          <w:p w14:paraId="4B78D19D">
            <w:pPr>
              <w:pStyle w:val="369"/>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36.706519</w:t>
            </w:r>
          </w:p>
        </w:tc>
      </w:tr>
      <w:tr w14:paraId="67EE7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729" w:type="dxa"/>
            <w:vMerge w:val="continue"/>
            <w:shd w:val="clear" w:color="auto" w:fill="auto"/>
            <w:vAlign w:val="center"/>
          </w:tcPr>
          <w:p w14:paraId="11F00023">
            <w:pPr>
              <w:pStyle w:val="369"/>
              <w:jc w:val="center"/>
              <w:rPr>
                <w:rFonts w:hint="default" w:ascii="Times New Roman" w:hAnsi="Times New Roman" w:eastAsia="宋体" w:cs="Times New Roman"/>
                <w:color w:val="auto"/>
              </w:rPr>
            </w:pPr>
          </w:p>
        </w:tc>
        <w:tc>
          <w:tcPr>
            <w:tcW w:w="3024" w:type="dxa"/>
            <w:shd w:val="clear" w:color="auto" w:fill="auto"/>
            <w:vAlign w:val="center"/>
          </w:tcPr>
          <w:p w14:paraId="60BEB4DD">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事故源类型</w:t>
            </w:r>
          </w:p>
        </w:tc>
        <w:tc>
          <w:tcPr>
            <w:tcW w:w="4534" w:type="dxa"/>
            <w:shd w:val="clear" w:color="auto" w:fill="auto"/>
            <w:vAlign w:val="center"/>
          </w:tcPr>
          <w:p w14:paraId="66B22DCD">
            <w:pPr>
              <w:pStyle w:val="369"/>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硫酸铵</w:t>
            </w:r>
            <w:r>
              <w:rPr>
                <w:rFonts w:hint="default" w:ascii="Times New Roman" w:hAnsi="Times New Roman" w:eastAsia="宋体" w:cs="Times New Roman"/>
                <w:color w:val="auto"/>
                <w:highlight w:val="none"/>
                <w:lang w:val="en-US" w:eastAsia="zh-CN"/>
              </w:rPr>
              <w:t>泄漏事故</w:t>
            </w:r>
          </w:p>
        </w:tc>
      </w:tr>
      <w:tr w14:paraId="49303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1729" w:type="dxa"/>
            <w:vMerge w:val="restart"/>
            <w:shd w:val="clear" w:color="auto" w:fill="auto"/>
            <w:vAlign w:val="center"/>
          </w:tcPr>
          <w:p w14:paraId="5215E9D7">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气象参数</w:t>
            </w:r>
          </w:p>
        </w:tc>
        <w:tc>
          <w:tcPr>
            <w:tcW w:w="3024" w:type="dxa"/>
            <w:shd w:val="clear" w:color="auto" w:fill="auto"/>
            <w:vAlign w:val="center"/>
          </w:tcPr>
          <w:p w14:paraId="7645DA4C">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气象条件类型</w:t>
            </w:r>
          </w:p>
        </w:tc>
        <w:tc>
          <w:tcPr>
            <w:tcW w:w="4534" w:type="dxa"/>
            <w:shd w:val="clear" w:color="auto" w:fill="auto"/>
            <w:vAlign w:val="center"/>
          </w:tcPr>
          <w:p w14:paraId="0C96EF75">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最不利气象</w:t>
            </w:r>
          </w:p>
        </w:tc>
      </w:tr>
      <w:tr w14:paraId="4EDA6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729" w:type="dxa"/>
            <w:vMerge w:val="continue"/>
            <w:shd w:val="clear" w:color="auto" w:fill="auto"/>
            <w:vAlign w:val="center"/>
          </w:tcPr>
          <w:p w14:paraId="403FC78E">
            <w:pPr>
              <w:pStyle w:val="369"/>
              <w:jc w:val="center"/>
              <w:rPr>
                <w:rFonts w:hint="default" w:ascii="Times New Roman" w:hAnsi="Times New Roman" w:eastAsia="宋体" w:cs="Times New Roman"/>
                <w:color w:val="auto"/>
              </w:rPr>
            </w:pPr>
          </w:p>
        </w:tc>
        <w:tc>
          <w:tcPr>
            <w:tcW w:w="3024" w:type="dxa"/>
            <w:shd w:val="clear" w:color="auto" w:fill="auto"/>
            <w:vAlign w:val="center"/>
          </w:tcPr>
          <w:p w14:paraId="0BDF1D73">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风速（m/s）</w:t>
            </w:r>
          </w:p>
        </w:tc>
        <w:tc>
          <w:tcPr>
            <w:tcW w:w="4534" w:type="dxa"/>
            <w:shd w:val="clear" w:color="auto" w:fill="auto"/>
            <w:vAlign w:val="center"/>
          </w:tcPr>
          <w:p w14:paraId="3F4E3730">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w:t>
            </w:r>
          </w:p>
        </w:tc>
      </w:tr>
      <w:tr w14:paraId="424C1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729" w:type="dxa"/>
            <w:vMerge w:val="continue"/>
            <w:shd w:val="clear" w:color="auto" w:fill="auto"/>
            <w:vAlign w:val="center"/>
          </w:tcPr>
          <w:p w14:paraId="4D696155">
            <w:pPr>
              <w:pStyle w:val="369"/>
              <w:jc w:val="center"/>
              <w:rPr>
                <w:rFonts w:hint="default" w:ascii="Times New Roman" w:hAnsi="Times New Roman" w:eastAsia="宋体" w:cs="Times New Roman"/>
                <w:color w:val="auto"/>
              </w:rPr>
            </w:pPr>
          </w:p>
        </w:tc>
        <w:tc>
          <w:tcPr>
            <w:tcW w:w="3024" w:type="dxa"/>
            <w:shd w:val="clear" w:color="auto" w:fill="auto"/>
            <w:vAlign w:val="center"/>
          </w:tcPr>
          <w:p w14:paraId="42B55796">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环境温度/℃</w:t>
            </w:r>
          </w:p>
        </w:tc>
        <w:tc>
          <w:tcPr>
            <w:tcW w:w="4534" w:type="dxa"/>
            <w:shd w:val="clear" w:color="auto" w:fill="auto"/>
            <w:vAlign w:val="center"/>
          </w:tcPr>
          <w:p w14:paraId="689FE96D">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25</w:t>
            </w:r>
          </w:p>
        </w:tc>
      </w:tr>
      <w:tr w14:paraId="753F9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9" w:type="dxa"/>
            <w:vMerge w:val="continue"/>
            <w:shd w:val="clear" w:color="auto" w:fill="auto"/>
            <w:vAlign w:val="center"/>
          </w:tcPr>
          <w:p w14:paraId="019A0614">
            <w:pPr>
              <w:pStyle w:val="369"/>
              <w:jc w:val="center"/>
              <w:rPr>
                <w:rFonts w:hint="default" w:ascii="Times New Roman" w:hAnsi="Times New Roman" w:eastAsia="宋体" w:cs="Times New Roman"/>
                <w:color w:val="auto"/>
              </w:rPr>
            </w:pPr>
          </w:p>
        </w:tc>
        <w:tc>
          <w:tcPr>
            <w:tcW w:w="3024" w:type="dxa"/>
            <w:shd w:val="clear" w:color="auto" w:fill="auto"/>
            <w:vAlign w:val="center"/>
          </w:tcPr>
          <w:p w14:paraId="700EE0B5">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相对湿度/%</w:t>
            </w:r>
          </w:p>
        </w:tc>
        <w:tc>
          <w:tcPr>
            <w:tcW w:w="4534" w:type="dxa"/>
            <w:shd w:val="clear" w:color="auto" w:fill="auto"/>
            <w:vAlign w:val="center"/>
          </w:tcPr>
          <w:p w14:paraId="55B60E55">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50</w:t>
            </w:r>
          </w:p>
        </w:tc>
      </w:tr>
      <w:tr w14:paraId="02B28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729" w:type="dxa"/>
            <w:vMerge w:val="continue"/>
            <w:shd w:val="clear" w:color="auto" w:fill="auto"/>
            <w:vAlign w:val="center"/>
          </w:tcPr>
          <w:p w14:paraId="6E63590D">
            <w:pPr>
              <w:pStyle w:val="369"/>
              <w:jc w:val="center"/>
              <w:rPr>
                <w:rFonts w:hint="default" w:ascii="Times New Roman" w:hAnsi="Times New Roman" w:eastAsia="宋体" w:cs="Times New Roman"/>
                <w:color w:val="auto"/>
              </w:rPr>
            </w:pPr>
          </w:p>
        </w:tc>
        <w:tc>
          <w:tcPr>
            <w:tcW w:w="3024" w:type="dxa"/>
            <w:shd w:val="clear" w:color="auto" w:fill="auto"/>
            <w:vAlign w:val="center"/>
          </w:tcPr>
          <w:p w14:paraId="311F9B94">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稳定度</w:t>
            </w:r>
          </w:p>
        </w:tc>
        <w:tc>
          <w:tcPr>
            <w:tcW w:w="4534" w:type="dxa"/>
            <w:shd w:val="clear" w:color="auto" w:fill="auto"/>
            <w:vAlign w:val="center"/>
          </w:tcPr>
          <w:p w14:paraId="75B9A276">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F</w:t>
            </w:r>
          </w:p>
        </w:tc>
      </w:tr>
      <w:tr w14:paraId="19167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1729" w:type="dxa"/>
            <w:vMerge w:val="restart"/>
            <w:shd w:val="clear" w:color="auto" w:fill="auto"/>
            <w:vAlign w:val="center"/>
          </w:tcPr>
          <w:p w14:paraId="27724F9A">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其他参数</w:t>
            </w:r>
          </w:p>
        </w:tc>
        <w:tc>
          <w:tcPr>
            <w:tcW w:w="3024" w:type="dxa"/>
            <w:shd w:val="clear" w:color="auto" w:fill="auto"/>
            <w:vAlign w:val="center"/>
          </w:tcPr>
          <w:p w14:paraId="78AAD7B3">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地表粗糙度/m</w:t>
            </w:r>
          </w:p>
        </w:tc>
        <w:tc>
          <w:tcPr>
            <w:tcW w:w="4534" w:type="dxa"/>
            <w:shd w:val="clear" w:color="auto" w:fill="auto"/>
            <w:vAlign w:val="center"/>
          </w:tcPr>
          <w:p w14:paraId="66711ACF">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0.03</w:t>
            </w:r>
          </w:p>
        </w:tc>
      </w:tr>
      <w:tr w14:paraId="0B2F8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9" w:type="dxa"/>
            <w:vMerge w:val="continue"/>
            <w:shd w:val="clear" w:color="auto" w:fill="auto"/>
            <w:vAlign w:val="center"/>
          </w:tcPr>
          <w:p w14:paraId="395B1584">
            <w:pPr>
              <w:pStyle w:val="369"/>
              <w:jc w:val="center"/>
              <w:rPr>
                <w:rFonts w:hint="default" w:ascii="Times New Roman" w:hAnsi="Times New Roman" w:eastAsia="宋体" w:cs="Times New Roman"/>
                <w:color w:val="auto"/>
              </w:rPr>
            </w:pPr>
          </w:p>
        </w:tc>
        <w:tc>
          <w:tcPr>
            <w:tcW w:w="3024" w:type="dxa"/>
            <w:shd w:val="clear" w:color="auto" w:fill="auto"/>
            <w:vAlign w:val="center"/>
          </w:tcPr>
          <w:p w14:paraId="5FA525B1">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是否考虑地形</w:t>
            </w:r>
          </w:p>
        </w:tc>
        <w:tc>
          <w:tcPr>
            <w:tcW w:w="4534" w:type="dxa"/>
            <w:shd w:val="clear" w:color="auto" w:fill="auto"/>
            <w:vAlign w:val="center"/>
          </w:tcPr>
          <w:p w14:paraId="4F0BF543">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是</w:t>
            </w:r>
          </w:p>
        </w:tc>
      </w:tr>
      <w:tr w14:paraId="22EF8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9" w:type="dxa"/>
            <w:vMerge w:val="continue"/>
            <w:shd w:val="clear" w:color="auto" w:fill="auto"/>
            <w:vAlign w:val="center"/>
          </w:tcPr>
          <w:p w14:paraId="6CF8F283">
            <w:pPr>
              <w:pStyle w:val="369"/>
              <w:jc w:val="center"/>
              <w:rPr>
                <w:rFonts w:hint="default" w:ascii="Times New Roman" w:hAnsi="Times New Roman" w:eastAsia="宋体" w:cs="Times New Roman"/>
                <w:color w:val="auto"/>
              </w:rPr>
            </w:pPr>
          </w:p>
        </w:tc>
        <w:tc>
          <w:tcPr>
            <w:tcW w:w="3024" w:type="dxa"/>
            <w:shd w:val="clear" w:color="auto" w:fill="auto"/>
            <w:vAlign w:val="center"/>
          </w:tcPr>
          <w:p w14:paraId="56A29E54">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地形数据精度/m</w:t>
            </w:r>
          </w:p>
        </w:tc>
        <w:tc>
          <w:tcPr>
            <w:tcW w:w="4534" w:type="dxa"/>
            <w:shd w:val="clear" w:color="auto" w:fill="auto"/>
            <w:vAlign w:val="center"/>
          </w:tcPr>
          <w:p w14:paraId="61C62ADD">
            <w:pPr>
              <w:pStyle w:val="369"/>
              <w:jc w:val="center"/>
              <w:rPr>
                <w:rFonts w:hint="default" w:ascii="Times New Roman" w:hAnsi="Times New Roman" w:eastAsia="宋体" w:cs="Times New Roman"/>
                <w:color w:val="auto"/>
              </w:rPr>
            </w:pPr>
            <w:r>
              <w:rPr>
                <w:rFonts w:hint="default" w:ascii="Times New Roman" w:hAnsi="Times New Roman" w:eastAsia="宋体" w:cs="Times New Roman"/>
                <w:color w:val="auto"/>
              </w:rPr>
              <w:t>90m</w:t>
            </w:r>
          </w:p>
        </w:tc>
      </w:tr>
    </w:tbl>
    <w:p w14:paraId="0053270C">
      <w:pPr>
        <w:keepNext/>
        <w:keepLines/>
        <w:widowControl/>
        <w:spacing w:before="120" w:after="120" w:line="360" w:lineRule="auto"/>
        <w:jc w:val="left"/>
        <w:outlineLvl w:val="3"/>
        <w:rPr>
          <w:rFonts w:hint="default" w:ascii="Times New Roman" w:hAnsi="Times New Roman" w:eastAsia="宋体" w:cs="Times New Roman"/>
          <w:b/>
          <w:bCs/>
          <w:color w:val="auto"/>
          <w:kern w:val="0"/>
          <w:sz w:val="24"/>
          <w:highlight w:val="none"/>
        </w:rPr>
      </w:pPr>
      <w:r>
        <w:rPr>
          <w:rFonts w:hint="default" w:ascii="Times New Roman" w:hAnsi="Times New Roman" w:eastAsia="宋体" w:cs="Times New Roman"/>
          <w:b/>
          <w:bCs/>
          <w:color w:val="auto"/>
          <w:kern w:val="0"/>
          <w:sz w:val="24"/>
          <w:highlight w:val="none"/>
          <w:lang w:eastAsia="zh-CN"/>
        </w:rPr>
        <w:t>6.3.</w:t>
      </w:r>
      <w:r>
        <w:rPr>
          <w:rFonts w:hint="default" w:ascii="Times New Roman" w:hAnsi="Times New Roman" w:eastAsia="宋体" w:cs="Times New Roman"/>
          <w:b/>
          <w:bCs/>
          <w:color w:val="auto"/>
          <w:kern w:val="0"/>
          <w:sz w:val="24"/>
          <w:highlight w:val="none"/>
          <w:lang w:val="en-US" w:eastAsia="zh-CN"/>
        </w:rPr>
        <w:t>1</w:t>
      </w:r>
      <w:r>
        <w:rPr>
          <w:rFonts w:hint="default" w:ascii="Times New Roman" w:hAnsi="Times New Roman" w:eastAsia="宋体" w:cs="Times New Roman"/>
          <w:b/>
          <w:bCs/>
          <w:color w:val="auto"/>
          <w:kern w:val="0"/>
          <w:sz w:val="24"/>
          <w:highlight w:val="none"/>
          <w:lang w:eastAsia="zh-CN"/>
        </w:rPr>
        <w:t>.</w:t>
      </w:r>
      <w:r>
        <w:rPr>
          <w:rFonts w:hint="default" w:ascii="Times New Roman" w:hAnsi="Times New Roman" w:eastAsia="宋体" w:cs="Times New Roman"/>
          <w:b/>
          <w:bCs/>
          <w:color w:val="auto"/>
          <w:kern w:val="0"/>
          <w:sz w:val="24"/>
          <w:highlight w:val="none"/>
        </w:rPr>
        <w:t>4大气毒性终点浓度的选取</w:t>
      </w:r>
    </w:p>
    <w:p w14:paraId="3F9EAF24">
      <w:pPr>
        <w:spacing w:line="360" w:lineRule="auto"/>
        <w:ind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根据《建设项目环境风险评价技术导则》（HJ169－2018）附录H确定各有毒有害物质大气毒性</w:t>
      </w:r>
      <w:r>
        <w:rPr>
          <w:rFonts w:hint="default" w:ascii="Times New Roman" w:hAnsi="Times New Roman" w:cs="Times New Roman"/>
          <w:color w:val="auto"/>
          <w:kern w:val="0"/>
          <w:sz w:val="24"/>
          <w:highlight w:val="none"/>
          <w:lang w:eastAsia="zh-CN"/>
        </w:rPr>
        <w:t>终点浓度</w:t>
      </w:r>
      <w:r>
        <w:rPr>
          <w:rFonts w:hint="default" w:ascii="Times New Roman" w:hAnsi="Times New Roman" w:eastAsia="宋体" w:cs="Times New Roman"/>
          <w:color w:val="auto"/>
          <w:kern w:val="0"/>
          <w:sz w:val="24"/>
          <w:highlight w:val="none"/>
        </w:rPr>
        <w:t>值。</w:t>
      </w:r>
    </w:p>
    <w:p w14:paraId="17EA6770">
      <w:pPr>
        <w:pStyle w:val="80"/>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eastAsia="zh-CN"/>
        </w:rPr>
        <w:t>6.3-</w:t>
      </w:r>
      <w:r>
        <w:rPr>
          <w:rFonts w:hint="default" w:ascii="Times New Roman" w:hAnsi="Times New Roman" w:eastAsia="宋体" w:cs="Times New Roman"/>
          <w:b/>
          <w:bCs/>
          <w:color w:val="auto"/>
          <w:sz w:val="24"/>
          <w:highlight w:val="none"/>
        </w:rPr>
        <w:t>4  有毒有害物质大气毒性</w:t>
      </w:r>
      <w:r>
        <w:rPr>
          <w:rFonts w:hint="default" w:ascii="Times New Roman" w:hAnsi="Times New Roman" w:cs="Times New Roman"/>
          <w:b/>
          <w:bCs/>
          <w:color w:val="auto"/>
          <w:sz w:val="24"/>
          <w:highlight w:val="none"/>
          <w:lang w:eastAsia="zh-CN"/>
        </w:rPr>
        <w:t>终点浓度</w:t>
      </w:r>
      <w:r>
        <w:rPr>
          <w:rFonts w:hint="default" w:ascii="Times New Roman" w:hAnsi="Times New Roman" w:eastAsia="宋体" w:cs="Times New Roman"/>
          <w:b/>
          <w:bCs/>
          <w:color w:val="auto"/>
          <w:sz w:val="24"/>
          <w:highlight w:val="none"/>
        </w:rPr>
        <w:t>值表</w:t>
      </w:r>
    </w:p>
    <w:tbl>
      <w:tblPr>
        <w:tblStyle w:val="8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2760"/>
        <w:gridCol w:w="3264"/>
        <w:gridCol w:w="3264"/>
      </w:tblGrid>
      <w:tr w14:paraId="04D76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345" w:hRule="atLeast"/>
        </w:trPr>
        <w:tc>
          <w:tcPr>
            <w:tcW w:w="2760" w:type="dxa"/>
            <w:shd w:val="clear" w:color="auto" w:fill="auto"/>
            <w:vAlign w:val="center"/>
          </w:tcPr>
          <w:p w14:paraId="063617B7">
            <w:pPr>
              <w:widowControl/>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名称</w:t>
            </w:r>
          </w:p>
        </w:tc>
        <w:tc>
          <w:tcPr>
            <w:tcW w:w="3264" w:type="dxa"/>
            <w:shd w:val="clear" w:color="auto" w:fill="auto"/>
            <w:noWrap/>
            <w:vAlign w:val="center"/>
          </w:tcPr>
          <w:p w14:paraId="6E33E877">
            <w:pPr>
              <w:widowControl/>
              <w:jc w:val="center"/>
              <w:rPr>
                <w:rFonts w:hint="default" w:ascii="Times New Roman" w:hAnsi="Times New Roman" w:eastAsia="宋体" w:cs="Times New Roman"/>
                <w:b/>
                <w:bCs/>
                <w:color w:val="auto"/>
                <w:kern w:val="0"/>
                <w:szCs w:val="22"/>
                <w:highlight w:val="none"/>
              </w:rPr>
            </w:pPr>
            <w:r>
              <w:rPr>
                <w:rFonts w:hint="default" w:ascii="Times New Roman" w:hAnsi="Times New Roman" w:eastAsia="宋体" w:cs="Times New Roman"/>
                <w:b/>
                <w:bCs/>
                <w:color w:val="auto"/>
                <w:kern w:val="0"/>
                <w:szCs w:val="22"/>
                <w:highlight w:val="none"/>
              </w:rPr>
              <w:t>毒性终点浓度-1（mg/m</w:t>
            </w:r>
            <w:r>
              <w:rPr>
                <w:rFonts w:hint="default" w:ascii="Times New Roman" w:hAnsi="Times New Roman" w:eastAsia="宋体" w:cs="Times New Roman"/>
                <w:b/>
                <w:bCs/>
                <w:color w:val="auto"/>
                <w:kern w:val="0"/>
                <w:szCs w:val="22"/>
                <w:highlight w:val="none"/>
                <w:vertAlign w:val="superscript"/>
              </w:rPr>
              <w:t>3</w:t>
            </w:r>
            <w:r>
              <w:rPr>
                <w:rFonts w:hint="default" w:ascii="Times New Roman" w:hAnsi="Times New Roman" w:eastAsia="宋体" w:cs="Times New Roman"/>
                <w:b/>
                <w:bCs/>
                <w:color w:val="auto"/>
                <w:kern w:val="0"/>
                <w:szCs w:val="22"/>
                <w:highlight w:val="none"/>
              </w:rPr>
              <w:t>）</w:t>
            </w:r>
          </w:p>
        </w:tc>
        <w:tc>
          <w:tcPr>
            <w:tcW w:w="3264" w:type="dxa"/>
            <w:shd w:val="clear" w:color="auto" w:fill="auto"/>
            <w:noWrap/>
            <w:vAlign w:val="center"/>
          </w:tcPr>
          <w:p w14:paraId="7FD7BD0B">
            <w:pPr>
              <w:widowControl/>
              <w:jc w:val="center"/>
              <w:rPr>
                <w:rFonts w:hint="default" w:ascii="Times New Roman" w:hAnsi="Times New Roman" w:eastAsia="宋体" w:cs="Times New Roman"/>
                <w:b/>
                <w:bCs/>
                <w:color w:val="auto"/>
                <w:kern w:val="0"/>
                <w:szCs w:val="22"/>
                <w:highlight w:val="none"/>
              </w:rPr>
            </w:pPr>
            <w:r>
              <w:rPr>
                <w:rFonts w:hint="default" w:ascii="Times New Roman" w:hAnsi="Times New Roman" w:eastAsia="宋体" w:cs="Times New Roman"/>
                <w:b/>
                <w:bCs/>
                <w:color w:val="auto"/>
                <w:kern w:val="0"/>
                <w:szCs w:val="22"/>
                <w:highlight w:val="none"/>
              </w:rPr>
              <w:t>毒性终点浓度-2（mg/m</w:t>
            </w:r>
            <w:r>
              <w:rPr>
                <w:rFonts w:hint="default" w:ascii="Times New Roman" w:hAnsi="Times New Roman" w:eastAsia="宋体" w:cs="Times New Roman"/>
                <w:b/>
                <w:bCs/>
                <w:color w:val="auto"/>
                <w:kern w:val="0"/>
                <w:szCs w:val="22"/>
                <w:highlight w:val="none"/>
                <w:vertAlign w:val="superscript"/>
              </w:rPr>
              <w:t>3</w:t>
            </w:r>
            <w:r>
              <w:rPr>
                <w:rFonts w:hint="default" w:ascii="Times New Roman" w:hAnsi="Times New Roman" w:eastAsia="宋体" w:cs="Times New Roman"/>
                <w:b/>
                <w:bCs/>
                <w:color w:val="auto"/>
                <w:kern w:val="0"/>
                <w:szCs w:val="22"/>
                <w:highlight w:val="none"/>
              </w:rPr>
              <w:t>）</w:t>
            </w:r>
          </w:p>
        </w:tc>
      </w:tr>
      <w:tr w14:paraId="70B3A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760" w:type="dxa"/>
            <w:shd w:val="clear" w:color="auto" w:fill="auto"/>
            <w:vAlign w:val="center"/>
          </w:tcPr>
          <w:p w14:paraId="3ADEA326">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NH</w:t>
            </w:r>
            <w:r>
              <w:rPr>
                <w:rFonts w:hint="default" w:ascii="Times New Roman" w:hAnsi="Times New Roman" w:cs="Times New Roman"/>
                <w:color w:val="auto"/>
                <w:kern w:val="0"/>
                <w:szCs w:val="21"/>
                <w:highlight w:val="none"/>
                <w:vertAlign w:val="subscript"/>
                <w:lang w:val="en-US" w:eastAsia="zh-CN"/>
              </w:rPr>
              <w:t>3</w:t>
            </w:r>
          </w:p>
        </w:tc>
        <w:tc>
          <w:tcPr>
            <w:tcW w:w="3264" w:type="dxa"/>
            <w:shd w:val="clear" w:color="auto" w:fill="auto"/>
            <w:noWrap/>
            <w:vAlign w:val="center"/>
          </w:tcPr>
          <w:p w14:paraId="69FEFABE">
            <w:pPr>
              <w:widowControl/>
              <w:jc w:val="center"/>
              <w:rPr>
                <w:rFonts w:hint="default" w:ascii="Times New Roman" w:hAnsi="Times New Roman" w:eastAsia="宋体" w:cs="Times New Roman"/>
                <w:color w:val="auto"/>
                <w:kern w:val="0"/>
                <w:szCs w:val="22"/>
                <w:highlight w:val="none"/>
                <w:lang w:val="en-US" w:eastAsia="zh-CN"/>
              </w:rPr>
            </w:pPr>
            <w:r>
              <w:rPr>
                <w:rFonts w:hint="default" w:ascii="Times New Roman" w:hAnsi="Times New Roman" w:cs="Times New Roman"/>
                <w:color w:val="auto"/>
                <w:kern w:val="0"/>
                <w:szCs w:val="22"/>
                <w:highlight w:val="none"/>
                <w:lang w:val="en-US" w:eastAsia="zh-CN"/>
              </w:rPr>
              <w:t>770</w:t>
            </w:r>
          </w:p>
        </w:tc>
        <w:tc>
          <w:tcPr>
            <w:tcW w:w="3264" w:type="dxa"/>
            <w:shd w:val="clear" w:color="auto" w:fill="auto"/>
            <w:noWrap/>
            <w:vAlign w:val="center"/>
          </w:tcPr>
          <w:p w14:paraId="059E1C5C">
            <w:pPr>
              <w:widowControl/>
              <w:jc w:val="center"/>
              <w:rPr>
                <w:rFonts w:hint="default" w:ascii="Times New Roman" w:hAnsi="Times New Roman" w:eastAsia="宋体" w:cs="Times New Roman"/>
                <w:color w:val="auto"/>
                <w:kern w:val="0"/>
                <w:szCs w:val="22"/>
                <w:highlight w:val="none"/>
                <w:lang w:val="en-US" w:eastAsia="zh-CN"/>
              </w:rPr>
            </w:pPr>
            <w:r>
              <w:rPr>
                <w:rFonts w:hint="default" w:ascii="Times New Roman" w:hAnsi="Times New Roman" w:cs="Times New Roman"/>
                <w:color w:val="auto"/>
                <w:kern w:val="0"/>
                <w:szCs w:val="22"/>
                <w:highlight w:val="none"/>
                <w:lang w:val="en-US" w:eastAsia="zh-CN"/>
              </w:rPr>
              <w:t>110</w:t>
            </w:r>
          </w:p>
        </w:tc>
      </w:tr>
      <w:tr w14:paraId="37A80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760" w:type="dxa"/>
            <w:shd w:val="clear" w:color="auto" w:fill="auto"/>
            <w:vAlign w:val="center"/>
          </w:tcPr>
          <w:p w14:paraId="709E27E5">
            <w:pPr>
              <w:widowControl/>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SO</w:t>
            </w:r>
            <w:r>
              <w:rPr>
                <w:rFonts w:hint="default" w:ascii="Times New Roman" w:hAnsi="Times New Roman" w:cs="Times New Roman"/>
                <w:color w:val="auto"/>
                <w:kern w:val="0"/>
                <w:szCs w:val="21"/>
                <w:highlight w:val="none"/>
                <w:vertAlign w:val="subscript"/>
                <w:lang w:val="en-US" w:eastAsia="zh-CN"/>
              </w:rPr>
              <w:t>2</w:t>
            </w:r>
          </w:p>
        </w:tc>
        <w:tc>
          <w:tcPr>
            <w:tcW w:w="3264" w:type="dxa"/>
            <w:shd w:val="clear" w:color="auto" w:fill="auto"/>
            <w:noWrap/>
            <w:vAlign w:val="center"/>
          </w:tcPr>
          <w:p w14:paraId="7E77BF4B">
            <w:pPr>
              <w:widowControl/>
              <w:jc w:val="center"/>
              <w:rPr>
                <w:rFonts w:hint="default" w:ascii="Times New Roman" w:hAnsi="Times New Roman" w:eastAsia="宋体" w:cs="Times New Roman"/>
                <w:color w:val="auto"/>
                <w:kern w:val="0"/>
                <w:szCs w:val="22"/>
                <w:highlight w:val="none"/>
                <w:lang w:val="en-US" w:eastAsia="zh-CN"/>
              </w:rPr>
            </w:pPr>
            <w:r>
              <w:rPr>
                <w:rFonts w:hint="default" w:ascii="Times New Roman" w:hAnsi="Times New Roman" w:cs="Times New Roman"/>
                <w:color w:val="auto"/>
                <w:kern w:val="0"/>
                <w:szCs w:val="22"/>
                <w:highlight w:val="none"/>
                <w:lang w:val="en-US" w:eastAsia="zh-CN"/>
              </w:rPr>
              <w:t>79</w:t>
            </w:r>
          </w:p>
        </w:tc>
        <w:tc>
          <w:tcPr>
            <w:tcW w:w="3264" w:type="dxa"/>
            <w:shd w:val="clear" w:color="auto" w:fill="auto"/>
            <w:noWrap/>
            <w:vAlign w:val="center"/>
          </w:tcPr>
          <w:p w14:paraId="0E6C114C">
            <w:pPr>
              <w:widowControl/>
              <w:jc w:val="center"/>
              <w:rPr>
                <w:rFonts w:hint="default" w:ascii="Times New Roman" w:hAnsi="Times New Roman" w:eastAsia="宋体" w:cs="Times New Roman"/>
                <w:color w:val="auto"/>
                <w:kern w:val="0"/>
                <w:szCs w:val="22"/>
                <w:highlight w:val="none"/>
                <w:lang w:val="en-US" w:eastAsia="zh-CN"/>
              </w:rPr>
            </w:pPr>
            <w:r>
              <w:rPr>
                <w:rFonts w:hint="default" w:ascii="Times New Roman" w:hAnsi="Times New Roman" w:cs="Times New Roman"/>
                <w:color w:val="auto"/>
                <w:kern w:val="0"/>
                <w:szCs w:val="22"/>
                <w:highlight w:val="none"/>
                <w:lang w:val="en-US" w:eastAsia="zh-CN"/>
              </w:rPr>
              <w:t>2</w:t>
            </w:r>
          </w:p>
        </w:tc>
      </w:tr>
    </w:tbl>
    <w:p w14:paraId="784CD732">
      <w:pPr>
        <w:keepNext/>
        <w:keepLines/>
        <w:widowControl/>
        <w:spacing w:before="120" w:after="120"/>
        <w:jc w:val="left"/>
        <w:outlineLvl w:val="3"/>
        <w:rPr>
          <w:rFonts w:hint="default" w:ascii="Times New Roman" w:hAnsi="Times New Roman" w:eastAsia="宋体" w:cs="Times New Roman"/>
          <w:b/>
          <w:bCs/>
          <w:color w:val="auto"/>
          <w:kern w:val="0"/>
          <w:sz w:val="24"/>
          <w:highlight w:val="none"/>
        </w:rPr>
      </w:pPr>
      <w:r>
        <w:rPr>
          <w:rFonts w:hint="default" w:ascii="Times New Roman" w:hAnsi="Times New Roman" w:eastAsia="宋体" w:cs="Times New Roman"/>
          <w:b/>
          <w:bCs/>
          <w:color w:val="auto"/>
          <w:kern w:val="0"/>
          <w:sz w:val="24"/>
          <w:highlight w:val="none"/>
          <w:lang w:eastAsia="zh-CN"/>
        </w:rPr>
        <w:t>6.3.</w:t>
      </w:r>
      <w:r>
        <w:rPr>
          <w:rFonts w:hint="default" w:ascii="Times New Roman" w:hAnsi="Times New Roman" w:eastAsia="宋体" w:cs="Times New Roman"/>
          <w:b/>
          <w:bCs/>
          <w:color w:val="auto"/>
          <w:kern w:val="0"/>
          <w:sz w:val="24"/>
          <w:highlight w:val="none"/>
          <w:lang w:val="en-US" w:eastAsia="zh-CN"/>
        </w:rPr>
        <w:t>1</w:t>
      </w:r>
      <w:r>
        <w:rPr>
          <w:rFonts w:hint="default" w:ascii="Times New Roman" w:hAnsi="Times New Roman" w:eastAsia="宋体" w:cs="Times New Roman"/>
          <w:b/>
          <w:bCs/>
          <w:color w:val="auto"/>
          <w:kern w:val="0"/>
          <w:sz w:val="24"/>
          <w:highlight w:val="none"/>
          <w:lang w:eastAsia="zh-CN"/>
        </w:rPr>
        <w:t>.</w:t>
      </w:r>
      <w:r>
        <w:rPr>
          <w:rFonts w:hint="default" w:ascii="Times New Roman" w:hAnsi="Times New Roman" w:eastAsia="宋体" w:cs="Times New Roman"/>
          <w:b/>
          <w:bCs/>
          <w:color w:val="auto"/>
          <w:kern w:val="0"/>
          <w:sz w:val="24"/>
          <w:highlight w:val="none"/>
        </w:rPr>
        <w:t>5 大气环境</w:t>
      </w:r>
      <w:bookmarkStart w:id="67" w:name="_Hlk25673510"/>
      <w:r>
        <w:rPr>
          <w:rFonts w:hint="default" w:ascii="Times New Roman" w:hAnsi="Times New Roman" w:eastAsia="宋体" w:cs="Times New Roman"/>
          <w:b/>
          <w:bCs/>
          <w:color w:val="auto"/>
          <w:kern w:val="0"/>
          <w:sz w:val="24"/>
          <w:highlight w:val="none"/>
        </w:rPr>
        <w:t>风险影响预测结果与评价</w:t>
      </w:r>
    </w:p>
    <w:bookmarkEnd w:id="67"/>
    <w:p w14:paraId="2F95F967">
      <w:pPr>
        <w:keepNext/>
        <w:keepLines/>
        <w:widowControl/>
        <w:spacing w:before="120" w:after="120"/>
        <w:jc w:val="left"/>
        <w:outlineLvl w:val="4"/>
        <w:rPr>
          <w:rFonts w:hint="default" w:ascii="Times New Roman" w:hAnsi="Times New Roman" w:eastAsia="宋体" w:cs="Times New Roman"/>
          <w:b/>
          <w:bCs/>
          <w:color w:val="auto"/>
          <w:lang w:val="zh"/>
        </w:rPr>
      </w:pPr>
      <w:r>
        <w:rPr>
          <w:rFonts w:hint="default" w:ascii="Times New Roman" w:hAnsi="Times New Roman" w:eastAsia="宋体" w:cs="Times New Roman"/>
          <w:b/>
          <w:bCs/>
          <w:color w:val="auto"/>
          <w:kern w:val="0"/>
          <w:sz w:val="24"/>
          <w:lang w:eastAsia="zh-CN"/>
        </w:rPr>
        <w:t>6.3.</w:t>
      </w:r>
      <w:r>
        <w:rPr>
          <w:rFonts w:hint="default" w:ascii="Times New Roman" w:hAnsi="Times New Roman" w:eastAsia="宋体" w:cs="Times New Roman"/>
          <w:b/>
          <w:bCs/>
          <w:color w:val="auto"/>
          <w:kern w:val="0"/>
          <w:sz w:val="24"/>
          <w:lang w:val="en-US" w:eastAsia="zh-CN"/>
        </w:rPr>
        <w:t>1</w:t>
      </w:r>
      <w:r>
        <w:rPr>
          <w:rFonts w:hint="default" w:ascii="Times New Roman" w:hAnsi="Times New Roman" w:eastAsia="宋体" w:cs="Times New Roman"/>
          <w:b/>
          <w:bCs/>
          <w:color w:val="auto"/>
          <w:kern w:val="0"/>
          <w:sz w:val="24"/>
          <w:lang w:eastAsia="zh-CN"/>
        </w:rPr>
        <w:t>.</w:t>
      </w:r>
      <w:r>
        <w:rPr>
          <w:rFonts w:hint="default" w:ascii="Times New Roman" w:hAnsi="Times New Roman" w:eastAsia="宋体" w:cs="Times New Roman"/>
          <w:b/>
          <w:bCs/>
          <w:color w:val="auto"/>
          <w:kern w:val="0"/>
          <w:sz w:val="24"/>
        </w:rPr>
        <w:t>5.1 泄漏事故</w:t>
      </w:r>
      <w:r>
        <w:rPr>
          <w:rFonts w:hint="default" w:ascii="Times New Roman" w:hAnsi="Times New Roman" w:eastAsia="宋体" w:cs="Times New Roman"/>
          <w:b/>
          <w:bCs/>
          <w:color w:val="auto"/>
          <w:sz w:val="24"/>
        </w:rPr>
        <w:t>风险影响预测</w:t>
      </w:r>
    </w:p>
    <w:p w14:paraId="71220AE2">
      <w:pPr>
        <w:spacing w:line="360" w:lineRule="auto"/>
        <w:ind w:firstLine="480" w:firstLineChars="200"/>
        <w:jc w:val="left"/>
        <w:rPr>
          <w:rFonts w:hint="default" w:ascii="Times New Roman" w:hAnsi="Times New Roman" w:eastAsia="宋体" w:cs="Times New Roman"/>
          <w:color w:val="auto"/>
          <w:kern w:val="0"/>
          <w:sz w:val="24"/>
        </w:rPr>
      </w:pPr>
      <w:bookmarkStart w:id="68" w:name="_Hlk25911845"/>
      <w:r>
        <w:rPr>
          <w:rFonts w:hint="default" w:ascii="Times New Roman" w:hAnsi="Times New Roman" w:eastAsia="宋体" w:cs="Times New Roman"/>
          <w:color w:val="auto"/>
          <w:kern w:val="0"/>
          <w:sz w:val="24"/>
        </w:rPr>
        <w:t>1、</w:t>
      </w:r>
      <w:r>
        <w:rPr>
          <w:rFonts w:hint="default" w:ascii="Times New Roman" w:hAnsi="Times New Roman" w:cs="Times New Roman"/>
          <w:color w:val="auto"/>
          <w:kern w:val="0"/>
          <w:sz w:val="24"/>
          <w:lang w:val="en-US" w:eastAsia="zh-CN"/>
        </w:rPr>
        <w:t>氨气</w:t>
      </w:r>
      <w:r>
        <w:rPr>
          <w:rFonts w:hint="default" w:ascii="Times New Roman" w:hAnsi="Times New Roman" w:eastAsia="宋体" w:cs="Times New Roman"/>
          <w:color w:val="auto"/>
          <w:kern w:val="0"/>
          <w:sz w:val="24"/>
        </w:rPr>
        <w:t>泄漏风险</w:t>
      </w:r>
    </w:p>
    <w:p w14:paraId="1FDBCBF5">
      <w:pPr>
        <w:spacing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（1）一般点情况</w:t>
      </w:r>
    </w:p>
    <w:p w14:paraId="0441F273">
      <w:pPr>
        <w:spacing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根据前文事故源强及导则推荐的</w:t>
      </w:r>
      <w:r>
        <w:rPr>
          <w:rFonts w:hint="default" w:ascii="Times New Roman" w:hAnsi="Times New Roman" w:eastAsia="宋体" w:cs="Times New Roman"/>
          <w:color w:val="auto"/>
          <w:kern w:val="0"/>
          <w:sz w:val="24"/>
          <w:lang w:val="en-US" w:eastAsia="zh-CN"/>
        </w:rPr>
        <w:t>AFTOX</w:t>
      </w:r>
      <w:r>
        <w:rPr>
          <w:rFonts w:hint="default" w:ascii="Times New Roman" w:hAnsi="Times New Roman" w:eastAsia="宋体" w:cs="Times New Roman"/>
          <w:color w:val="auto"/>
          <w:kern w:val="0"/>
          <w:sz w:val="24"/>
        </w:rPr>
        <w:t>模型，计算最不利气象条件下</w:t>
      </w:r>
      <w:r>
        <w:rPr>
          <w:rFonts w:hint="default" w:ascii="Times New Roman" w:hAnsi="Times New Roman" w:cs="Times New Roman"/>
          <w:color w:val="auto"/>
          <w:kern w:val="0"/>
          <w:sz w:val="24"/>
          <w:lang w:val="en-US" w:eastAsia="zh-CN"/>
        </w:rPr>
        <w:t>氨气</w:t>
      </w:r>
      <w:r>
        <w:rPr>
          <w:rFonts w:hint="default" w:ascii="Times New Roman" w:hAnsi="Times New Roman" w:eastAsia="宋体" w:cs="Times New Roman"/>
          <w:color w:val="auto"/>
          <w:kern w:val="0"/>
          <w:sz w:val="24"/>
        </w:rPr>
        <w:t>泄漏事故一般计算点浓度，各距离下最大浓度见图</w:t>
      </w:r>
      <w:r>
        <w:rPr>
          <w:rFonts w:hint="default" w:ascii="Times New Roman" w:hAnsi="Times New Roman" w:eastAsia="宋体" w:cs="Times New Roman"/>
          <w:color w:val="auto"/>
          <w:kern w:val="0"/>
          <w:sz w:val="24"/>
          <w:lang w:eastAsia="zh-CN"/>
        </w:rPr>
        <w:t>6.</w:t>
      </w:r>
      <w:r>
        <w:rPr>
          <w:rFonts w:hint="default" w:ascii="Times New Roman" w:hAnsi="Times New Roman" w:cs="Times New Roman"/>
          <w:color w:val="auto"/>
          <w:kern w:val="0"/>
          <w:sz w:val="24"/>
          <w:lang w:val="en-US" w:eastAsia="zh-CN"/>
        </w:rPr>
        <w:t>3</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1； 大气毒性终点浓度值影响区域见表</w:t>
      </w:r>
      <w:r>
        <w:rPr>
          <w:rFonts w:hint="default" w:ascii="Times New Roman" w:hAnsi="Times New Roman" w:eastAsia="宋体" w:cs="Times New Roman"/>
          <w:color w:val="auto"/>
          <w:kern w:val="0"/>
          <w:sz w:val="24"/>
          <w:lang w:eastAsia="zh-CN"/>
        </w:rPr>
        <w:t>6.</w:t>
      </w:r>
      <w:r>
        <w:rPr>
          <w:rFonts w:hint="default" w:ascii="Times New Roman" w:hAnsi="Times New Roman" w:cs="Times New Roman"/>
          <w:color w:val="auto"/>
          <w:kern w:val="0"/>
          <w:sz w:val="24"/>
          <w:lang w:val="en-US" w:eastAsia="zh-CN"/>
        </w:rPr>
        <w:t>3</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5。</w:t>
      </w:r>
    </w:p>
    <w:p w14:paraId="1ECEA9BB">
      <w:pPr>
        <w:pStyle w:val="80"/>
        <w:ind w:left="0" w:leftChars="0" w:firstLine="0" w:firstLineChars="0"/>
        <w:jc w:val="center"/>
        <w:rPr>
          <w:rFonts w:hint="default" w:ascii="Times New Roman" w:hAnsi="Times New Roman" w:eastAsia="宋体" w:cs="Times New Roman"/>
          <w:b/>
          <w:bCs/>
          <w:color w:val="auto"/>
          <w:sz w:val="24"/>
          <w:highlight w:val="none"/>
          <w:lang w:eastAsia="zh-CN"/>
        </w:rPr>
      </w:pPr>
      <w:r>
        <w:rPr>
          <w:rFonts w:ascii="Times New Roman" w:hAnsi="Times New Roman" w:cs="Times New Roman"/>
          <w:color w:val="auto"/>
        </w:rPr>
        <w:drawing>
          <wp:inline distT="0" distB="0" distL="114300" distR="114300">
            <wp:extent cx="5756275" cy="2940050"/>
            <wp:effectExtent l="0" t="0" r="15875" b="12700"/>
            <wp:docPr id="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
                    <pic:cNvPicPr>
                      <a:picLocks noChangeAspect="1"/>
                    </pic:cNvPicPr>
                  </pic:nvPicPr>
                  <pic:blipFill>
                    <a:blip r:embed="rId29"/>
                    <a:stretch>
                      <a:fillRect/>
                    </a:stretch>
                  </pic:blipFill>
                  <pic:spPr>
                    <a:xfrm>
                      <a:off x="0" y="0"/>
                      <a:ext cx="5756275" cy="2940050"/>
                    </a:xfrm>
                    <a:prstGeom prst="rect">
                      <a:avLst/>
                    </a:prstGeom>
                    <a:noFill/>
                    <a:ln>
                      <a:noFill/>
                    </a:ln>
                  </pic:spPr>
                </pic:pic>
              </a:graphicData>
            </a:graphic>
          </wp:inline>
        </w:drawing>
      </w:r>
    </w:p>
    <w:p w14:paraId="15549043">
      <w:pPr>
        <w:pStyle w:val="80"/>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sz w:val="24"/>
          <w:highlight w:val="none"/>
        </w:rPr>
        <w:t>图</w:t>
      </w:r>
      <w:r>
        <w:rPr>
          <w:rFonts w:hint="default" w:ascii="Times New Roman" w:hAnsi="Times New Roman" w:eastAsia="宋体" w:cs="Times New Roman"/>
          <w:b/>
          <w:bCs/>
          <w:color w:val="auto"/>
          <w:sz w:val="24"/>
          <w:highlight w:val="none"/>
          <w:lang w:eastAsia="zh-CN"/>
        </w:rPr>
        <w:t>6.3-</w:t>
      </w:r>
      <w:r>
        <w:rPr>
          <w:rFonts w:hint="default" w:ascii="Times New Roman" w:hAnsi="Times New Roman" w:eastAsia="宋体" w:cs="Times New Roman"/>
          <w:b/>
          <w:bCs/>
          <w:color w:val="auto"/>
          <w:sz w:val="24"/>
          <w:highlight w:val="none"/>
        </w:rPr>
        <w:t>1 最不利气象条件下</w:t>
      </w:r>
      <w:r>
        <w:rPr>
          <w:rFonts w:hint="default" w:ascii="Times New Roman" w:hAnsi="Times New Roman" w:cs="Times New Roman"/>
          <w:b/>
          <w:bCs/>
          <w:color w:val="auto"/>
          <w:sz w:val="24"/>
          <w:highlight w:val="none"/>
          <w:lang w:val="en-US" w:eastAsia="zh-CN"/>
        </w:rPr>
        <w:t>氨气</w:t>
      </w:r>
      <w:r>
        <w:rPr>
          <w:rFonts w:hint="default" w:ascii="Times New Roman" w:hAnsi="Times New Roman" w:eastAsia="宋体" w:cs="Times New Roman"/>
          <w:b/>
          <w:bCs/>
          <w:color w:val="auto"/>
          <w:sz w:val="24"/>
          <w:highlight w:val="none"/>
        </w:rPr>
        <w:t>下风向不同距离最大浓度图</w:t>
      </w:r>
    </w:p>
    <w:p w14:paraId="0CA4735F">
      <w:pPr>
        <w:pStyle w:val="80"/>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eastAsia="zh-CN"/>
        </w:rPr>
        <w:t>6.3-</w:t>
      </w:r>
      <w:r>
        <w:rPr>
          <w:rFonts w:hint="default" w:ascii="Times New Roman" w:hAnsi="Times New Roman" w:eastAsia="宋体" w:cs="Times New Roman"/>
          <w:b/>
          <w:bCs/>
          <w:color w:val="auto"/>
          <w:sz w:val="24"/>
          <w:highlight w:val="none"/>
        </w:rPr>
        <w:t xml:space="preserve">5 </w:t>
      </w:r>
      <w:r>
        <w:rPr>
          <w:rFonts w:hint="default" w:ascii="Times New Roman" w:hAnsi="Times New Roman" w:cs="Times New Roman"/>
          <w:b/>
          <w:bCs/>
          <w:color w:val="auto"/>
          <w:sz w:val="24"/>
          <w:highlight w:val="none"/>
          <w:lang w:val="en-US" w:eastAsia="zh-CN"/>
        </w:rPr>
        <w:t>氨气</w:t>
      </w:r>
      <w:r>
        <w:rPr>
          <w:rFonts w:hint="default" w:ascii="Times New Roman" w:hAnsi="Times New Roman" w:eastAsia="宋体" w:cs="Times New Roman"/>
          <w:b/>
          <w:bCs/>
          <w:color w:val="auto"/>
          <w:sz w:val="24"/>
          <w:highlight w:val="none"/>
        </w:rPr>
        <w:t>泄漏大气浓度</w:t>
      </w:r>
      <w:r>
        <w:rPr>
          <w:rFonts w:hint="default" w:ascii="Times New Roman" w:hAnsi="Times New Roman" w:cs="Times New Roman"/>
          <w:b/>
          <w:bCs/>
          <w:color w:val="auto"/>
          <w:sz w:val="24"/>
          <w:highlight w:val="none"/>
          <w:lang w:eastAsia="zh-CN"/>
        </w:rPr>
        <w:t>终点浓度</w:t>
      </w:r>
      <w:r>
        <w:rPr>
          <w:rFonts w:hint="default" w:ascii="Times New Roman" w:hAnsi="Times New Roman" w:eastAsia="宋体" w:cs="Times New Roman"/>
          <w:b/>
          <w:bCs/>
          <w:color w:val="auto"/>
          <w:sz w:val="24"/>
          <w:highlight w:val="none"/>
        </w:rPr>
        <w:t>值影响区域表</w:t>
      </w:r>
    </w:p>
    <w:tbl>
      <w:tblPr>
        <w:tblStyle w:val="8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0"/>
        <w:gridCol w:w="1607"/>
        <w:gridCol w:w="1549"/>
        <w:gridCol w:w="1527"/>
        <w:gridCol w:w="1527"/>
        <w:gridCol w:w="1527"/>
      </w:tblGrid>
      <w:tr w14:paraId="32A7C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7" w:type="dxa"/>
            <w:tcBorders>
              <w:bottom w:val="single" w:color="auto" w:sz="4" w:space="0"/>
            </w:tcBorders>
            <w:noWrap w:val="0"/>
            <w:vAlign w:val="center"/>
          </w:tcPr>
          <w:p w14:paraId="1BCC621A">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相应阈值影响区域对应位置</w:t>
            </w:r>
          </w:p>
        </w:tc>
        <w:tc>
          <w:tcPr>
            <w:tcW w:w="1637" w:type="dxa"/>
            <w:tcBorders>
              <w:bottom w:val="single" w:color="auto" w:sz="4" w:space="0"/>
            </w:tcBorders>
            <w:noWrap w:val="0"/>
            <w:vAlign w:val="center"/>
          </w:tcPr>
          <w:p w14:paraId="563438AF">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阈值（mg/m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1606" w:type="dxa"/>
            <w:tcBorders>
              <w:bottom w:val="single" w:color="auto" w:sz="4" w:space="0"/>
            </w:tcBorders>
            <w:noWrap w:val="0"/>
            <w:vAlign w:val="center"/>
          </w:tcPr>
          <w:p w14:paraId="48B5E985">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X起点（m）</w:t>
            </w:r>
          </w:p>
        </w:tc>
        <w:tc>
          <w:tcPr>
            <w:tcW w:w="1582" w:type="dxa"/>
            <w:tcBorders>
              <w:bottom w:val="single" w:color="auto" w:sz="4" w:space="0"/>
            </w:tcBorders>
            <w:noWrap w:val="0"/>
            <w:vAlign w:val="center"/>
          </w:tcPr>
          <w:p w14:paraId="53763004">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X终点（m）</w:t>
            </w:r>
          </w:p>
        </w:tc>
        <w:tc>
          <w:tcPr>
            <w:tcW w:w="1582" w:type="dxa"/>
            <w:tcBorders>
              <w:bottom w:val="single" w:color="auto" w:sz="4" w:space="0"/>
            </w:tcBorders>
            <w:noWrap w:val="0"/>
            <w:vAlign w:val="center"/>
          </w:tcPr>
          <w:p w14:paraId="11B9AA46">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最大半宽（m）</w:t>
            </w:r>
          </w:p>
        </w:tc>
        <w:tc>
          <w:tcPr>
            <w:tcW w:w="1582" w:type="dxa"/>
            <w:tcBorders>
              <w:bottom w:val="single" w:color="auto" w:sz="4" w:space="0"/>
            </w:tcBorders>
            <w:noWrap w:val="0"/>
            <w:vAlign w:val="center"/>
          </w:tcPr>
          <w:p w14:paraId="149D6538">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最大半宽对应X（m）</w:t>
            </w:r>
          </w:p>
        </w:tc>
      </w:tr>
      <w:tr w14:paraId="1216E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37" w:type="dxa"/>
            <w:vMerge w:val="restart"/>
            <w:tcBorders>
              <w:top w:val="single" w:color="auto" w:sz="4" w:space="0"/>
            </w:tcBorders>
            <w:noWrap w:val="0"/>
            <w:vAlign w:val="center"/>
          </w:tcPr>
          <w:p w14:paraId="1522357A">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最不利气象条件</w:t>
            </w:r>
          </w:p>
        </w:tc>
        <w:tc>
          <w:tcPr>
            <w:tcW w:w="1637" w:type="dxa"/>
            <w:tcBorders>
              <w:top w:val="single" w:color="auto" w:sz="4" w:space="0"/>
            </w:tcBorders>
            <w:noWrap w:val="0"/>
            <w:vAlign w:val="center"/>
          </w:tcPr>
          <w:p w14:paraId="55B3669A">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770</w:t>
            </w:r>
          </w:p>
        </w:tc>
        <w:tc>
          <w:tcPr>
            <w:tcW w:w="1606" w:type="dxa"/>
            <w:tcBorders>
              <w:top w:val="single" w:color="auto" w:sz="4" w:space="0"/>
            </w:tcBorders>
            <w:noWrap w:val="0"/>
            <w:vAlign w:val="center"/>
          </w:tcPr>
          <w:p w14:paraId="18262FCA">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582" w:type="dxa"/>
            <w:tcBorders>
              <w:top w:val="single" w:color="auto" w:sz="4" w:space="0"/>
            </w:tcBorders>
            <w:noWrap w:val="0"/>
            <w:vAlign w:val="center"/>
          </w:tcPr>
          <w:p w14:paraId="3C3A33CB">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582" w:type="dxa"/>
            <w:tcBorders>
              <w:top w:val="single" w:color="auto" w:sz="4" w:space="0"/>
            </w:tcBorders>
            <w:noWrap w:val="0"/>
            <w:vAlign w:val="center"/>
          </w:tcPr>
          <w:p w14:paraId="2CDA8D24">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582" w:type="dxa"/>
            <w:tcBorders>
              <w:top w:val="single" w:color="auto" w:sz="4" w:space="0"/>
            </w:tcBorders>
            <w:noWrap w:val="0"/>
            <w:vAlign w:val="center"/>
          </w:tcPr>
          <w:p w14:paraId="40DDE47C">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03B53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7" w:type="dxa"/>
            <w:vMerge w:val="continue"/>
            <w:noWrap w:val="0"/>
            <w:vAlign w:val="center"/>
          </w:tcPr>
          <w:p w14:paraId="6EA67702">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1637" w:type="dxa"/>
            <w:tcBorders>
              <w:top w:val="single" w:color="auto" w:sz="4" w:space="0"/>
            </w:tcBorders>
            <w:noWrap w:val="0"/>
            <w:vAlign w:val="center"/>
          </w:tcPr>
          <w:p w14:paraId="56FD304B">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110</w:t>
            </w:r>
          </w:p>
        </w:tc>
        <w:tc>
          <w:tcPr>
            <w:tcW w:w="1606" w:type="dxa"/>
            <w:tcBorders>
              <w:top w:val="single" w:color="auto" w:sz="4" w:space="0"/>
            </w:tcBorders>
            <w:noWrap w:val="0"/>
            <w:vAlign w:val="center"/>
          </w:tcPr>
          <w:p w14:paraId="7E4EDD87">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582" w:type="dxa"/>
            <w:tcBorders>
              <w:top w:val="single" w:color="auto" w:sz="4" w:space="0"/>
            </w:tcBorders>
            <w:noWrap w:val="0"/>
            <w:vAlign w:val="center"/>
          </w:tcPr>
          <w:p w14:paraId="6B62C983">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582" w:type="dxa"/>
            <w:tcBorders>
              <w:top w:val="single" w:color="auto" w:sz="4" w:space="0"/>
            </w:tcBorders>
            <w:noWrap w:val="0"/>
            <w:vAlign w:val="center"/>
          </w:tcPr>
          <w:p w14:paraId="1BFD27F4">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582" w:type="dxa"/>
            <w:tcBorders>
              <w:top w:val="single" w:color="auto" w:sz="4" w:space="0"/>
            </w:tcBorders>
            <w:noWrap w:val="0"/>
            <w:vAlign w:val="center"/>
          </w:tcPr>
          <w:p w14:paraId="0DDA76BA">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bl>
    <w:p w14:paraId="28B69281">
      <w:pPr>
        <w:spacing w:line="360" w:lineRule="auto"/>
        <w:ind w:firstLine="48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（2）关心点情况</w:t>
      </w:r>
    </w:p>
    <w:p w14:paraId="4BED3C08">
      <w:pPr>
        <w:spacing w:line="360" w:lineRule="auto"/>
        <w:ind w:firstLine="48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各关心点</w:t>
      </w:r>
      <w:r>
        <w:rPr>
          <w:rFonts w:hint="default" w:ascii="Times New Roman" w:hAnsi="Times New Roman" w:cs="Times New Roman"/>
          <w:color w:val="auto"/>
          <w:kern w:val="0"/>
          <w:sz w:val="24"/>
          <w:lang w:val="en-US" w:eastAsia="zh-CN"/>
        </w:rPr>
        <w:t>氨气</w:t>
      </w:r>
      <w:r>
        <w:rPr>
          <w:rFonts w:hint="default" w:ascii="Times New Roman" w:hAnsi="Times New Roman" w:eastAsia="宋体" w:cs="Times New Roman"/>
          <w:color w:val="auto"/>
          <w:kern w:val="0"/>
          <w:sz w:val="24"/>
        </w:rPr>
        <w:t>浓度随时间变化情况及超出评价标准持续时间见表</w:t>
      </w:r>
      <w:r>
        <w:rPr>
          <w:rFonts w:hint="default" w:ascii="Times New Roman" w:hAnsi="Times New Roman" w:eastAsia="宋体" w:cs="Times New Roman"/>
          <w:color w:val="auto"/>
          <w:kern w:val="0"/>
          <w:sz w:val="24"/>
          <w:lang w:eastAsia="zh-CN"/>
        </w:rPr>
        <w:t>6.</w:t>
      </w:r>
      <w:r>
        <w:rPr>
          <w:rFonts w:hint="default" w:ascii="Times New Roman" w:hAnsi="Times New Roman" w:cs="Times New Roman"/>
          <w:color w:val="auto"/>
          <w:kern w:val="0"/>
          <w:sz w:val="24"/>
          <w:lang w:val="en-US" w:eastAsia="zh-CN"/>
        </w:rPr>
        <w:t>3</w:t>
      </w: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rPr>
        <w:t>6。</w:t>
      </w:r>
    </w:p>
    <w:p w14:paraId="11222613">
      <w:pPr>
        <w:pStyle w:val="80"/>
        <w:ind w:left="0" w:leftChars="0" w:firstLine="0" w:firstLineChars="0"/>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w:t>
      </w:r>
      <w:r>
        <w:rPr>
          <w:rFonts w:hint="default" w:ascii="Times New Roman" w:hAnsi="Times New Roman" w:eastAsia="宋体" w:cs="Times New Roman"/>
          <w:b/>
          <w:bCs/>
          <w:color w:val="auto"/>
          <w:sz w:val="24"/>
          <w:lang w:eastAsia="zh-CN"/>
        </w:rPr>
        <w:t>6.3-</w:t>
      </w:r>
      <w:r>
        <w:rPr>
          <w:rFonts w:hint="default" w:ascii="Times New Roman" w:hAnsi="Times New Roman" w:eastAsia="宋体" w:cs="Times New Roman"/>
          <w:b/>
          <w:bCs/>
          <w:color w:val="auto"/>
          <w:sz w:val="24"/>
        </w:rPr>
        <w:t>6 关心点最不利气象条件</w:t>
      </w:r>
      <w:r>
        <w:rPr>
          <w:rFonts w:hint="default" w:ascii="Times New Roman" w:hAnsi="Times New Roman" w:cs="Times New Roman"/>
          <w:b/>
          <w:bCs/>
          <w:color w:val="auto"/>
          <w:sz w:val="24"/>
          <w:lang w:val="en-US" w:eastAsia="zh-CN"/>
        </w:rPr>
        <w:t>氨气</w:t>
      </w:r>
      <w:r>
        <w:rPr>
          <w:rFonts w:hint="default" w:ascii="Times New Roman" w:hAnsi="Times New Roman" w:eastAsia="宋体" w:cs="Times New Roman"/>
          <w:b/>
          <w:bCs/>
          <w:color w:val="auto"/>
          <w:sz w:val="24"/>
        </w:rPr>
        <w:t>浓度随时间变化情况及评价标准持续时间表</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663"/>
        <w:gridCol w:w="1485"/>
        <w:gridCol w:w="1508"/>
        <w:gridCol w:w="1543"/>
        <w:gridCol w:w="1544"/>
        <w:gridCol w:w="1544"/>
      </w:tblGrid>
      <w:tr w14:paraId="59D16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63" w:hRule="atLeast"/>
          <w:jc w:val="center"/>
        </w:trPr>
        <w:tc>
          <w:tcPr>
            <w:tcW w:w="714" w:type="pct"/>
            <w:shd w:val="clear" w:color="auto" w:fill="auto"/>
            <w:noWrap/>
            <w:vAlign w:val="center"/>
          </w:tcPr>
          <w:p w14:paraId="0C6EB0ED">
            <w:pPr>
              <w:widowControl/>
              <w:jc w:val="center"/>
              <w:textAlignment w:val="center"/>
              <w:rPr>
                <w:rFonts w:hint="default" w:ascii="Times New Roman" w:hAnsi="Times New Roman" w:eastAsia="宋体" w:cs="Times New Roman"/>
                <w:color w:val="auto"/>
                <w:kern w:val="0"/>
                <w:sz w:val="15"/>
                <w:szCs w:val="15"/>
              </w:rPr>
            </w:pPr>
            <w:r>
              <w:rPr>
                <w:rFonts w:hint="default" w:ascii="Times New Roman" w:hAnsi="Times New Roman" w:eastAsia="宋体" w:cs="Times New Roman"/>
                <w:color w:val="auto"/>
                <w:kern w:val="0"/>
                <w:sz w:val="15"/>
                <w:szCs w:val="15"/>
                <w:lang w:bidi="ar"/>
              </w:rPr>
              <w:t>名称</w:t>
            </w:r>
          </w:p>
        </w:tc>
        <w:tc>
          <w:tcPr>
            <w:tcW w:w="1500" w:type="dxa"/>
            <w:shd w:val="clear" w:color="auto" w:fill="auto"/>
            <w:noWrap/>
            <w:vAlign w:val="center"/>
          </w:tcPr>
          <w:p w14:paraId="413F0625">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杨兰村</w:t>
            </w:r>
          </w:p>
        </w:tc>
        <w:tc>
          <w:tcPr>
            <w:tcW w:w="1524" w:type="dxa"/>
            <w:shd w:val="clear" w:color="auto" w:fill="auto"/>
            <w:noWrap/>
            <w:vAlign w:val="center"/>
          </w:tcPr>
          <w:p w14:paraId="05B074F8">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凤凰村</w:t>
            </w:r>
          </w:p>
        </w:tc>
        <w:tc>
          <w:tcPr>
            <w:tcW w:w="1559" w:type="dxa"/>
            <w:shd w:val="clear" w:color="auto" w:fill="auto"/>
            <w:noWrap/>
            <w:vAlign w:val="center"/>
          </w:tcPr>
          <w:p w14:paraId="1BC826A0">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南铺村</w:t>
            </w:r>
          </w:p>
        </w:tc>
        <w:tc>
          <w:tcPr>
            <w:tcW w:w="1560" w:type="dxa"/>
            <w:shd w:val="clear" w:color="auto" w:fill="auto"/>
            <w:noWrap/>
            <w:vAlign w:val="center"/>
          </w:tcPr>
          <w:p w14:paraId="11B8C240">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瓦村</w:t>
            </w:r>
          </w:p>
        </w:tc>
        <w:tc>
          <w:tcPr>
            <w:tcW w:w="1560" w:type="dxa"/>
            <w:shd w:val="clear" w:color="auto" w:fill="auto"/>
            <w:noWrap/>
            <w:vAlign w:val="center"/>
          </w:tcPr>
          <w:p w14:paraId="32F30E95">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小旦村</w:t>
            </w:r>
          </w:p>
        </w:tc>
      </w:tr>
      <w:tr w14:paraId="1DDC4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29EEB4AB">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bidi="ar"/>
              </w:rPr>
              <w:t>最大浓度|时间</w:t>
            </w:r>
            <w:r>
              <w:rPr>
                <w:rFonts w:hint="default" w:ascii="Times New Roman" w:hAnsi="Times New Roman" w:cs="Times New Roman"/>
                <w:color w:val="auto"/>
                <w:kern w:val="0"/>
                <w:sz w:val="15"/>
                <w:szCs w:val="15"/>
                <w:lang w:eastAsia="zh-CN" w:bidi="ar"/>
              </w:rPr>
              <w:t>（</w:t>
            </w:r>
            <w:r>
              <w:rPr>
                <w:rFonts w:hint="default" w:ascii="Times New Roman" w:hAnsi="Times New Roman" w:eastAsia="宋体" w:cs="Times New Roman"/>
                <w:color w:val="auto"/>
                <w:kern w:val="0"/>
                <w:sz w:val="15"/>
                <w:szCs w:val="15"/>
                <w:lang w:bidi="ar"/>
              </w:rPr>
              <w:t>min</w:t>
            </w:r>
            <w:r>
              <w:rPr>
                <w:rFonts w:hint="eastAsia" w:cs="Times New Roman"/>
                <w:color w:val="auto"/>
                <w:kern w:val="0"/>
                <w:sz w:val="15"/>
                <w:szCs w:val="15"/>
                <w:lang w:eastAsia="zh-CN" w:bidi="ar"/>
              </w:rPr>
              <w:t>）</w:t>
            </w:r>
          </w:p>
        </w:tc>
        <w:tc>
          <w:tcPr>
            <w:tcW w:w="1500" w:type="dxa"/>
            <w:shd w:val="clear" w:color="auto" w:fill="auto"/>
            <w:noWrap/>
            <w:vAlign w:val="center"/>
          </w:tcPr>
          <w:p w14:paraId="29B7545C">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0.00E+00|5</w:t>
            </w:r>
          </w:p>
        </w:tc>
        <w:tc>
          <w:tcPr>
            <w:tcW w:w="1524" w:type="dxa"/>
            <w:shd w:val="clear" w:color="auto" w:fill="auto"/>
            <w:noWrap/>
            <w:vAlign w:val="center"/>
          </w:tcPr>
          <w:p w14:paraId="56C6CAF4">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0.00E+00|5</w:t>
            </w:r>
          </w:p>
        </w:tc>
        <w:tc>
          <w:tcPr>
            <w:tcW w:w="1559" w:type="dxa"/>
            <w:shd w:val="clear" w:color="auto" w:fill="auto"/>
            <w:noWrap/>
            <w:vAlign w:val="center"/>
          </w:tcPr>
          <w:p w14:paraId="31F56780">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3.34E-13|10</w:t>
            </w:r>
          </w:p>
        </w:tc>
        <w:tc>
          <w:tcPr>
            <w:tcW w:w="1560" w:type="dxa"/>
            <w:shd w:val="clear" w:color="auto" w:fill="auto"/>
            <w:noWrap/>
            <w:vAlign w:val="center"/>
          </w:tcPr>
          <w:p w14:paraId="6A2DBE0D">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1.87E-08|25</w:t>
            </w:r>
          </w:p>
        </w:tc>
        <w:tc>
          <w:tcPr>
            <w:tcW w:w="1560" w:type="dxa"/>
            <w:shd w:val="clear" w:color="auto" w:fill="auto"/>
            <w:noWrap/>
            <w:vAlign w:val="center"/>
          </w:tcPr>
          <w:p w14:paraId="4A26032A">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2.37E-12|35</w:t>
            </w:r>
          </w:p>
        </w:tc>
      </w:tr>
      <w:tr w14:paraId="6DBF7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166AB62D">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5min</w:t>
            </w:r>
          </w:p>
        </w:tc>
        <w:tc>
          <w:tcPr>
            <w:tcW w:w="1500" w:type="dxa"/>
            <w:shd w:val="clear" w:color="auto" w:fill="auto"/>
            <w:noWrap/>
            <w:vAlign w:val="center"/>
          </w:tcPr>
          <w:p w14:paraId="273B92AE">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2E62A730">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07AC078F">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280DA4D5">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687B9006">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35AEE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39D11373">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10min</w:t>
            </w:r>
          </w:p>
        </w:tc>
        <w:tc>
          <w:tcPr>
            <w:tcW w:w="1500" w:type="dxa"/>
            <w:shd w:val="clear" w:color="auto" w:fill="auto"/>
            <w:noWrap/>
            <w:vAlign w:val="center"/>
          </w:tcPr>
          <w:p w14:paraId="052CC990">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09422D52">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1040B141">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3.34E-13</w:t>
            </w:r>
          </w:p>
        </w:tc>
        <w:tc>
          <w:tcPr>
            <w:tcW w:w="1560" w:type="dxa"/>
            <w:shd w:val="clear" w:color="auto" w:fill="auto"/>
            <w:noWrap/>
            <w:vAlign w:val="center"/>
          </w:tcPr>
          <w:p w14:paraId="382D428F">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6A4EB964">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60CCA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44CCE049">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15min</w:t>
            </w:r>
          </w:p>
        </w:tc>
        <w:tc>
          <w:tcPr>
            <w:tcW w:w="1500" w:type="dxa"/>
            <w:shd w:val="clear" w:color="auto" w:fill="auto"/>
            <w:noWrap/>
            <w:vAlign w:val="center"/>
          </w:tcPr>
          <w:p w14:paraId="37F14DFF">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77185C1F">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262083C0">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3.04E-13</w:t>
            </w:r>
          </w:p>
        </w:tc>
        <w:tc>
          <w:tcPr>
            <w:tcW w:w="1560" w:type="dxa"/>
            <w:shd w:val="clear" w:color="auto" w:fill="auto"/>
            <w:noWrap/>
            <w:vAlign w:val="center"/>
          </w:tcPr>
          <w:p w14:paraId="0F6E5901">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2.13E-09</w:t>
            </w:r>
          </w:p>
        </w:tc>
        <w:tc>
          <w:tcPr>
            <w:tcW w:w="1560" w:type="dxa"/>
            <w:shd w:val="clear" w:color="auto" w:fill="auto"/>
            <w:noWrap/>
            <w:vAlign w:val="center"/>
          </w:tcPr>
          <w:p w14:paraId="32F97A62">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5.78E-14</w:t>
            </w:r>
          </w:p>
        </w:tc>
      </w:tr>
      <w:tr w14:paraId="70868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5FF13682">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20min</w:t>
            </w:r>
          </w:p>
        </w:tc>
        <w:tc>
          <w:tcPr>
            <w:tcW w:w="1500" w:type="dxa"/>
            <w:shd w:val="clear" w:color="auto" w:fill="auto"/>
            <w:noWrap/>
            <w:vAlign w:val="center"/>
          </w:tcPr>
          <w:p w14:paraId="404909F6">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65D76A71">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3E2CAD29">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2.24E-13</w:t>
            </w:r>
          </w:p>
        </w:tc>
        <w:tc>
          <w:tcPr>
            <w:tcW w:w="1560" w:type="dxa"/>
            <w:shd w:val="clear" w:color="auto" w:fill="auto"/>
            <w:noWrap/>
            <w:vAlign w:val="center"/>
          </w:tcPr>
          <w:p w14:paraId="04E2E46A">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9.36E-09</w:t>
            </w:r>
          </w:p>
        </w:tc>
        <w:tc>
          <w:tcPr>
            <w:tcW w:w="1560" w:type="dxa"/>
            <w:shd w:val="clear" w:color="auto" w:fill="auto"/>
            <w:noWrap/>
            <w:vAlign w:val="center"/>
          </w:tcPr>
          <w:p w14:paraId="68C465E7">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3.28E-13</w:t>
            </w:r>
          </w:p>
        </w:tc>
      </w:tr>
      <w:tr w14:paraId="32C63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758ED318">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25min</w:t>
            </w:r>
          </w:p>
        </w:tc>
        <w:tc>
          <w:tcPr>
            <w:tcW w:w="1500" w:type="dxa"/>
            <w:shd w:val="clear" w:color="auto" w:fill="auto"/>
            <w:noWrap/>
            <w:vAlign w:val="center"/>
          </w:tcPr>
          <w:p w14:paraId="432AAAD4">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0376E949">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61E0DA5D">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2.75E-14</w:t>
            </w:r>
          </w:p>
        </w:tc>
        <w:tc>
          <w:tcPr>
            <w:tcW w:w="1560" w:type="dxa"/>
            <w:shd w:val="clear" w:color="auto" w:fill="auto"/>
            <w:noWrap/>
            <w:vAlign w:val="center"/>
          </w:tcPr>
          <w:p w14:paraId="3DB1DA6E">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1.87E-08</w:t>
            </w:r>
          </w:p>
        </w:tc>
        <w:tc>
          <w:tcPr>
            <w:tcW w:w="1560" w:type="dxa"/>
            <w:shd w:val="clear" w:color="auto" w:fill="auto"/>
            <w:noWrap/>
            <w:vAlign w:val="center"/>
          </w:tcPr>
          <w:p w14:paraId="03B6DCAC">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1.07E-12</w:t>
            </w:r>
          </w:p>
        </w:tc>
      </w:tr>
      <w:tr w14:paraId="793F9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5DFD0D4C">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30min</w:t>
            </w:r>
          </w:p>
        </w:tc>
        <w:tc>
          <w:tcPr>
            <w:tcW w:w="1500" w:type="dxa"/>
            <w:shd w:val="clear" w:color="auto" w:fill="auto"/>
            <w:noWrap/>
            <w:vAlign w:val="center"/>
          </w:tcPr>
          <w:p w14:paraId="65AD05A2">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5E1B9E5C">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52D9D6C0">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1.84E-16</w:t>
            </w:r>
          </w:p>
        </w:tc>
        <w:tc>
          <w:tcPr>
            <w:tcW w:w="1560" w:type="dxa"/>
            <w:shd w:val="clear" w:color="auto" w:fill="auto"/>
            <w:noWrap/>
            <w:vAlign w:val="center"/>
          </w:tcPr>
          <w:p w14:paraId="0A1F6179">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1.82E-08</w:t>
            </w:r>
          </w:p>
        </w:tc>
        <w:tc>
          <w:tcPr>
            <w:tcW w:w="1560" w:type="dxa"/>
            <w:shd w:val="clear" w:color="auto" w:fill="auto"/>
            <w:noWrap/>
            <w:vAlign w:val="center"/>
          </w:tcPr>
          <w:p w14:paraId="6293F57D">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2.06E-12</w:t>
            </w:r>
          </w:p>
        </w:tc>
      </w:tr>
      <w:tr w14:paraId="38CFA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42402C3A">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35min</w:t>
            </w:r>
          </w:p>
        </w:tc>
        <w:tc>
          <w:tcPr>
            <w:tcW w:w="1500" w:type="dxa"/>
            <w:shd w:val="clear" w:color="auto" w:fill="auto"/>
            <w:noWrap/>
            <w:vAlign w:val="center"/>
          </w:tcPr>
          <w:p w14:paraId="60AB9981">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0729BAE6">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190FACCB">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1F2FE686">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8.51E-09</w:t>
            </w:r>
          </w:p>
        </w:tc>
        <w:tc>
          <w:tcPr>
            <w:tcW w:w="1560" w:type="dxa"/>
            <w:shd w:val="clear" w:color="auto" w:fill="auto"/>
            <w:noWrap/>
            <w:vAlign w:val="center"/>
          </w:tcPr>
          <w:p w14:paraId="1093F04C">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2.37E-12</w:t>
            </w:r>
          </w:p>
        </w:tc>
      </w:tr>
      <w:tr w14:paraId="11D26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09DFF48F">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40min</w:t>
            </w:r>
          </w:p>
        </w:tc>
        <w:tc>
          <w:tcPr>
            <w:tcW w:w="1500" w:type="dxa"/>
            <w:shd w:val="clear" w:color="auto" w:fill="auto"/>
            <w:noWrap/>
            <w:vAlign w:val="center"/>
          </w:tcPr>
          <w:p w14:paraId="0A8384D8">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217FADDD">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44D8FE01">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3CC4D30C">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1.81E-09</w:t>
            </w:r>
          </w:p>
        </w:tc>
        <w:tc>
          <w:tcPr>
            <w:tcW w:w="1560" w:type="dxa"/>
            <w:shd w:val="clear" w:color="auto" w:fill="auto"/>
            <w:noWrap/>
            <w:vAlign w:val="center"/>
          </w:tcPr>
          <w:p w14:paraId="6E66A67A">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1.64E-12</w:t>
            </w:r>
          </w:p>
        </w:tc>
      </w:tr>
      <w:tr w14:paraId="6BF9C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05AD9CAC">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45min</w:t>
            </w:r>
          </w:p>
        </w:tc>
        <w:tc>
          <w:tcPr>
            <w:tcW w:w="1500" w:type="dxa"/>
            <w:shd w:val="clear" w:color="auto" w:fill="auto"/>
            <w:noWrap/>
            <w:vAlign w:val="center"/>
          </w:tcPr>
          <w:p w14:paraId="0BD65E84">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7EA1D3C3">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0774A980">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33D918A6">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1.66E-10</w:t>
            </w:r>
          </w:p>
        </w:tc>
        <w:tc>
          <w:tcPr>
            <w:tcW w:w="1560" w:type="dxa"/>
            <w:shd w:val="clear" w:color="auto" w:fill="auto"/>
            <w:noWrap/>
            <w:vAlign w:val="center"/>
          </w:tcPr>
          <w:p w14:paraId="5FEEC932">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6.76E-13</w:t>
            </w:r>
          </w:p>
        </w:tc>
      </w:tr>
      <w:tr w14:paraId="6D822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2F6A7487">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50min</w:t>
            </w:r>
          </w:p>
        </w:tc>
        <w:tc>
          <w:tcPr>
            <w:tcW w:w="1500" w:type="dxa"/>
            <w:shd w:val="clear" w:color="auto" w:fill="auto"/>
            <w:noWrap/>
            <w:vAlign w:val="center"/>
          </w:tcPr>
          <w:p w14:paraId="27E891EB">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7CE01403">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278F7EC4">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49D2622C">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5.12E-12</w:t>
            </w:r>
          </w:p>
        </w:tc>
        <w:tc>
          <w:tcPr>
            <w:tcW w:w="1560" w:type="dxa"/>
            <w:shd w:val="clear" w:color="auto" w:fill="auto"/>
            <w:noWrap/>
            <w:vAlign w:val="center"/>
          </w:tcPr>
          <w:p w14:paraId="3C1E33FC">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1.62E-13</w:t>
            </w:r>
          </w:p>
        </w:tc>
      </w:tr>
      <w:tr w14:paraId="17D7D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288CDAC4">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55min</w:t>
            </w:r>
          </w:p>
        </w:tc>
        <w:tc>
          <w:tcPr>
            <w:tcW w:w="1500" w:type="dxa"/>
            <w:shd w:val="clear" w:color="auto" w:fill="auto"/>
            <w:noWrap/>
            <w:vAlign w:val="center"/>
          </w:tcPr>
          <w:p w14:paraId="30863414">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37F50FFF">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7DC58898">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6A5C9029">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319EFF18">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2.28E-14</w:t>
            </w:r>
          </w:p>
        </w:tc>
      </w:tr>
      <w:tr w14:paraId="6F642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3182518B">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60min</w:t>
            </w:r>
          </w:p>
        </w:tc>
        <w:tc>
          <w:tcPr>
            <w:tcW w:w="1500" w:type="dxa"/>
            <w:shd w:val="clear" w:color="auto" w:fill="auto"/>
            <w:noWrap/>
            <w:vAlign w:val="center"/>
          </w:tcPr>
          <w:p w14:paraId="6BF35C99">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68503CF1">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74675530">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0B01BA04">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0F88AC50">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1.64E-15</w:t>
            </w:r>
          </w:p>
        </w:tc>
      </w:tr>
      <w:tr w14:paraId="13C03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6930F59F">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65min</w:t>
            </w:r>
          </w:p>
        </w:tc>
        <w:tc>
          <w:tcPr>
            <w:tcW w:w="835" w:type="pct"/>
            <w:shd w:val="clear" w:color="auto" w:fill="auto"/>
            <w:noWrap/>
            <w:vAlign w:val="center"/>
          </w:tcPr>
          <w:p w14:paraId="59C7B91B">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515E6FC1">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5652FEE5">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53B478CB">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4B461E1F">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082EF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0A1EE80D">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70min</w:t>
            </w:r>
          </w:p>
        </w:tc>
        <w:tc>
          <w:tcPr>
            <w:tcW w:w="835" w:type="pct"/>
            <w:shd w:val="clear" w:color="auto" w:fill="auto"/>
            <w:noWrap/>
            <w:vAlign w:val="center"/>
          </w:tcPr>
          <w:p w14:paraId="4D298030">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008F105D">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73EBA54F">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1883BBD8">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0B9A72D9">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4C393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56009988">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75min</w:t>
            </w:r>
          </w:p>
        </w:tc>
        <w:tc>
          <w:tcPr>
            <w:tcW w:w="835" w:type="pct"/>
            <w:shd w:val="clear" w:color="auto" w:fill="auto"/>
            <w:noWrap/>
            <w:vAlign w:val="center"/>
          </w:tcPr>
          <w:p w14:paraId="0F40646E">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354DA11E">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1F981A9F">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45286590">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11BDDFED">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72873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17070F4C">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80min</w:t>
            </w:r>
          </w:p>
        </w:tc>
        <w:tc>
          <w:tcPr>
            <w:tcW w:w="835" w:type="pct"/>
            <w:shd w:val="clear" w:color="auto" w:fill="auto"/>
            <w:noWrap/>
            <w:vAlign w:val="center"/>
          </w:tcPr>
          <w:p w14:paraId="757B9A91">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3DACDF3D">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2FB91B96">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2D5BE6B5">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3C139322">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34A80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46F4EDAF">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85min</w:t>
            </w:r>
          </w:p>
        </w:tc>
        <w:tc>
          <w:tcPr>
            <w:tcW w:w="835" w:type="pct"/>
            <w:shd w:val="clear" w:color="auto" w:fill="auto"/>
            <w:noWrap/>
            <w:vAlign w:val="center"/>
          </w:tcPr>
          <w:p w14:paraId="77272623">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4C1C25DF">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60192CB5">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6EFD4AD2">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1E7F6E6B">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4ECDC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41E1C9EE">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90min</w:t>
            </w:r>
          </w:p>
        </w:tc>
        <w:tc>
          <w:tcPr>
            <w:tcW w:w="835" w:type="pct"/>
            <w:shd w:val="clear" w:color="auto" w:fill="auto"/>
            <w:noWrap/>
            <w:vAlign w:val="center"/>
          </w:tcPr>
          <w:p w14:paraId="27ABEC5C">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2AFFF05C">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267564FC">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4E978F5C">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12BF754B">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79D20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13177B46">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95min</w:t>
            </w:r>
          </w:p>
        </w:tc>
        <w:tc>
          <w:tcPr>
            <w:tcW w:w="835" w:type="pct"/>
            <w:shd w:val="clear" w:color="auto" w:fill="auto"/>
            <w:noWrap/>
            <w:vAlign w:val="center"/>
          </w:tcPr>
          <w:p w14:paraId="142EBB85">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02439252">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5FE49CC1">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7E650B5C">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5096855A">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38DC2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06732B6D">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100min</w:t>
            </w:r>
          </w:p>
        </w:tc>
        <w:tc>
          <w:tcPr>
            <w:tcW w:w="835" w:type="pct"/>
            <w:shd w:val="clear" w:color="auto" w:fill="auto"/>
            <w:noWrap/>
            <w:vAlign w:val="center"/>
          </w:tcPr>
          <w:p w14:paraId="45ACE2EF">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71FC8676">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5B1AB6D7">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60E3CB5D">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1539BFE4">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73C7B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76A972DF">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105min</w:t>
            </w:r>
          </w:p>
        </w:tc>
        <w:tc>
          <w:tcPr>
            <w:tcW w:w="835" w:type="pct"/>
            <w:shd w:val="clear" w:color="auto" w:fill="auto"/>
            <w:noWrap/>
            <w:vAlign w:val="center"/>
          </w:tcPr>
          <w:p w14:paraId="28B25D5C">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46FC3D80">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244A8215">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1CAF2D36">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2125BD65">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67260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2EF0D739">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110min</w:t>
            </w:r>
          </w:p>
        </w:tc>
        <w:tc>
          <w:tcPr>
            <w:tcW w:w="835" w:type="pct"/>
            <w:shd w:val="clear" w:color="auto" w:fill="auto"/>
            <w:noWrap/>
            <w:vAlign w:val="center"/>
          </w:tcPr>
          <w:p w14:paraId="519CFD14">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5BC0A0B4">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13E6A07B">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256162D2">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105506AD">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53982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244A1578">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115min</w:t>
            </w:r>
          </w:p>
        </w:tc>
        <w:tc>
          <w:tcPr>
            <w:tcW w:w="835" w:type="pct"/>
            <w:shd w:val="clear" w:color="auto" w:fill="auto"/>
            <w:noWrap/>
            <w:vAlign w:val="center"/>
          </w:tcPr>
          <w:p w14:paraId="6F6CE544">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13598E63">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0C9C370D">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6CAE7EC7">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26078F27">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08D93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58B77AE5">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120min</w:t>
            </w:r>
          </w:p>
        </w:tc>
        <w:tc>
          <w:tcPr>
            <w:tcW w:w="835" w:type="pct"/>
            <w:shd w:val="clear" w:color="auto" w:fill="auto"/>
            <w:noWrap/>
            <w:vAlign w:val="center"/>
          </w:tcPr>
          <w:p w14:paraId="142003CF">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55A8490F">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7578C441">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045AFDC6">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248078B2">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76C74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3CBF4F69">
            <w:pPr>
              <w:widowControl/>
              <w:jc w:val="center"/>
              <w:rPr>
                <w:rFonts w:hint="default" w:ascii="Times New Roman" w:hAnsi="Times New Roman" w:eastAsia="宋体" w:cs="Times New Roman"/>
                <w:color w:val="auto"/>
                <w:kern w:val="0"/>
                <w:sz w:val="15"/>
                <w:szCs w:val="15"/>
              </w:rPr>
            </w:pPr>
            <w:r>
              <w:rPr>
                <w:rFonts w:hint="default" w:ascii="Times New Roman" w:hAnsi="Times New Roman" w:eastAsia="宋体" w:cs="Times New Roman"/>
                <w:color w:val="auto"/>
                <w:kern w:val="0"/>
                <w:sz w:val="15"/>
                <w:szCs w:val="15"/>
              </w:rPr>
              <w:t>超出时间min</w:t>
            </w:r>
          </w:p>
        </w:tc>
        <w:tc>
          <w:tcPr>
            <w:tcW w:w="835" w:type="pct"/>
            <w:shd w:val="clear" w:color="auto" w:fill="auto"/>
            <w:noWrap/>
            <w:vAlign w:val="center"/>
          </w:tcPr>
          <w:p w14:paraId="3BC17492">
            <w:pPr>
              <w:widowControl/>
              <w:jc w:val="center"/>
              <w:rPr>
                <w:rFonts w:hint="default" w:ascii="Times New Roman" w:hAnsi="Times New Roman" w:eastAsia="宋体" w:cs="Times New Roman"/>
                <w:color w:val="auto"/>
                <w:kern w:val="0"/>
                <w:sz w:val="15"/>
                <w:szCs w:val="15"/>
              </w:rPr>
            </w:pPr>
            <w:r>
              <w:rPr>
                <w:rFonts w:hint="default" w:ascii="Times New Roman" w:hAnsi="Times New Roman" w:eastAsia="宋体" w:cs="Times New Roman"/>
                <w:color w:val="auto"/>
                <w:kern w:val="0"/>
                <w:sz w:val="15"/>
                <w:szCs w:val="15"/>
              </w:rPr>
              <w:t>未出现</w:t>
            </w:r>
          </w:p>
        </w:tc>
        <w:tc>
          <w:tcPr>
            <w:tcW w:w="848" w:type="pct"/>
            <w:shd w:val="clear" w:color="auto" w:fill="auto"/>
            <w:noWrap/>
            <w:vAlign w:val="center"/>
          </w:tcPr>
          <w:p w14:paraId="7CBF2E06">
            <w:pPr>
              <w:widowControl/>
              <w:jc w:val="center"/>
              <w:rPr>
                <w:rFonts w:hint="default" w:ascii="Times New Roman" w:hAnsi="Times New Roman" w:eastAsia="宋体" w:cs="Times New Roman"/>
                <w:color w:val="auto"/>
                <w:kern w:val="0"/>
                <w:sz w:val="15"/>
                <w:szCs w:val="15"/>
              </w:rPr>
            </w:pPr>
            <w:r>
              <w:rPr>
                <w:rFonts w:hint="default" w:ascii="Times New Roman" w:hAnsi="Times New Roman" w:eastAsia="宋体" w:cs="Times New Roman"/>
                <w:color w:val="auto"/>
                <w:kern w:val="0"/>
                <w:sz w:val="15"/>
                <w:szCs w:val="15"/>
              </w:rPr>
              <w:t>未出现</w:t>
            </w:r>
          </w:p>
        </w:tc>
        <w:tc>
          <w:tcPr>
            <w:tcW w:w="867" w:type="pct"/>
            <w:shd w:val="clear" w:color="auto" w:fill="auto"/>
            <w:noWrap/>
            <w:vAlign w:val="center"/>
          </w:tcPr>
          <w:p w14:paraId="3531FED6">
            <w:pPr>
              <w:widowControl/>
              <w:jc w:val="center"/>
              <w:rPr>
                <w:rFonts w:hint="default" w:ascii="Times New Roman" w:hAnsi="Times New Roman" w:eastAsia="宋体" w:cs="Times New Roman"/>
                <w:color w:val="auto"/>
                <w:kern w:val="0"/>
                <w:sz w:val="15"/>
                <w:szCs w:val="15"/>
              </w:rPr>
            </w:pPr>
            <w:r>
              <w:rPr>
                <w:rFonts w:hint="default" w:ascii="Times New Roman" w:hAnsi="Times New Roman" w:eastAsia="宋体" w:cs="Times New Roman"/>
                <w:color w:val="auto"/>
                <w:kern w:val="0"/>
                <w:sz w:val="15"/>
                <w:szCs w:val="15"/>
              </w:rPr>
              <w:t>未出现</w:t>
            </w:r>
          </w:p>
        </w:tc>
        <w:tc>
          <w:tcPr>
            <w:tcW w:w="867" w:type="pct"/>
            <w:shd w:val="clear" w:color="auto" w:fill="auto"/>
            <w:noWrap/>
            <w:vAlign w:val="center"/>
          </w:tcPr>
          <w:p w14:paraId="613919D3">
            <w:pPr>
              <w:widowControl/>
              <w:jc w:val="center"/>
              <w:rPr>
                <w:rFonts w:hint="default" w:ascii="Times New Roman" w:hAnsi="Times New Roman" w:eastAsia="宋体" w:cs="Times New Roman"/>
                <w:color w:val="auto"/>
                <w:kern w:val="0"/>
                <w:sz w:val="15"/>
                <w:szCs w:val="15"/>
              </w:rPr>
            </w:pPr>
            <w:r>
              <w:rPr>
                <w:rFonts w:hint="default" w:ascii="Times New Roman" w:hAnsi="Times New Roman" w:eastAsia="宋体" w:cs="Times New Roman"/>
                <w:color w:val="auto"/>
                <w:kern w:val="0"/>
                <w:sz w:val="15"/>
                <w:szCs w:val="15"/>
              </w:rPr>
              <w:t>未出现</w:t>
            </w:r>
          </w:p>
        </w:tc>
        <w:tc>
          <w:tcPr>
            <w:tcW w:w="867" w:type="pct"/>
            <w:shd w:val="clear" w:color="auto" w:fill="auto"/>
            <w:noWrap/>
            <w:vAlign w:val="center"/>
          </w:tcPr>
          <w:p w14:paraId="08FA0DF3">
            <w:pPr>
              <w:widowControl/>
              <w:jc w:val="center"/>
              <w:rPr>
                <w:rFonts w:hint="default" w:ascii="Times New Roman" w:hAnsi="Times New Roman" w:eastAsia="宋体" w:cs="Times New Roman"/>
                <w:color w:val="auto"/>
                <w:kern w:val="0"/>
                <w:sz w:val="15"/>
                <w:szCs w:val="15"/>
              </w:rPr>
            </w:pPr>
            <w:r>
              <w:rPr>
                <w:rFonts w:hint="default" w:ascii="Times New Roman" w:hAnsi="Times New Roman" w:eastAsia="宋体" w:cs="Times New Roman"/>
                <w:color w:val="auto"/>
                <w:kern w:val="0"/>
                <w:sz w:val="15"/>
                <w:szCs w:val="15"/>
              </w:rPr>
              <w:t>未出现</w:t>
            </w:r>
          </w:p>
        </w:tc>
      </w:tr>
    </w:tbl>
    <w:p w14:paraId="09512B61">
      <w:pPr>
        <w:pStyle w:val="80"/>
        <w:ind w:left="0" w:leftChars="0" w:firstLine="360"/>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单位：mg/m</w:t>
      </w:r>
      <w:r>
        <w:rPr>
          <w:rFonts w:hint="default" w:ascii="Times New Roman" w:hAnsi="Times New Roman" w:eastAsia="宋体" w:cs="Times New Roman"/>
          <w:color w:val="auto"/>
          <w:sz w:val="18"/>
          <w:szCs w:val="18"/>
          <w:vertAlign w:val="superscript"/>
        </w:rPr>
        <w:t>3</w:t>
      </w:r>
    </w:p>
    <w:p w14:paraId="4130BF57">
      <w:pPr>
        <w:pStyle w:val="80"/>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jc w:val="both"/>
        <w:textAlignment w:val="auto"/>
        <w:rPr>
          <w:rFonts w:hint="default" w:ascii="Times New Roman" w:hAnsi="Times New Roman" w:cs="Times New Roman"/>
          <w:b w:val="0"/>
          <w:bCs w:val="0"/>
          <w:color w:val="auto"/>
          <w:kern w:val="0"/>
          <w:sz w:val="24"/>
          <w:szCs w:val="24"/>
          <w:highlight w:val="none"/>
          <w:lang w:val="en-US" w:eastAsia="zh-CN" w:bidi="ar"/>
        </w:rPr>
      </w:pPr>
      <w:r>
        <w:rPr>
          <w:rFonts w:hint="default" w:ascii="Times New Roman" w:hAnsi="Times New Roman" w:eastAsia="宋体" w:cs="Times New Roman"/>
          <w:b w:val="0"/>
          <w:bCs w:val="0"/>
          <w:color w:val="auto"/>
          <w:kern w:val="0"/>
          <w:sz w:val="24"/>
          <w:szCs w:val="24"/>
          <w:highlight w:val="none"/>
          <w:lang w:val="en-US" w:eastAsia="zh-CN" w:bidi="ar"/>
        </w:rPr>
        <w:t>在最不利气象条件下，发生氨气泄漏事故，敏感点未达到毒性终点浓度-1（阈值</w:t>
      </w:r>
      <w:r>
        <w:rPr>
          <w:rFonts w:hint="default" w:ascii="Times New Roman" w:hAnsi="Times New Roman" w:cs="Times New Roman"/>
          <w:b w:val="0"/>
          <w:bCs w:val="0"/>
          <w:color w:val="auto"/>
          <w:kern w:val="0"/>
          <w:sz w:val="24"/>
          <w:szCs w:val="24"/>
          <w:highlight w:val="none"/>
          <w:lang w:val="en-US" w:eastAsia="zh-CN" w:bidi="ar"/>
        </w:rPr>
        <w:t>770</w:t>
      </w:r>
      <w:r>
        <w:rPr>
          <w:rFonts w:hint="default" w:ascii="Times New Roman" w:hAnsi="Times New Roman" w:eastAsia="宋体" w:cs="Times New Roman"/>
          <w:b w:val="0"/>
          <w:bCs w:val="0"/>
          <w:color w:val="auto"/>
          <w:kern w:val="0"/>
          <w:sz w:val="24"/>
          <w:szCs w:val="24"/>
          <w:highlight w:val="none"/>
          <w:lang w:val="en-US" w:eastAsia="zh-CN" w:bidi="ar"/>
        </w:rPr>
        <w:t>mg/m</w:t>
      </w:r>
      <w:r>
        <w:rPr>
          <w:rFonts w:hint="default" w:ascii="Times New Roman" w:hAnsi="Times New Roman" w:eastAsia="宋体" w:cs="Times New Roman"/>
          <w:b w:val="0"/>
          <w:bCs w:val="0"/>
          <w:color w:val="auto"/>
          <w:kern w:val="0"/>
          <w:sz w:val="24"/>
          <w:szCs w:val="24"/>
          <w:highlight w:val="none"/>
          <w:vertAlign w:val="superscript"/>
          <w:lang w:val="en-US" w:eastAsia="zh-CN" w:bidi="ar"/>
        </w:rPr>
        <w:t>3</w:t>
      </w:r>
      <w:r>
        <w:rPr>
          <w:rFonts w:hint="default" w:ascii="Times New Roman" w:hAnsi="Times New Roman" w:eastAsia="宋体" w:cs="Times New Roman"/>
          <w:b w:val="0"/>
          <w:bCs w:val="0"/>
          <w:color w:val="auto"/>
          <w:kern w:val="0"/>
          <w:sz w:val="24"/>
          <w:szCs w:val="24"/>
          <w:highlight w:val="none"/>
          <w:lang w:val="en-US" w:eastAsia="zh-CN" w:bidi="ar"/>
        </w:rPr>
        <w:t>）和毒性终点浓度-2（阈值</w:t>
      </w:r>
      <w:r>
        <w:rPr>
          <w:rFonts w:hint="default" w:ascii="Times New Roman" w:hAnsi="Times New Roman" w:cs="Times New Roman"/>
          <w:b w:val="0"/>
          <w:bCs w:val="0"/>
          <w:color w:val="auto"/>
          <w:kern w:val="0"/>
          <w:sz w:val="24"/>
          <w:szCs w:val="24"/>
          <w:highlight w:val="none"/>
          <w:lang w:val="en-US" w:eastAsia="zh-CN" w:bidi="ar"/>
        </w:rPr>
        <w:t>79</w:t>
      </w:r>
      <w:r>
        <w:rPr>
          <w:rFonts w:hint="default" w:ascii="Times New Roman" w:hAnsi="Times New Roman" w:eastAsia="宋体" w:cs="Times New Roman"/>
          <w:b w:val="0"/>
          <w:bCs w:val="0"/>
          <w:color w:val="auto"/>
          <w:kern w:val="0"/>
          <w:sz w:val="24"/>
          <w:szCs w:val="24"/>
          <w:highlight w:val="none"/>
          <w:lang w:val="en-US" w:eastAsia="zh-CN" w:bidi="ar"/>
        </w:rPr>
        <w:t>mg/m</w:t>
      </w:r>
      <w:r>
        <w:rPr>
          <w:rFonts w:hint="default" w:ascii="Times New Roman" w:hAnsi="Times New Roman" w:eastAsia="宋体" w:cs="Times New Roman"/>
          <w:b w:val="0"/>
          <w:bCs w:val="0"/>
          <w:color w:val="auto"/>
          <w:kern w:val="0"/>
          <w:sz w:val="24"/>
          <w:szCs w:val="24"/>
          <w:highlight w:val="none"/>
          <w:vertAlign w:val="superscript"/>
          <w:lang w:val="en-US" w:eastAsia="zh-CN" w:bidi="ar"/>
        </w:rPr>
        <w:t>3</w:t>
      </w:r>
      <w:r>
        <w:rPr>
          <w:rFonts w:hint="default" w:ascii="Times New Roman" w:hAnsi="Times New Roman" w:eastAsia="宋体" w:cs="Times New Roman"/>
          <w:b w:val="0"/>
          <w:bCs w:val="0"/>
          <w:color w:val="auto"/>
          <w:kern w:val="0"/>
          <w:sz w:val="24"/>
          <w:szCs w:val="24"/>
          <w:highlight w:val="none"/>
          <w:lang w:val="en-US" w:eastAsia="zh-CN" w:bidi="ar"/>
        </w:rPr>
        <w:t>），对周边人群及企业影响不大</w:t>
      </w:r>
      <w:r>
        <w:rPr>
          <w:rFonts w:hint="default" w:ascii="Times New Roman" w:hAnsi="Times New Roman" w:cs="Times New Roman"/>
          <w:b w:val="0"/>
          <w:bCs w:val="0"/>
          <w:color w:val="auto"/>
          <w:kern w:val="0"/>
          <w:sz w:val="24"/>
          <w:szCs w:val="24"/>
          <w:highlight w:val="none"/>
          <w:lang w:val="en-US" w:eastAsia="zh-CN" w:bidi="ar"/>
        </w:rPr>
        <w:t>。</w:t>
      </w:r>
    </w:p>
    <w:p w14:paraId="6B47ABD7">
      <w:pPr>
        <w:spacing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cs="Times New Roman"/>
          <w:color w:val="auto"/>
          <w:kern w:val="0"/>
          <w:sz w:val="24"/>
          <w:lang w:val="en-US" w:eastAsia="zh-CN"/>
        </w:rPr>
        <w:t>2</w:t>
      </w:r>
      <w:r>
        <w:rPr>
          <w:rFonts w:hint="default" w:ascii="Times New Roman" w:hAnsi="Times New Roman" w:eastAsia="宋体" w:cs="Times New Roman"/>
          <w:color w:val="auto"/>
          <w:kern w:val="0"/>
          <w:sz w:val="24"/>
        </w:rPr>
        <w:t>、</w:t>
      </w:r>
      <w:r>
        <w:rPr>
          <w:rFonts w:hint="default" w:ascii="Times New Roman" w:hAnsi="Times New Roman" w:cs="Times New Roman"/>
          <w:color w:val="auto"/>
          <w:kern w:val="0"/>
          <w:sz w:val="24"/>
          <w:lang w:val="en-US" w:eastAsia="zh-CN"/>
        </w:rPr>
        <w:t>SO</w:t>
      </w:r>
      <w:r>
        <w:rPr>
          <w:rFonts w:hint="default" w:ascii="Times New Roman" w:hAnsi="Times New Roman" w:cs="Times New Roman"/>
          <w:color w:val="auto"/>
          <w:kern w:val="0"/>
          <w:sz w:val="24"/>
          <w:vertAlign w:val="subscript"/>
          <w:lang w:val="en-US" w:eastAsia="zh-CN"/>
        </w:rPr>
        <w:t>2</w:t>
      </w:r>
      <w:r>
        <w:rPr>
          <w:rFonts w:hint="default" w:ascii="Times New Roman" w:hAnsi="Times New Roman" w:eastAsia="宋体" w:cs="Times New Roman"/>
          <w:color w:val="auto"/>
          <w:kern w:val="0"/>
          <w:sz w:val="24"/>
        </w:rPr>
        <w:t>泄漏风险</w:t>
      </w:r>
    </w:p>
    <w:p w14:paraId="3CB46002">
      <w:pPr>
        <w:spacing w:line="360" w:lineRule="auto"/>
        <w:ind w:firstLine="480" w:firstLineChars="200"/>
        <w:jc w:val="left"/>
        <w:rPr>
          <w:rFonts w:hint="default" w:ascii="Times New Roman" w:hAnsi="Times New Roman" w:eastAsia="宋体" w:cs="Times New Roman"/>
          <w:color w:val="auto"/>
          <w:kern w:val="0"/>
          <w:sz w:val="24"/>
          <w:lang w:val="en-US" w:eastAsia="zh-CN"/>
        </w:rPr>
      </w:pPr>
      <w:r>
        <w:rPr>
          <w:rFonts w:hint="default" w:ascii="Times New Roman" w:hAnsi="Times New Roman" w:eastAsia="宋体" w:cs="Times New Roman"/>
          <w:color w:val="auto"/>
          <w:kern w:val="0"/>
          <w:sz w:val="24"/>
        </w:rPr>
        <w:t>（1）一般点情况</w:t>
      </w:r>
    </w:p>
    <w:p w14:paraId="0CD4BAC9">
      <w:pPr>
        <w:spacing w:line="360" w:lineRule="auto"/>
        <w:ind w:firstLine="480" w:firstLineChars="200"/>
        <w:jc w:val="lef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根据前文事故源强及导则推荐的</w:t>
      </w:r>
      <w:r>
        <w:rPr>
          <w:rFonts w:hint="default" w:ascii="Times New Roman" w:hAnsi="Times New Roman" w:cs="Times New Roman"/>
          <w:color w:val="auto"/>
          <w:kern w:val="0"/>
          <w:sz w:val="24"/>
          <w:lang w:val="en-US" w:eastAsia="zh-CN"/>
        </w:rPr>
        <w:t>SLAB</w:t>
      </w:r>
      <w:r>
        <w:rPr>
          <w:rFonts w:hint="default" w:ascii="Times New Roman" w:hAnsi="Times New Roman" w:eastAsia="宋体" w:cs="Times New Roman"/>
          <w:color w:val="auto"/>
          <w:kern w:val="0"/>
          <w:sz w:val="24"/>
        </w:rPr>
        <w:t>模型，计算最不利气象条件下</w:t>
      </w:r>
      <w:r>
        <w:rPr>
          <w:rFonts w:hint="default" w:ascii="Times New Roman" w:hAnsi="Times New Roman" w:cs="Times New Roman"/>
          <w:color w:val="auto"/>
          <w:kern w:val="0"/>
          <w:sz w:val="24"/>
          <w:lang w:val="en-US" w:eastAsia="zh-CN"/>
        </w:rPr>
        <w:t>SO</w:t>
      </w:r>
      <w:r>
        <w:rPr>
          <w:rFonts w:hint="default" w:ascii="Times New Roman" w:hAnsi="Times New Roman" w:cs="Times New Roman"/>
          <w:color w:val="auto"/>
          <w:kern w:val="0"/>
          <w:sz w:val="24"/>
          <w:vertAlign w:val="subscript"/>
          <w:lang w:val="en-US" w:eastAsia="zh-CN"/>
        </w:rPr>
        <w:t>2</w:t>
      </w:r>
      <w:r>
        <w:rPr>
          <w:rFonts w:hint="default" w:ascii="Times New Roman" w:hAnsi="Times New Roman" w:eastAsia="宋体" w:cs="Times New Roman"/>
          <w:color w:val="auto"/>
          <w:kern w:val="0"/>
          <w:sz w:val="24"/>
        </w:rPr>
        <w:t>泄漏事故一般计算点浓度，各距离下最大浓度见图</w:t>
      </w:r>
      <w:r>
        <w:rPr>
          <w:rFonts w:hint="default" w:ascii="Times New Roman" w:hAnsi="Times New Roman" w:eastAsia="宋体" w:cs="Times New Roman"/>
          <w:color w:val="auto"/>
          <w:kern w:val="0"/>
          <w:sz w:val="24"/>
          <w:lang w:eastAsia="zh-CN"/>
        </w:rPr>
        <w:t>6.</w:t>
      </w:r>
      <w:r>
        <w:rPr>
          <w:rFonts w:hint="default" w:ascii="Times New Roman" w:hAnsi="Times New Roman" w:cs="Times New Roman"/>
          <w:color w:val="auto"/>
          <w:kern w:val="0"/>
          <w:sz w:val="24"/>
          <w:lang w:val="en-US" w:eastAsia="zh-CN"/>
        </w:rPr>
        <w:t>3-2</w:t>
      </w:r>
      <w:r>
        <w:rPr>
          <w:rFonts w:hint="default" w:ascii="Times New Roman" w:hAnsi="Times New Roman" w:eastAsia="宋体" w:cs="Times New Roman"/>
          <w:color w:val="auto"/>
          <w:kern w:val="0"/>
          <w:sz w:val="24"/>
        </w:rPr>
        <w:t>；大气毒性终点浓度值影响区域见表</w:t>
      </w:r>
      <w:r>
        <w:rPr>
          <w:rFonts w:hint="default" w:ascii="Times New Roman" w:hAnsi="Times New Roman" w:eastAsia="宋体" w:cs="Times New Roman"/>
          <w:color w:val="auto"/>
          <w:kern w:val="0"/>
          <w:sz w:val="24"/>
          <w:lang w:eastAsia="zh-CN"/>
        </w:rPr>
        <w:t>6.1-</w:t>
      </w:r>
      <w:r>
        <w:rPr>
          <w:rFonts w:hint="default" w:ascii="Times New Roman" w:hAnsi="Times New Roman" w:cs="Times New Roman"/>
          <w:color w:val="auto"/>
          <w:kern w:val="0"/>
          <w:sz w:val="24"/>
          <w:lang w:val="en-US" w:eastAsia="zh-CN"/>
        </w:rPr>
        <w:t>7</w:t>
      </w:r>
      <w:r>
        <w:rPr>
          <w:rFonts w:hint="default" w:ascii="Times New Roman" w:hAnsi="Times New Roman" w:eastAsia="宋体" w:cs="Times New Roman"/>
          <w:color w:val="auto"/>
          <w:kern w:val="0"/>
          <w:sz w:val="24"/>
        </w:rPr>
        <w:t>。</w:t>
      </w:r>
    </w:p>
    <w:p w14:paraId="0365B978">
      <w:pPr>
        <w:pStyle w:val="80"/>
        <w:ind w:left="0" w:leftChars="0" w:firstLine="0" w:firstLineChars="0"/>
        <w:jc w:val="center"/>
        <w:rPr>
          <w:rFonts w:hint="default" w:ascii="Times New Roman" w:hAnsi="Times New Roman" w:eastAsia="宋体" w:cs="Times New Roman"/>
          <w:b/>
          <w:bCs/>
          <w:color w:val="auto"/>
          <w:sz w:val="24"/>
          <w:highlight w:val="none"/>
          <w:lang w:eastAsia="zh-CN"/>
        </w:rPr>
      </w:pPr>
      <w:r>
        <w:rPr>
          <w:rFonts w:ascii="Times New Roman" w:hAnsi="Times New Roman" w:cs="Times New Roman"/>
          <w:color w:val="auto"/>
        </w:rPr>
        <w:drawing>
          <wp:inline distT="0" distB="0" distL="114300" distR="114300">
            <wp:extent cx="5756910" cy="2969260"/>
            <wp:effectExtent l="0" t="0" r="15240" b="2540"/>
            <wp:docPr id="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
                    <pic:cNvPicPr>
                      <a:picLocks noChangeAspect="1"/>
                    </pic:cNvPicPr>
                  </pic:nvPicPr>
                  <pic:blipFill>
                    <a:blip r:embed="rId30"/>
                    <a:stretch>
                      <a:fillRect/>
                    </a:stretch>
                  </pic:blipFill>
                  <pic:spPr>
                    <a:xfrm>
                      <a:off x="0" y="0"/>
                      <a:ext cx="5756910" cy="2969260"/>
                    </a:xfrm>
                    <a:prstGeom prst="rect">
                      <a:avLst/>
                    </a:prstGeom>
                    <a:noFill/>
                    <a:ln>
                      <a:noFill/>
                    </a:ln>
                  </pic:spPr>
                </pic:pic>
              </a:graphicData>
            </a:graphic>
          </wp:inline>
        </w:drawing>
      </w:r>
    </w:p>
    <w:p w14:paraId="4841AAE1">
      <w:pPr>
        <w:pStyle w:val="80"/>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sz w:val="24"/>
          <w:highlight w:val="none"/>
        </w:rPr>
        <w:t>图</w:t>
      </w:r>
      <w:r>
        <w:rPr>
          <w:rFonts w:hint="default" w:ascii="Times New Roman" w:hAnsi="Times New Roman" w:eastAsia="宋体" w:cs="Times New Roman"/>
          <w:b/>
          <w:bCs/>
          <w:color w:val="auto"/>
          <w:sz w:val="24"/>
          <w:highlight w:val="none"/>
          <w:lang w:eastAsia="zh-CN"/>
        </w:rPr>
        <w:t>6.3-</w:t>
      </w:r>
      <w:r>
        <w:rPr>
          <w:rFonts w:hint="default" w:ascii="Times New Roman" w:hAnsi="Times New Roman"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最不利气象条件下</w:t>
      </w:r>
      <w:r>
        <w:rPr>
          <w:rFonts w:hint="default" w:ascii="Times New Roman" w:hAnsi="Times New Roman" w:cs="Times New Roman"/>
          <w:b/>
          <w:bCs/>
          <w:color w:val="auto"/>
          <w:kern w:val="0"/>
          <w:sz w:val="24"/>
          <w:lang w:val="en-US" w:eastAsia="zh-CN"/>
        </w:rPr>
        <w:t>SO</w:t>
      </w:r>
      <w:r>
        <w:rPr>
          <w:rFonts w:hint="default" w:ascii="Times New Roman" w:hAnsi="Times New Roman" w:cs="Times New Roman"/>
          <w:b/>
          <w:bCs/>
          <w:color w:val="auto"/>
          <w:kern w:val="0"/>
          <w:sz w:val="24"/>
          <w:vertAlign w:val="subscript"/>
          <w:lang w:val="en-US" w:eastAsia="zh-CN"/>
        </w:rPr>
        <w:t>2</w:t>
      </w:r>
      <w:r>
        <w:rPr>
          <w:rFonts w:hint="default" w:ascii="Times New Roman" w:hAnsi="Times New Roman" w:eastAsia="宋体" w:cs="Times New Roman"/>
          <w:b/>
          <w:bCs/>
          <w:color w:val="auto"/>
          <w:sz w:val="24"/>
          <w:highlight w:val="none"/>
        </w:rPr>
        <w:t>下风向不同距离最大浓度图</w:t>
      </w:r>
    </w:p>
    <w:p w14:paraId="60C5EEAF">
      <w:pPr>
        <w:pStyle w:val="80"/>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eastAsia="zh-CN"/>
        </w:rPr>
        <w:t>6.3-</w:t>
      </w:r>
      <w:r>
        <w:rPr>
          <w:rFonts w:hint="default" w:ascii="Times New Roman" w:hAnsi="Times New Roman" w:cs="Times New Roman"/>
          <w:b/>
          <w:bCs/>
          <w:color w:val="auto"/>
          <w:sz w:val="24"/>
          <w:highlight w:val="none"/>
          <w:lang w:val="en-US" w:eastAsia="zh-CN"/>
        </w:rPr>
        <w:t>7</w:t>
      </w:r>
      <w:r>
        <w:rPr>
          <w:rFonts w:hint="default" w:ascii="Times New Roman" w:hAnsi="Times New Roman" w:eastAsia="宋体" w:cs="Times New Roman"/>
          <w:b/>
          <w:bCs/>
          <w:color w:val="auto"/>
          <w:sz w:val="24"/>
          <w:highlight w:val="none"/>
        </w:rPr>
        <w:t xml:space="preserve"> </w:t>
      </w:r>
      <w:r>
        <w:rPr>
          <w:rFonts w:hint="default" w:ascii="Times New Roman" w:hAnsi="Times New Roman" w:cs="Times New Roman"/>
          <w:b/>
          <w:bCs/>
          <w:color w:val="auto"/>
          <w:kern w:val="0"/>
          <w:sz w:val="24"/>
          <w:lang w:val="en-US" w:eastAsia="zh-CN"/>
        </w:rPr>
        <w:t>SO</w:t>
      </w:r>
      <w:r>
        <w:rPr>
          <w:rFonts w:hint="default" w:ascii="Times New Roman" w:hAnsi="Times New Roman" w:cs="Times New Roman"/>
          <w:b/>
          <w:bCs/>
          <w:color w:val="auto"/>
          <w:kern w:val="0"/>
          <w:sz w:val="24"/>
          <w:vertAlign w:val="subscript"/>
          <w:lang w:val="en-US" w:eastAsia="zh-CN"/>
        </w:rPr>
        <w:t>2</w:t>
      </w:r>
      <w:r>
        <w:rPr>
          <w:rFonts w:hint="default" w:ascii="Times New Roman" w:hAnsi="Times New Roman" w:eastAsia="宋体" w:cs="Times New Roman"/>
          <w:b/>
          <w:bCs/>
          <w:color w:val="auto"/>
          <w:sz w:val="24"/>
          <w:highlight w:val="none"/>
        </w:rPr>
        <w:t>泄漏大气浓度</w:t>
      </w:r>
      <w:r>
        <w:rPr>
          <w:rFonts w:hint="default" w:ascii="Times New Roman" w:hAnsi="Times New Roman" w:cs="Times New Roman"/>
          <w:b/>
          <w:bCs/>
          <w:color w:val="auto"/>
          <w:sz w:val="24"/>
          <w:highlight w:val="none"/>
          <w:lang w:eastAsia="zh-CN"/>
        </w:rPr>
        <w:t>终点浓度</w:t>
      </w:r>
      <w:r>
        <w:rPr>
          <w:rFonts w:hint="default" w:ascii="Times New Roman" w:hAnsi="Times New Roman" w:eastAsia="宋体" w:cs="Times New Roman"/>
          <w:b/>
          <w:bCs/>
          <w:color w:val="auto"/>
          <w:sz w:val="24"/>
          <w:highlight w:val="none"/>
        </w:rPr>
        <w:t>值影响区域表</w:t>
      </w:r>
    </w:p>
    <w:tbl>
      <w:tblPr>
        <w:tblStyle w:val="8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0"/>
        <w:gridCol w:w="1607"/>
        <w:gridCol w:w="1549"/>
        <w:gridCol w:w="1527"/>
        <w:gridCol w:w="1527"/>
        <w:gridCol w:w="1527"/>
      </w:tblGrid>
      <w:tr w14:paraId="22710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7" w:type="dxa"/>
            <w:tcBorders>
              <w:bottom w:val="single" w:color="auto" w:sz="4" w:space="0"/>
            </w:tcBorders>
            <w:noWrap w:val="0"/>
            <w:vAlign w:val="center"/>
          </w:tcPr>
          <w:p w14:paraId="5DF2C39F">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相应阈值影响区域对应位置</w:t>
            </w:r>
          </w:p>
        </w:tc>
        <w:tc>
          <w:tcPr>
            <w:tcW w:w="1637" w:type="dxa"/>
            <w:tcBorders>
              <w:bottom w:val="single" w:color="auto" w:sz="4" w:space="0"/>
            </w:tcBorders>
            <w:noWrap w:val="0"/>
            <w:vAlign w:val="center"/>
          </w:tcPr>
          <w:p w14:paraId="742B2B21">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阈值（mg/m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1606" w:type="dxa"/>
            <w:tcBorders>
              <w:bottom w:val="single" w:color="auto" w:sz="4" w:space="0"/>
            </w:tcBorders>
            <w:noWrap w:val="0"/>
            <w:vAlign w:val="center"/>
          </w:tcPr>
          <w:p w14:paraId="4F85D515">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X起点（m）</w:t>
            </w:r>
          </w:p>
        </w:tc>
        <w:tc>
          <w:tcPr>
            <w:tcW w:w="1582" w:type="dxa"/>
            <w:tcBorders>
              <w:bottom w:val="single" w:color="auto" w:sz="4" w:space="0"/>
            </w:tcBorders>
            <w:noWrap w:val="0"/>
            <w:vAlign w:val="center"/>
          </w:tcPr>
          <w:p w14:paraId="6D2F5C1F">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X终点（m）</w:t>
            </w:r>
          </w:p>
        </w:tc>
        <w:tc>
          <w:tcPr>
            <w:tcW w:w="1582" w:type="dxa"/>
            <w:tcBorders>
              <w:bottom w:val="single" w:color="auto" w:sz="4" w:space="0"/>
            </w:tcBorders>
            <w:noWrap w:val="0"/>
            <w:vAlign w:val="center"/>
          </w:tcPr>
          <w:p w14:paraId="09537635">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最大半宽（m）</w:t>
            </w:r>
          </w:p>
        </w:tc>
        <w:tc>
          <w:tcPr>
            <w:tcW w:w="1582" w:type="dxa"/>
            <w:tcBorders>
              <w:bottom w:val="single" w:color="auto" w:sz="4" w:space="0"/>
            </w:tcBorders>
            <w:noWrap w:val="0"/>
            <w:vAlign w:val="center"/>
          </w:tcPr>
          <w:p w14:paraId="466F60CB">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最大半宽对应X（m）</w:t>
            </w:r>
          </w:p>
        </w:tc>
      </w:tr>
      <w:tr w14:paraId="6A80D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37" w:type="dxa"/>
            <w:vMerge w:val="restart"/>
            <w:tcBorders>
              <w:top w:val="single" w:color="auto" w:sz="4" w:space="0"/>
            </w:tcBorders>
            <w:noWrap w:val="0"/>
            <w:vAlign w:val="center"/>
          </w:tcPr>
          <w:p w14:paraId="3C2FB1D3">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最不利气象条件</w:t>
            </w:r>
          </w:p>
        </w:tc>
        <w:tc>
          <w:tcPr>
            <w:tcW w:w="1637" w:type="dxa"/>
            <w:tcBorders>
              <w:top w:val="single" w:color="auto" w:sz="4" w:space="0"/>
            </w:tcBorders>
            <w:noWrap w:val="0"/>
            <w:vAlign w:val="center"/>
          </w:tcPr>
          <w:p w14:paraId="0C0B80D2">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w:t>
            </w:r>
          </w:p>
        </w:tc>
        <w:tc>
          <w:tcPr>
            <w:tcW w:w="1606" w:type="dxa"/>
            <w:tcBorders>
              <w:top w:val="single" w:color="auto" w:sz="4" w:space="0"/>
            </w:tcBorders>
            <w:noWrap w:val="0"/>
            <w:vAlign w:val="center"/>
          </w:tcPr>
          <w:p w14:paraId="0E45CDF4">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1582" w:type="dxa"/>
            <w:tcBorders>
              <w:top w:val="single" w:color="auto" w:sz="4" w:space="0"/>
            </w:tcBorders>
            <w:noWrap w:val="0"/>
            <w:vAlign w:val="center"/>
          </w:tcPr>
          <w:p w14:paraId="6D3C6E8B">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w:t>
            </w:r>
          </w:p>
        </w:tc>
        <w:tc>
          <w:tcPr>
            <w:tcW w:w="1582" w:type="dxa"/>
            <w:tcBorders>
              <w:top w:val="single" w:color="auto" w:sz="4" w:space="0"/>
            </w:tcBorders>
            <w:noWrap w:val="0"/>
            <w:vAlign w:val="center"/>
          </w:tcPr>
          <w:p w14:paraId="41798A1C">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76</w:t>
            </w:r>
          </w:p>
        </w:tc>
        <w:tc>
          <w:tcPr>
            <w:tcW w:w="1582" w:type="dxa"/>
            <w:tcBorders>
              <w:top w:val="single" w:color="auto" w:sz="4" w:space="0"/>
            </w:tcBorders>
            <w:noWrap w:val="0"/>
            <w:vAlign w:val="center"/>
          </w:tcPr>
          <w:p w14:paraId="1531333B">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60</w:t>
            </w:r>
          </w:p>
        </w:tc>
      </w:tr>
      <w:tr w14:paraId="1525C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7" w:type="dxa"/>
            <w:vMerge w:val="continue"/>
            <w:noWrap w:val="0"/>
            <w:vAlign w:val="center"/>
          </w:tcPr>
          <w:p w14:paraId="53BBCF7F">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1637" w:type="dxa"/>
            <w:tcBorders>
              <w:top w:val="single" w:color="auto" w:sz="4" w:space="0"/>
            </w:tcBorders>
            <w:noWrap w:val="0"/>
            <w:vAlign w:val="center"/>
          </w:tcPr>
          <w:p w14:paraId="7DA05363">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79</w:t>
            </w:r>
          </w:p>
        </w:tc>
        <w:tc>
          <w:tcPr>
            <w:tcW w:w="1606" w:type="dxa"/>
            <w:tcBorders>
              <w:top w:val="single" w:color="auto" w:sz="4" w:space="0"/>
            </w:tcBorders>
            <w:noWrap w:val="0"/>
            <w:vAlign w:val="center"/>
          </w:tcPr>
          <w:p w14:paraId="0AFD63EC">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1582" w:type="dxa"/>
            <w:tcBorders>
              <w:top w:val="single" w:color="auto" w:sz="4" w:space="0"/>
            </w:tcBorders>
            <w:noWrap w:val="0"/>
            <w:vAlign w:val="center"/>
          </w:tcPr>
          <w:p w14:paraId="7FEEA517">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c>
          <w:tcPr>
            <w:tcW w:w="1582" w:type="dxa"/>
            <w:tcBorders>
              <w:top w:val="single" w:color="auto" w:sz="4" w:space="0"/>
            </w:tcBorders>
            <w:noWrap w:val="0"/>
            <w:vAlign w:val="center"/>
          </w:tcPr>
          <w:p w14:paraId="6216EDE5">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w:t>
            </w:r>
          </w:p>
        </w:tc>
        <w:tc>
          <w:tcPr>
            <w:tcW w:w="1582" w:type="dxa"/>
            <w:tcBorders>
              <w:top w:val="single" w:color="auto" w:sz="4" w:space="0"/>
            </w:tcBorders>
            <w:noWrap w:val="0"/>
            <w:vAlign w:val="center"/>
          </w:tcPr>
          <w:p w14:paraId="3B7CA520">
            <w:pPr>
              <w:pStyle w:val="8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r>
    </w:tbl>
    <w:p w14:paraId="504BE16F">
      <w:pPr>
        <w:spacing w:line="360" w:lineRule="auto"/>
        <w:ind w:firstLine="48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（2）关心点情况</w:t>
      </w:r>
    </w:p>
    <w:p w14:paraId="21C8E452">
      <w:pPr>
        <w:spacing w:line="360" w:lineRule="auto"/>
        <w:ind w:firstLine="48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各关心点</w:t>
      </w:r>
      <w:r>
        <w:rPr>
          <w:rFonts w:hint="default" w:ascii="Times New Roman" w:hAnsi="Times New Roman" w:cs="Times New Roman"/>
          <w:color w:val="auto"/>
          <w:kern w:val="0"/>
          <w:sz w:val="24"/>
          <w:lang w:val="en-US" w:eastAsia="zh-CN"/>
        </w:rPr>
        <w:t>SO</w:t>
      </w:r>
      <w:r>
        <w:rPr>
          <w:rFonts w:hint="default" w:ascii="Times New Roman" w:hAnsi="Times New Roman" w:cs="Times New Roman"/>
          <w:color w:val="auto"/>
          <w:kern w:val="0"/>
          <w:sz w:val="24"/>
          <w:vertAlign w:val="subscript"/>
          <w:lang w:val="en-US" w:eastAsia="zh-CN"/>
        </w:rPr>
        <w:t>2</w:t>
      </w:r>
      <w:r>
        <w:rPr>
          <w:rFonts w:hint="default" w:ascii="Times New Roman" w:hAnsi="Times New Roman" w:eastAsia="宋体" w:cs="Times New Roman"/>
          <w:color w:val="auto"/>
          <w:kern w:val="0"/>
          <w:sz w:val="24"/>
        </w:rPr>
        <w:t>浓度随时间变化情况及超出评价标准持续时间见表</w:t>
      </w:r>
      <w:r>
        <w:rPr>
          <w:rFonts w:hint="default" w:ascii="Times New Roman" w:hAnsi="Times New Roman" w:eastAsia="宋体" w:cs="Times New Roman"/>
          <w:color w:val="auto"/>
          <w:kern w:val="0"/>
          <w:sz w:val="24"/>
          <w:lang w:eastAsia="zh-CN"/>
        </w:rPr>
        <w:t>6.1-</w:t>
      </w:r>
      <w:r>
        <w:rPr>
          <w:rFonts w:hint="default" w:ascii="Times New Roman" w:hAnsi="Times New Roman" w:cs="Times New Roman"/>
          <w:color w:val="auto"/>
          <w:kern w:val="0"/>
          <w:sz w:val="24"/>
          <w:lang w:val="en-US" w:eastAsia="zh-CN"/>
        </w:rPr>
        <w:t>8</w:t>
      </w:r>
      <w:r>
        <w:rPr>
          <w:rFonts w:hint="default" w:ascii="Times New Roman" w:hAnsi="Times New Roman" w:eastAsia="宋体" w:cs="Times New Roman"/>
          <w:color w:val="auto"/>
          <w:kern w:val="0"/>
          <w:sz w:val="24"/>
        </w:rPr>
        <w:t>。</w:t>
      </w:r>
    </w:p>
    <w:p w14:paraId="7BB4E11E">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b/>
          <w:bCs/>
          <w:color w:val="auto"/>
          <w:sz w:val="24"/>
        </w:rPr>
        <w:t>表</w:t>
      </w:r>
      <w:r>
        <w:rPr>
          <w:rFonts w:hint="default" w:ascii="Times New Roman" w:hAnsi="Times New Roman" w:eastAsia="宋体" w:cs="Times New Roman"/>
          <w:b/>
          <w:bCs/>
          <w:color w:val="auto"/>
          <w:sz w:val="24"/>
          <w:lang w:eastAsia="zh-CN"/>
        </w:rPr>
        <w:t>6.3-</w:t>
      </w:r>
      <w:r>
        <w:rPr>
          <w:rFonts w:hint="default" w:ascii="Times New Roman" w:hAnsi="Times New Roman" w:cs="Times New Roman"/>
          <w:b/>
          <w:bCs/>
          <w:color w:val="auto"/>
          <w:sz w:val="24"/>
          <w:lang w:val="en-US" w:eastAsia="zh-CN"/>
        </w:rPr>
        <w:t>8</w:t>
      </w:r>
      <w:r>
        <w:rPr>
          <w:rFonts w:hint="default" w:ascii="Times New Roman" w:hAnsi="Times New Roman" w:eastAsia="宋体" w:cs="Times New Roman"/>
          <w:b/>
          <w:bCs/>
          <w:color w:val="auto"/>
          <w:sz w:val="24"/>
        </w:rPr>
        <w:t xml:space="preserve"> 关心点最不利</w:t>
      </w:r>
      <w:r>
        <w:rPr>
          <w:rFonts w:hint="default" w:ascii="Times New Roman" w:hAnsi="Times New Roman" w:eastAsia="宋体" w:cs="Times New Roman"/>
          <w:b/>
          <w:bCs/>
          <w:color w:val="auto"/>
          <w:sz w:val="24"/>
          <w:lang w:val="en-US" w:eastAsia="zh-CN"/>
        </w:rPr>
        <w:t>气象条件SO2浓度随时间变化情况及评价标准持续时间表</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663"/>
        <w:gridCol w:w="1485"/>
        <w:gridCol w:w="1508"/>
        <w:gridCol w:w="1543"/>
        <w:gridCol w:w="1544"/>
        <w:gridCol w:w="1544"/>
      </w:tblGrid>
      <w:tr w14:paraId="24376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63" w:hRule="atLeast"/>
          <w:jc w:val="center"/>
        </w:trPr>
        <w:tc>
          <w:tcPr>
            <w:tcW w:w="714" w:type="pct"/>
            <w:shd w:val="clear" w:color="auto" w:fill="auto"/>
            <w:noWrap/>
            <w:vAlign w:val="center"/>
          </w:tcPr>
          <w:p w14:paraId="5BBFA46E">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名称</w:t>
            </w:r>
          </w:p>
        </w:tc>
        <w:tc>
          <w:tcPr>
            <w:tcW w:w="1500" w:type="dxa"/>
            <w:shd w:val="clear" w:color="auto" w:fill="auto"/>
            <w:noWrap/>
            <w:vAlign w:val="center"/>
          </w:tcPr>
          <w:p w14:paraId="57889560">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杨兰村</w:t>
            </w:r>
          </w:p>
        </w:tc>
        <w:tc>
          <w:tcPr>
            <w:tcW w:w="1524" w:type="dxa"/>
            <w:shd w:val="clear" w:color="auto" w:fill="auto"/>
            <w:noWrap/>
            <w:vAlign w:val="center"/>
          </w:tcPr>
          <w:p w14:paraId="62609967">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凤凰村</w:t>
            </w:r>
          </w:p>
        </w:tc>
        <w:tc>
          <w:tcPr>
            <w:tcW w:w="1559" w:type="dxa"/>
            <w:shd w:val="clear" w:color="auto" w:fill="auto"/>
            <w:noWrap/>
            <w:vAlign w:val="center"/>
          </w:tcPr>
          <w:p w14:paraId="2343C413">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南铺村</w:t>
            </w:r>
          </w:p>
        </w:tc>
        <w:tc>
          <w:tcPr>
            <w:tcW w:w="1560" w:type="dxa"/>
            <w:shd w:val="clear" w:color="auto" w:fill="auto"/>
            <w:noWrap/>
            <w:vAlign w:val="center"/>
          </w:tcPr>
          <w:p w14:paraId="40DF7821">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瓦村</w:t>
            </w:r>
          </w:p>
        </w:tc>
        <w:tc>
          <w:tcPr>
            <w:tcW w:w="1560" w:type="dxa"/>
            <w:shd w:val="clear" w:color="auto" w:fill="auto"/>
            <w:noWrap/>
            <w:vAlign w:val="center"/>
          </w:tcPr>
          <w:p w14:paraId="036DECCC">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小旦村</w:t>
            </w:r>
          </w:p>
        </w:tc>
      </w:tr>
      <w:tr w14:paraId="23F82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24C7B470">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最大浓度|时间（min</w:t>
            </w:r>
            <w:r>
              <w:rPr>
                <w:rFonts w:hint="eastAsia" w:cs="Times New Roman"/>
                <w:color w:val="auto"/>
                <w:kern w:val="0"/>
                <w:sz w:val="15"/>
                <w:szCs w:val="15"/>
                <w:lang w:val="en-US" w:eastAsia="zh-CN" w:bidi="ar"/>
              </w:rPr>
              <w:t>）</w:t>
            </w:r>
          </w:p>
        </w:tc>
        <w:tc>
          <w:tcPr>
            <w:tcW w:w="1500" w:type="dxa"/>
            <w:shd w:val="clear" w:color="auto" w:fill="auto"/>
            <w:noWrap/>
            <w:vAlign w:val="center"/>
          </w:tcPr>
          <w:p w14:paraId="449FFED4">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0.00E+00|5</w:t>
            </w:r>
          </w:p>
        </w:tc>
        <w:tc>
          <w:tcPr>
            <w:tcW w:w="1524" w:type="dxa"/>
            <w:shd w:val="clear" w:color="auto" w:fill="auto"/>
            <w:noWrap/>
            <w:vAlign w:val="center"/>
          </w:tcPr>
          <w:p w14:paraId="7465B0BC">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0.00E+00|5</w:t>
            </w:r>
          </w:p>
        </w:tc>
        <w:tc>
          <w:tcPr>
            <w:tcW w:w="1559" w:type="dxa"/>
            <w:shd w:val="clear" w:color="auto" w:fill="auto"/>
            <w:noWrap/>
            <w:vAlign w:val="center"/>
          </w:tcPr>
          <w:p w14:paraId="6D9A53B0">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3.94E-06|10</w:t>
            </w:r>
          </w:p>
        </w:tc>
        <w:tc>
          <w:tcPr>
            <w:tcW w:w="1560" w:type="dxa"/>
            <w:shd w:val="clear" w:color="auto" w:fill="auto"/>
            <w:noWrap/>
            <w:vAlign w:val="center"/>
          </w:tcPr>
          <w:p w14:paraId="47EF83E6">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1.19E-04|15</w:t>
            </w:r>
          </w:p>
        </w:tc>
        <w:tc>
          <w:tcPr>
            <w:tcW w:w="1560" w:type="dxa"/>
            <w:shd w:val="clear" w:color="auto" w:fill="auto"/>
            <w:noWrap/>
            <w:vAlign w:val="center"/>
          </w:tcPr>
          <w:p w14:paraId="06AE6636">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1.30E-05|20</w:t>
            </w:r>
          </w:p>
        </w:tc>
      </w:tr>
      <w:tr w14:paraId="09D9C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053CE2E4">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5min</w:t>
            </w:r>
          </w:p>
        </w:tc>
        <w:tc>
          <w:tcPr>
            <w:tcW w:w="1500" w:type="dxa"/>
            <w:shd w:val="clear" w:color="auto" w:fill="auto"/>
            <w:noWrap/>
            <w:vAlign w:val="center"/>
          </w:tcPr>
          <w:p w14:paraId="4E9111E5">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2C5BFCBB">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1263A5E9">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2F06898F">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02D055FD">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34C03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6060942A">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10min</w:t>
            </w:r>
          </w:p>
        </w:tc>
        <w:tc>
          <w:tcPr>
            <w:tcW w:w="1500" w:type="dxa"/>
            <w:shd w:val="clear" w:color="auto" w:fill="auto"/>
            <w:noWrap/>
            <w:vAlign w:val="center"/>
          </w:tcPr>
          <w:p w14:paraId="326A6CCF">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7F3823AF">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7F8E26CE">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3.94E-06</w:t>
            </w:r>
          </w:p>
        </w:tc>
        <w:tc>
          <w:tcPr>
            <w:tcW w:w="1560" w:type="dxa"/>
            <w:shd w:val="clear" w:color="auto" w:fill="auto"/>
            <w:noWrap/>
            <w:vAlign w:val="center"/>
          </w:tcPr>
          <w:p w14:paraId="2427A76E">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44BBC4D8">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4463C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082FE2BD">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15min</w:t>
            </w:r>
          </w:p>
        </w:tc>
        <w:tc>
          <w:tcPr>
            <w:tcW w:w="1500" w:type="dxa"/>
            <w:shd w:val="clear" w:color="auto" w:fill="auto"/>
            <w:noWrap/>
            <w:vAlign w:val="center"/>
          </w:tcPr>
          <w:p w14:paraId="4DE09DBC">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2F0C3A68">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5E6631CF">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2.97E-06</w:t>
            </w:r>
          </w:p>
        </w:tc>
        <w:tc>
          <w:tcPr>
            <w:tcW w:w="1560" w:type="dxa"/>
            <w:shd w:val="clear" w:color="auto" w:fill="auto"/>
            <w:noWrap/>
            <w:vAlign w:val="center"/>
          </w:tcPr>
          <w:p w14:paraId="22790EF1">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1.19E-04</w:t>
            </w:r>
          </w:p>
        </w:tc>
        <w:tc>
          <w:tcPr>
            <w:tcW w:w="1560" w:type="dxa"/>
            <w:shd w:val="clear" w:color="auto" w:fill="auto"/>
            <w:noWrap/>
            <w:vAlign w:val="center"/>
          </w:tcPr>
          <w:p w14:paraId="30A38257">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2F945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6AB19448">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20min</w:t>
            </w:r>
          </w:p>
        </w:tc>
        <w:tc>
          <w:tcPr>
            <w:tcW w:w="1500" w:type="dxa"/>
            <w:shd w:val="clear" w:color="auto" w:fill="auto"/>
            <w:noWrap/>
            <w:vAlign w:val="center"/>
          </w:tcPr>
          <w:p w14:paraId="1F22C891">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74E3A606">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5E051AB7">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288B4C86">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9.20E-05</w:t>
            </w:r>
          </w:p>
        </w:tc>
        <w:tc>
          <w:tcPr>
            <w:tcW w:w="1560" w:type="dxa"/>
            <w:shd w:val="clear" w:color="auto" w:fill="auto"/>
            <w:noWrap/>
            <w:vAlign w:val="center"/>
          </w:tcPr>
          <w:p w14:paraId="5E462B4D">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1.30E-05</w:t>
            </w:r>
          </w:p>
        </w:tc>
      </w:tr>
      <w:tr w14:paraId="0C263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05D2172E">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25min</w:t>
            </w:r>
          </w:p>
        </w:tc>
        <w:tc>
          <w:tcPr>
            <w:tcW w:w="1500" w:type="dxa"/>
            <w:shd w:val="clear" w:color="auto" w:fill="auto"/>
            <w:noWrap/>
            <w:vAlign w:val="center"/>
          </w:tcPr>
          <w:p w14:paraId="3F7EFA74">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266B7077">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20C4C5EC">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48CEE923">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54E61892">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1.01E-05</w:t>
            </w:r>
          </w:p>
        </w:tc>
      </w:tr>
      <w:tr w14:paraId="4D19A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68CACCD4">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30min</w:t>
            </w:r>
          </w:p>
        </w:tc>
        <w:tc>
          <w:tcPr>
            <w:tcW w:w="1500" w:type="dxa"/>
            <w:shd w:val="clear" w:color="auto" w:fill="auto"/>
            <w:noWrap/>
            <w:vAlign w:val="center"/>
          </w:tcPr>
          <w:p w14:paraId="4262815B">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1E92659E">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21DBE6E6">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113E98FE">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52F8DB6B">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6B33C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32EA70B2">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35min</w:t>
            </w:r>
          </w:p>
        </w:tc>
        <w:tc>
          <w:tcPr>
            <w:tcW w:w="1500" w:type="dxa"/>
            <w:shd w:val="clear" w:color="auto" w:fill="auto"/>
            <w:noWrap/>
            <w:vAlign w:val="center"/>
          </w:tcPr>
          <w:p w14:paraId="14BC54D7">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12634A52">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168E26D4">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5EE90D14">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48DDC2DD">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4290B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1B5C5122">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40min</w:t>
            </w:r>
          </w:p>
        </w:tc>
        <w:tc>
          <w:tcPr>
            <w:tcW w:w="1500" w:type="dxa"/>
            <w:shd w:val="clear" w:color="auto" w:fill="auto"/>
            <w:noWrap/>
            <w:vAlign w:val="center"/>
          </w:tcPr>
          <w:p w14:paraId="7B975DBE">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4C685F5B">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1F0DDBB4">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1F721FDD">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2A6D0DEC">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5D830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5753C02C">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45min</w:t>
            </w:r>
          </w:p>
        </w:tc>
        <w:tc>
          <w:tcPr>
            <w:tcW w:w="1500" w:type="dxa"/>
            <w:shd w:val="clear" w:color="auto" w:fill="auto"/>
            <w:noWrap/>
            <w:vAlign w:val="center"/>
          </w:tcPr>
          <w:p w14:paraId="63DEEAEF">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6CAD7891">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471DCAF3">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4F5AFEE5">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3867DC3C">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69B1B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102636DF">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50min</w:t>
            </w:r>
          </w:p>
        </w:tc>
        <w:tc>
          <w:tcPr>
            <w:tcW w:w="1500" w:type="dxa"/>
            <w:shd w:val="clear" w:color="auto" w:fill="auto"/>
            <w:noWrap/>
            <w:vAlign w:val="center"/>
          </w:tcPr>
          <w:p w14:paraId="4758737F">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6507E42D">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29DA79E9">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060EFFEA">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1C38E7D4">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0C431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67FCFB0C">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55min</w:t>
            </w:r>
          </w:p>
        </w:tc>
        <w:tc>
          <w:tcPr>
            <w:tcW w:w="1500" w:type="dxa"/>
            <w:shd w:val="clear" w:color="auto" w:fill="auto"/>
            <w:noWrap/>
            <w:vAlign w:val="center"/>
          </w:tcPr>
          <w:p w14:paraId="74CCE7E9">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598177AB">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2B11F731">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7B6EE55D">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454B7EDE">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1D07D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7856CA79">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60min</w:t>
            </w:r>
          </w:p>
        </w:tc>
        <w:tc>
          <w:tcPr>
            <w:tcW w:w="1500" w:type="dxa"/>
            <w:shd w:val="clear" w:color="auto" w:fill="auto"/>
            <w:noWrap/>
            <w:vAlign w:val="center"/>
          </w:tcPr>
          <w:p w14:paraId="390A458F">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24" w:type="dxa"/>
            <w:shd w:val="clear" w:color="auto" w:fill="auto"/>
            <w:noWrap/>
            <w:vAlign w:val="center"/>
          </w:tcPr>
          <w:p w14:paraId="6CC1C2A8">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59" w:type="dxa"/>
            <w:shd w:val="clear" w:color="auto" w:fill="auto"/>
            <w:noWrap/>
            <w:vAlign w:val="center"/>
          </w:tcPr>
          <w:p w14:paraId="5D591F60">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1A381E26">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1560" w:type="dxa"/>
            <w:shd w:val="clear" w:color="auto" w:fill="auto"/>
            <w:noWrap/>
            <w:vAlign w:val="center"/>
          </w:tcPr>
          <w:p w14:paraId="51FAFFC5">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06267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5B30A13F">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65min</w:t>
            </w:r>
          </w:p>
        </w:tc>
        <w:tc>
          <w:tcPr>
            <w:tcW w:w="835" w:type="pct"/>
            <w:shd w:val="clear" w:color="auto" w:fill="auto"/>
            <w:noWrap/>
            <w:vAlign w:val="center"/>
          </w:tcPr>
          <w:p w14:paraId="30348281">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14097A0A">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007CF6F9">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5D3AEF36">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56987A9A">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47444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3BF1B988">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70min</w:t>
            </w:r>
          </w:p>
        </w:tc>
        <w:tc>
          <w:tcPr>
            <w:tcW w:w="835" w:type="pct"/>
            <w:shd w:val="clear" w:color="auto" w:fill="auto"/>
            <w:noWrap/>
            <w:vAlign w:val="center"/>
          </w:tcPr>
          <w:p w14:paraId="25B98CA1">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56BB11C6">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52EACA16">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26338577">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3824D7AE">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57EDC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726203FC">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75min</w:t>
            </w:r>
          </w:p>
        </w:tc>
        <w:tc>
          <w:tcPr>
            <w:tcW w:w="835" w:type="pct"/>
            <w:shd w:val="clear" w:color="auto" w:fill="auto"/>
            <w:noWrap/>
            <w:vAlign w:val="center"/>
          </w:tcPr>
          <w:p w14:paraId="6AA2E86F">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37529568">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0D445485">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34B444E4">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6383ACEA">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03D48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225D1D27">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80min</w:t>
            </w:r>
          </w:p>
        </w:tc>
        <w:tc>
          <w:tcPr>
            <w:tcW w:w="835" w:type="pct"/>
            <w:shd w:val="clear" w:color="auto" w:fill="auto"/>
            <w:noWrap/>
            <w:vAlign w:val="center"/>
          </w:tcPr>
          <w:p w14:paraId="6F96DC82">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6A0B1C4C">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06AB5D79">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20E7D14D">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14ABE557">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3B02C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322FF954">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85min</w:t>
            </w:r>
          </w:p>
        </w:tc>
        <w:tc>
          <w:tcPr>
            <w:tcW w:w="835" w:type="pct"/>
            <w:shd w:val="clear" w:color="auto" w:fill="auto"/>
            <w:noWrap/>
            <w:vAlign w:val="center"/>
          </w:tcPr>
          <w:p w14:paraId="164AAF19">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1F5F8341">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53F9E6D1">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4043A47E">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125D24BE">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47E7E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3F042687">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90min</w:t>
            </w:r>
          </w:p>
        </w:tc>
        <w:tc>
          <w:tcPr>
            <w:tcW w:w="835" w:type="pct"/>
            <w:shd w:val="clear" w:color="auto" w:fill="auto"/>
            <w:noWrap/>
            <w:vAlign w:val="center"/>
          </w:tcPr>
          <w:p w14:paraId="3C472263">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1327F198">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762EEEBE">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4063DA25">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0FF80DB5">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5B258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75319947">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95min</w:t>
            </w:r>
          </w:p>
        </w:tc>
        <w:tc>
          <w:tcPr>
            <w:tcW w:w="835" w:type="pct"/>
            <w:shd w:val="clear" w:color="auto" w:fill="auto"/>
            <w:noWrap/>
            <w:vAlign w:val="center"/>
          </w:tcPr>
          <w:p w14:paraId="4A325DA1">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51485661">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5F2BFAA2">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10AADFA6">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1A4A26A8">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11964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08E0B5BD">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100min</w:t>
            </w:r>
          </w:p>
        </w:tc>
        <w:tc>
          <w:tcPr>
            <w:tcW w:w="835" w:type="pct"/>
            <w:shd w:val="clear" w:color="auto" w:fill="auto"/>
            <w:noWrap/>
            <w:vAlign w:val="center"/>
          </w:tcPr>
          <w:p w14:paraId="688EB0D2">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26D5E8D4">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1442EA99">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25F75AC9">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18FDCD0C">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7AAB8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0AB5EA0E">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105min</w:t>
            </w:r>
          </w:p>
        </w:tc>
        <w:tc>
          <w:tcPr>
            <w:tcW w:w="835" w:type="pct"/>
            <w:shd w:val="clear" w:color="auto" w:fill="auto"/>
            <w:noWrap/>
            <w:vAlign w:val="center"/>
          </w:tcPr>
          <w:p w14:paraId="13ED3F70">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2D798EAF">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3A47009B">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24CB7761">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4F6B78E4">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58481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61450821">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110min</w:t>
            </w:r>
          </w:p>
        </w:tc>
        <w:tc>
          <w:tcPr>
            <w:tcW w:w="835" w:type="pct"/>
            <w:shd w:val="clear" w:color="auto" w:fill="auto"/>
            <w:noWrap/>
            <w:vAlign w:val="center"/>
          </w:tcPr>
          <w:p w14:paraId="4F0B9D33">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5BD1CC74">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29436F1F">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20498690">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23E79AEA">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54C19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39377C5F">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115min</w:t>
            </w:r>
          </w:p>
        </w:tc>
        <w:tc>
          <w:tcPr>
            <w:tcW w:w="835" w:type="pct"/>
            <w:shd w:val="clear" w:color="auto" w:fill="auto"/>
            <w:noWrap/>
            <w:vAlign w:val="center"/>
          </w:tcPr>
          <w:p w14:paraId="6C0AD0BD">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7B153B7F">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23181F85">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5C8A7FE5">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6053054A">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27592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4D59BDCE">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120min</w:t>
            </w:r>
          </w:p>
        </w:tc>
        <w:tc>
          <w:tcPr>
            <w:tcW w:w="835" w:type="pct"/>
            <w:shd w:val="clear" w:color="auto" w:fill="auto"/>
            <w:noWrap/>
            <w:vAlign w:val="center"/>
          </w:tcPr>
          <w:p w14:paraId="43707672">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48" w:type="pct"/>
            <w:shd w:val="clear" w:color="auto" w:fill="auto"/>
            <w:noWrap/>
            <w:vAlign w:val="center"/>
          </w:tcPr>
          <w:p w14:paraId="1E0BA91E">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4AD5037A">
            <w:pPr>
              <w:widowControl/>
              <w:jc w:val="center"/>
              <w:textAlignment w:val="center"/>
              <w:rPr>
                <w:rFonts w:hint="default" w:ascii="Times New Roman" w:hAnsi="Times New Roman" w:eastAsia="宋体" w:cs="Times New Roman"/>
                <w:color w:val="auto"/>
                <w:kern w:val="0"/>
                <w:sz w:val="15"/>
                <w:szCs w:val="15"/>
                <w:lang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18553ECF">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c>
          <w:tcPr>
            <w:tcW w:w="867" w:type="pct"/>
            <w:shd w:val="clear" w:color="auto" w:fill="auto"/>
            <w:noWrap/>
            <w:vAlign w:val="center"/>
          </w:tcPr>
          <w:p w14:paraId="13E336AB">
            <w:pPr>
              <w:widowControl/>
              <w:jc w:val="center"/>
              <w:textAlignment w:val="center"/>
              <w:rPr>
                <w:rFonts w:hint="default" w:ascii="Times New Roman" w:hAnsi="Times New Roman" w:eastAsia="宋体" w:cs="Times New Roman"/>
                <w:color w:val="auto"/>
                <w:kern w:val="0"/>
                <w:sz w:val="15"/>
                <w:szCs w:val="15"/>
                <w:lang w:val="en-US" w:eastAsia="zh-CN" w:bidi="ar"/>
              </w:rPr>
            </w:pPr>
            <w:r>
              <w:rPr>
                <w:rFonts w:hint="default" w:ascii="Times New Roman" w:hAnsi="Times New Roman" w:eastAsia="宋体" w:cs="Times New Roman"/>
                <w:color w:val="auto"/>
                <w:kern w:val="0"/>
                <w:sz w:val="15"/>
                <w:szCs w:val="15"/>
                <w:lang w:val="en-US" w:eastAsia="zh-CN" w:bidi="ar"/>
              </w:rPr>
              <w:t>0.00E+00</w:t>
            </w:r>
          </w:p>
        </w:tc>
      </w:tr>
      <w:tr w14:paraId="09455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14" w:type="pct"/>
            <w:shd w:val="clear" w:color="auto" w:fill="auto"/>
            <w:noWrap/>
            <w:vAlign w:val="center"/>
          </w:tcPr>
          <w:p w14:paraId="12BA1F2F">
            <w:pPr>
              <w:widowControl/>
              <w:jc w:val="center"/>
              <w:rPr>
                <w:rFonts w:hint="default" w:ascii="Times New Roman" w:hAnsi="Times New Roman" w:eastAsia="宋体" w:cs="Times New Roman"/>
                <w:color w:val="auto"/>
                <w:kern w:val="0"/>
                <w:sz w:val="15"/>
                <w:szCs w:val="15"/>
              </w:rPr>
            </w:pPr>
            <w:r>
              <w:rPr>
                <w:rFonts w:hint="default" w:ascii="Times New Roman" w:hAnsi="Times New Roman" w:eastAsia="宋体" w:cs="Times New Roman"/>
                <w:color w:val="auto"/>
                <w:kern w:val="0"/>
                <w:sz w:val="15"/>
                <w:szCs w:val="15"/>
              </w:rPr>
              <w:t>超出时间min</w:t>
            </w:r>
          </w:p>
        </w:tc>
        <w:tc>
          <w:tcPr>
            <w:tcW w:w="835" w:type="pct"/>
            <w:shd w:val="clear" w:color="auto" w:fill="auto"/>
            <w:noWrap/>
            <w:vAlign w:val="center"/>
          </w:tcPr>
          <w:p w14:paraId="5D1BD087">
            <w:pPr>
              <w:widowControl/>
              <w:jc w:val="center"/>
              <w:rPr>
                <w:rFonts w:hint="default" w:ascii="Times New Roman" w:hAnsi="Times New Roman" w:eastAsia="宋体" w:cs="Times New Roman"/>
                <w:color w:val="auto"/>
                <w:kern w:val="0"/>
                <w:sz w:val="15"/>
                <w:szCs w:val="15"/>
              </w:rPr>
            </w:pPr>
            <w:r>
              <w:rPr>
                <w:rFonts w:hint="default" w:ascii="Times New Roman" w:hAnsi="Times New Roman" w:eastAsia="宋体" w:cs="Times New Roman"/>
                <w:color w:val="auto"/>
                <w:kern w:val="0"/>
                <w:sz w:val="15"/>
                <w:szCs w:val="15"/>
              </w:rPr>
              <w:t>未出现</w:t>
            </w:r>
          </w:p>
        </w:tc>
        <w:tc>
          <w:tcPr>
            <w:tcW w:w="848" w:type="pct"/>
            <w:shd w:val="clear" w:color="auto" w:fill="auto"/>
            <w:noWrap/>
            <w:vAlign w:val="center"/>
          </w:tcPr>
          <w:p w14:paraId="1AC7D783">
            <w:pPr>
              <w:widowControl/>
              <w:jc w:val="center"/>
              <w:rPr>
                <w:rFonts w:hint="default" w:ascii="Times New Roman" w:hAnsi="Times New Roman" w:eastAsia="宋体" w:cs="Times New Roman"/>
                <w:color w:val="auto"/>
                <w:kern w:val="0"/>
                <w:sz w:val="15"/>
                <w:szCs w:val="15"/>
              </w:rPr>
            </w:pPr>
            <w:r>
              <w:rPr>
                <w:rFonts w:hint="default" w:ascii="Times New Roman" w:hAnsi="Times New Roman" w:eastAsia="宋体" w:cs="Times New Roman"/>
                <w:color w:val="auto"/>
                <w:kern w:val="0"/>
                <w:sz w:val="15"/>
                <w:szCs w:val="15"/>
              </w:rPr>
              <w:t>未出现</w:t>
            </w:r>
          </w:p>
        </w:tc>
        <w:tc>
          <w:tcPr>
            <w:tcW w:w="867" w:type="pct"/>
            <w:shd w:val="clear" w:color="auto" w:fill="auto"/>
            <w:noWrap/>
            <w:vAlign w:val="center"/>
          </w:tcPr>
          <w:p w14:paraId="3AE51B6C">
            <w:pPr>
              <w:widowControl/>
              <w:jc w:val="center"/>
              <w:rPr>
                <w:rFonts w:hint="default" w:ascii="Times New Roman" w:hAnsi="Times New Roman" w:eastAsia="宋体" w:cs="Times New Roman"/>
                <w:color w:val="auto"/>
                <w:kern w:val="0"/>
                <w:sz w:val="15"/>
                <w:szCs w:val="15"/>
              </w:rPr>
            </w:pPr>
            <w:r>
              <w:rPr>
                <w:rFonts w:hint="default" w:ascii="Times New Roman" w:hAnsi="Times New Roman" w:eastAsia="宋体" w:cs="Times New Roman"/>
                <w:color w:val="auto"/>
                <w:kern w:val="0"/>
                <w:sz w:val="15"/>
                <w:szCs w:val="15"/>
              </w:rPr>
              <w:t>未出现</w:t>
            </w:r>
          </w:p>
        </w:tc>
        <w:tc>
          <w:tcPr>
            <w:tcW w:w="867" w:type="pct"/>
            <w:shd w:val="clear" w:color="auto" w:fill="auto"/>
            <w:noWrap/>
            <w:vAlign w:val="center"/>
          </w:tcPr>
          <w:p w14:paraId="786E3BE3">
            <w:pPr>
              <w:widowControl/>
              <w:jc w:val="center"/>
              <w:rPr>
                <w:rFonts w:hint="default" w:ascii="Times New Roman" w:hAnsi="Times New Roman" w:eastAsia="宋体" w:cs="Times New Roman"/>
                <w:color w:val="auto"/>
                <w:kern w:val="0"/>
                <w:sz w:val="15"/>
                <w:szCs w:val="15"/>
              </w:rPr>
            </w:pPr>
            <w:r>
              <w:rPr>
                <w:rFonts w:hint="default" w:ascii="Times New Roman" w:hAnsi="Times New Roman" w:eastAsia="宋体" w:cs="Times New Roman"/>
                <w:color w:val="auto"/>
                <w:kern w:val="0"/>
                <w:sz w:val="15"/>
                <w:szCs w:val="15"/>
              </w:rPr>
              <w:t>未出现</w:t>
            </w:r>
          </w:p>
        </w:tc>
        <w:tc>
          <w:tcPr>
            <w:tcW w:w="867" w:type="pct"/>
            <w:shd w:val="clear" w:color="auto" w:fill="auto"/>
            <w:noWrap/>
            <w:vAlign w:val="center"/>
          </w:tcPr>
          <w:p w14:paraId="4D1F24DC">
            <w:pPr>
              <w:widowControl/>
              <w:jc w:val="center"/>
              <w:rPr>
                <w:rFonts w:hint="default" w:ascii="Times New Roman" w:hAnsi="Times New Roman" w:eastAsia="宋体" w:cs="Times New Roman"/>
                <w:color w:val="auto"/>
                <w:kern w:val="0"/>
                <w:sz w:val="15"/>
                <w:szCs w:val="15"/>
              </w:rPr>
            </w:pPr>
            <w:r>
              <w:rPr>
                <w:rFonts w:hint="default" w:ascii="Times New Roman" w:hAnsi="Times New Roman" w:eastAsia="宋体" w:cs="Times New Roman"/>
                <w:color w:val="auto"/>
                <w:kern w:val="0"/>
                <w:sz w:val="15"/>
                <w:szCs w:val="15"/>
              </w:rPr>
              <w:t>未出现</w:t>
            </w:r>
          </w:p>
        </w:tc>
      </w:tr>
    </w:tbl>
    <w:p w14:paraId="3FC517D0">
      <w:pPr>
        <w:pStyle w:val="80"/>
        <w:ind w:left="0" w:leftChars="0" w:firstLine="360"/>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单位：mg/m</w:t>
      </w:r>
      <w:r>
        <w:rPr>
          <w:rFonts w:hint="default" w:ascii="Times New Roman" w:hAnsi="Times New Roman" w:eastAsia="宋体" w:cs="Times New Roman"/>
          <w:color w:val="auto"/>
          <w:sz w:val="18"/>
          <w:szCs w:val="18"/>
          <w:vertAlign w:val="superscript"/>
        </w:rPr>
        <w:t>3</w:t>
      </w:r>
    </w:p>
    <w:p w14:paraId="7ED16EA1">
      <w:pPr>
        <w:pStyle w:val="80"/>
        <w:ind w:left="0" w:leftChars="0" w:firstLine="0" w:firstLineChars="0"/>
        <w:jc w:val="center"/>
        <w:rPr>
          <w:rFonts w:hint="default" w:ascii="Times New Roman" w:hAnsi="Times New Roman" w:eastAsia="宋体" w:cs="Times New Roman"/>
          <w:b/>
          <w:bCs/>
          <w:color w:val="auto"/>
          <w:sz w:val="24"/>
        </w:rPr>
      </w:pPr>
      <w:r>
        <w:rPr>
          <w:rFonts w:ascii="Times New Roman" w:hAnsi="Times New Roman" w:cs="Times New Roman"/>
          <w:color w:val="auto"/>
        </w:rPr>
        <w:drawing>
          <wp:inline distT="0" distB="0" distL="114300" distR="114300">
            <wp:extent cx="5753100" cy="3597275"/>
            <wp:effectExtent l="0" t="0" r="0" b="3175"/>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31"/>
                    <a:stretch>
                      <a:fillRect/>
                    </a:stretch>
                  </pic:blipFill>
                  <pic:spPr>
                    <a:xfrm>
                      <a:off x="0" y="0"/>
                      <a:ext cx="5753100" cy="3597275"/>
                    </a:xfrm>
                    <a:prstGeom prst="rect">
                      <a:avLst/>
                    </a:prstGeom>
                    <a:noFill/>
                    <a:ln>
                      <a:noFill/>
                    </a:ln>
                  </pic:spPr>
                </pic:pic>
              </a:graphicData>
            </a:graphic>
          </wp:inline>
        </w:drawing>
      </w:r>
    </w:p>
    <w:p w14:paraId="16095B79">
      <w:pPr>
        <w:pStyle w:val="80"/>
        <w:ind w:left="0" w:leftChars="0" w:firstLine="0" w:firstLineChars="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24"/>
        </w:rPr>
        <w:t>图</w:t>
      </w:r>
      <w:r>
        <w:rPr>
          <w:rFonts w:hint="default" w:ascii="Times New Roman" w:hAnsi="Times New Roman" w:eastAsia="宋体" w:cs="Times New Roman"/>
          <w:b/>
          <w:bCs/>
          <w:color w:val="auto"/>
          <w:sz w:val="24"/>
          <w:lang w:eastAsia="zh-CN"/>
        </w:rPr>
        <w:t>6.3-</w:t>
      </w:r>
      <w:r>
        <w:rPr>
          <w:rFonts w:hint="default" w:ascii="Times New Roman" w:hAnsi="Times New Roman" w:cs="Times New Roman"/>
          <w:b/>
          <w:bCs/>
          <w:color w:val="auto"/>
          <w:sz w:val="24"/>
          <w:lang w:val="en-US" w:eastAsia="zh-CN"/>
        </w:rPr>
        <w:t>3</w:t>
      </w:r>
      <w:r>
        <w:rPr>
          <w:rFonts w:hint="default" w:ascii="Times New Roman" w:hAnsi="Times New Roman" w:cs="Times New Roman"/>
          <w:b/>
          <w:bCs/>
          <w:color w:val="auto"/>
          <w:kern w:val="0"/>
          <w:sz w:val="24"/>
          <w:lang w:val="en-US" w:eastAsia="zh-CN"/>
        </w:rPr>
        <w:t>SO</w:t>
      </w:r>
      <w:r>
        <w:rPr>
          <w:rFonts w:hint="default" w:ascii="Times New Roman" w:hAnsi="Times New Roman" w:cs="Times New Roman"/>
          <w:b/>
          <w:bCs/>
          <w:color w:val="auto"/>
          <w:kern w:val="0"/>
          <w:sz w:val="24"/>
          <w:vertAlign w:val="subscript"/>
          <w:lang w:val="en-US" w:eastAsia="zh-CN"/>
        </w:rPr>
        <w:t>2</w:t>
      </w:r>
      <w:r>
        <w:rPr>
          <w:rFonts w:hint="default" w:ascii="Times New Roman" w:hAnsi="Times New Roman" w:eastAsia="宋体" w:cs="Times New Roman"/>
          <w:b/>
          <w:bCs/>
          <w:color w:val="auto"/>
          <w:sz w:val="24"/>
        </w:rPr>
        <w:t>泄漏最不利气象条件影响区域图</w:t>
      </w:r>
      <w:r>
        <w:rPr>
          <w:rFonts w:hint="default" w:ascii="Times New Roman" w:hAnsi="Times New Roman" w:eastAsia="宋体" w:cs="Times New Roman"/>
          <w:b/>
          <w:bCs/>
          <w:color w:val="auto"/>
          <w:sz w:val="18"/>
          <w:szCs w:val="18"/>
        </w:rPr>
        <w:t>（黄线：终点浓度2；红线：终点浓度1）</w:t>
      </w:r>
    </w:p>
    <w:p w14:paraId="54283ABC">
      <w:pPr>
        <w:pStyle w:val="80"/>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jc w:val="both"/>
        <w:textAlignment w:val="auto"/>
        <w:rPr>
          <w:rFonts w:hint="default" w:ascii="Times New Roman" w:hAnsi="Times New Roman" w:eastAsia="宋体" w:cs="Times New Roman"/>
          <w:color w:val="auto"/>
          <w:sz w:val="18"/>
          <w:szCs w:val="18"/>
          <w:lang w:eastAsia="zh-CN"/>
        </w:rPr>
      </w:pPr>
      <w:r>
        <w:rPr>
          <w:rFonts w:hint="default" w:ascii="Times New Roman" w:hAnsi="Times New Roman" w:eastAsia="宋体" w:cs="Times New Roman"/>
          <w:b w:val="0"/>
          <w:bCs w:val="0"/>
          <w:color w:val="auto"/>
          <w:kern w:val="0"/>
          <w:sz w:val="24"/>
          <w:szCs w:val="24"/>
          <w:highlight w:val="none"/>
          <w:lang w:val="en-US" w:eastAsia="zh-CN" w:bidi="ar"/>
        </w:rPr>
        <w:t>由上表可以看出，在最不利气象条件下，发生</w:t>
      </w:r>
      <w:r>
        <w:rPr>
          <w:rFonts w:hint="default" w:ascii="Times New Roman" w:hAnsi="Times New Roman" w:cs="Times New Roman"/>
          <w:b w:val="0"/>
          <w:bCs w:val="0"/>
          <w:color w:val="auto"/>
          <w:kern w:val="0"/>
          <w:sz w:val="24"/>
          <w:lang w:val="en-US" w:eastAsia="zh-CN"/>
        </w:rPr>
        <w:t>SO</w:t>
      </w:r>
      <w:r>
        <w:rPr>
          <w:rFonts w:hint="default" w:ascii="Times New Roman" w:hAnsi="Times New Roman" w:cs="Times New Roman"/>
          <w:b w:val="0"/>
          <w:bCs w:val="0"/>
          <w:color w:val="auto"/>
          <w:kern w:val="0"/>
          <w:sz w:val="24"/>
          <w:vertAlign w:val="subscript"/>
          <w:lang w:val="en-US" w:eastAsia="zh-CN"/>
        </w:rPr>
        <w:t>2</w:t>
      </w:r>
      <w:r>
        <w:rPr>
          <w:rFonts w:hint="default" w:ascii="Times New Roman" w:hAnsi="Times New Roman" w:eastAsia="宋体" w:cs="Times New Roman"/>
          <w:b w:val="0"/>
          <w:bCs w:val="0"/>
          <w:color w:val="auto"/>
          <w:kern w:val="0"/>
          <w:sz w:val="24"/>
          <w:szCs w:val="24"/>
          <w:highlight w:val="none"/>
          <w:lang w:val="en-US" w:eastAsia="zh-CN" w:bidi="ar"/>
        </w:rPr>
        <w:t>泄漏事故，敏感点未达到毒性终点浓度-1（阈值</w:t>
      </w:r>
      <w:r>
        <w:rPr>
          <w:rFonts w:hint="default" w:ascii="Times New Roman" w:hAnsi="Times New Roman" w:cs="Times New Roman"/>
          <w:b w:val="0"/>
          <w:bCs w:val="0"/>
          <w:color w:val="auto"/>
          <w:kern w:val="0"/>
          <w:sz w:val="24"/>
          <w:szCs w:val="24"/>
          <w:highlight w:val="none"/>
          <w:lang w:val="en-US" w:eastAsia="zh-CN" w:bidi="ar"/>
        </w:rPr>
        <w:t>79</w:t>
      </w:r>
      <w:r>
        <w:rPr>
          <w:rFonts w:hint="default" w:ascii="Times New Roman" w:hAnsi="Times New Roman" w:eastAsia="宋体" w:cs="Times New Roman"/>
          <w:b w:val="0"/>
          <w:bCs w:val="0"/>
          <w:color w:val="auto"/>
          <w:kern w:val="0"/>
          <w:sz w:val="24"/>
          <w:szCs w:val="24"/>
          <w:highlight w:val="none"/>
          <w:lang w:val="en-US" w:eastAsia="zh-CN" w:bidi="ar"/>
        </w:rPr>
        <w:t>mg/m</w:t>
      </w:r>
      <w:r>
        <w:rPr>
          <w:rFonts w:hint="default" w:ascii="Times New Roman" w:hAnsi="Times New Roman" w:eastAsia="宋体" w:cs="Times New Roman"/>
          <w:b w:val="0"/>
          <w:bCs w:val="0"/>
          <w:color w:val="auto"/>
          <w:kern w:val="0"/>
          <w:sz w:val="24"/>
          <w:szCs w:val="24"/>
          <w:highlight w:val="none"/>
          <w:vertAlign w:val="superscript"/>
          <w:lang w:val="en-US" w:eastAsia="zh-CN" w:bidi="ar"/>
        </w:rPr>
        <w:t>3</w:t>
      </w:r>
      <w:r>
        <w:rPr>
          <w:rFonts w:hint="default" w:ascii="Times New Roman" w:hAnsi="Times New Roman" w:eastAsia="宋体" w:cs="Times New Roman"/>
          <w:b w:val="0"/>
          <w:bCs w:val="0"/>
          <w:color w:val="auto"/>
          <w:kern w:val="0"/>
          <w:sz w:val="24"/>
          <w:szCs w:val="24"/>
          <w:highlight w:val="none"/>
          <w:lang w:val="en-US" w:eastAsia="zh-CN" w:bidi="ar"/>
        </w:rPr>
        <w:t>）和毒性终点浓度-2（阈值</w:t>
      </w:r>
      <w:r>
        <w:rPr>
          <w:rFonts w:hint="default" w:ascii="Times New Roman" w:hAnsi="Times New Roman" w:cs="Times New Roman"/>
          <w:b w:val="0"/>
          <w:bCs w:val="0"/>
          <w:color w:val="auto"/>
          <w:kern w:val="0"/>
          <w:sz w:val="24"/>
          <w:szCs w:val="24"/>
          <w:highlight w:val="none"/>
          <w:lang w:val="en-US" w:eastAsia="zh-CN" w:bidi="ar"/>
        </w:rPr>
        <w:t>2</w:t>
      </w:r>
      <w:r>
        <w:rPr>
          <w:rFonts w:hint="default" w:ascii="Times New Roman" w:hAnsi="Times New Roman" w:eastAsia="宋体" w:cs="Times New Roman"/>
          <w:b w:val="0"/>
          <w:bCs w:val="0"/>
          <w:color w:val="auto"/>
          <w:kern w:val="0"/>
          <w:sz w:val="24"/>
          <w:szCs w:val="24"/>
          <w:highlight w:val="none"/>
          <w:lang w:val="en-US" w:eastAsia="zh-CN" w:bidi="ar"/>
        </w:rPr>
        <w:t>mg/m</w:t>
      </w:r>
      <w:r>
        <w:rPr>
          <w:rFonts w:hint="default" w:ascii="Times New Roman" w:hAnsi="Times New Roman" w:eastAsia="宋体" w:cs="Times New Roman"/>
          <w:b w:val="0"/>
          <w:bCs w:val="0"/>
          <w:color w:val="auto"/>
          <w:kern w:val="0"/>
          <w:sz w:val="24"/>
          <w:szCs w:val="24"/>
          <w:highlight w:val="none"/>
          <w:vertAlign w:val="superscript"/>
          <w:lang w:val="en-US" w:eastAsia="zh-CN" w:bidi="ar"/>
        </w:rPr>
        <w:t>3</w:t>
      </w:r>
      <w:r>
        <w:rPr>
          <w:rFonts w:hint="default" w:ascii="Times New Roman" w:hAnsi="Times New Roman" w:eastAsia="宋体" w:cs="Times New Roman"/>
          <w:b w:val="0"/>
          <w:bCs w:val="0"/>
          <w:color w:val="auto"/>
          <w:kern w:val="0"/>
          <w:sz w:val="24"/>
          <w:szCs w:val="24"/>
          <w:highlight w:val="none"/>
          <w:lang w:val="en-US" w:eastAsia="zh-CN" w:bidi="ar"/>
        </w:rPr>
        <w:t>），对周边人群及企业影响不大</w:t>
      </w:r>
      <w:r>
        <w:rPr>
          <w:rFonts w:hint="default" w:ascii="Times New Roman" w:hAnsi="Times New Roman" w:eastAsia="宋体" w:cs="Times New Roman"/>
          <w:b/>
          <w:bCs/>
          <w:color w:val="auto"/>
          <w:sz w:val="18"/>
          <w:szCs w:val="18"/>
          <w:lang w:eastAsia="zh-CN"/>
        </w:rPr>
        <w:t>。</w:t>
      </w:r>
    </w:p>
    <w:bookmarkEnd w:id="68"/>
    <w:p w14:paraId="33B314FF">
      <w:pPr>
        <w:keepNext/>
        <w:keepLines/>
        <w:widowControl/>
        <w:spacing w:before="120" w:after="120"/>
        <w:jc w:val="left"/>
        <w:outlineLvl w:val="3"/>
        <w:rPr>
          <w:rFonts w:hint="default" w:ascii="Times New Roman" w:hAnsi="Times New Roman" w:eastAsia="宋体" w:cs="Times New Roman"/>
          <w:b/>
          <w:bCs/>
          <w:color w:val="auto"/>
          <w:sz w:val="26"/>
          <w:szCs w:val="26"/>
        </w:rPr>
      </w:pPr>
      <w:r>
        <w:rPr>
          <w:rFonts w:hint="default" w:ascii="Times New Roman" w:hAnsi="Times New Roman" w:eastAsia="宋体" w:cs="Times New Roman"/>
          <w:b/>
          <w:bCs/>
          <w:color w:val="auto"/>
          <w:kern w:val="0"/>
          <w:sz w:val="24"/>
          <w:lang w:eastAsia="zh-CN"/>
        </w:rPr>
        <w:t>6.3.</w:t>
      </w:r>
      <w:r>
        <w:rPr>
          <w:rFonts w:hint="default" w:ascii="Times New Roman" w:hAnsi="Times New Roman" w:eastAsia="宋体" w:cs="Times New Roman"/>
          <w:b/>
          <w:bCs/>
          <w:color w:val="auto"/>
          <w:kern w:val="0"/>
          <w:sz w:val="24"/>
          <w:lang w:val="en-US" w:eastAsia="zh-CN"/>
        </w:rPr>
        <w:t>1</w:t>
      </w:r>
      <w:r>
        <w:rPr>
          <w:rFonts w:hint="default" w:ascii="Times New Roman" w:hAnsi="Times New Roman" w:eastAsia="宋体" w:cs="Times New Roman"/>
          <w:b/>
          <w:bCs/>
          <w:color w:val="auto"/>
          <w:kern w:val="0"/>
          <w:sz w:val="24"/>
          <w:lang w:eastAsia="zh-CN"/>
        </w:rPr>
        <w:t>.</w:t>
      </w:r>
      <w:r>
        <w:rPr>
          <w:rFonts w:hint="default" w:ascii="Times New Roman" w:hAnsi="Times New Roman" w:eastAsia="宋体" w:cs="Times New Roman"/>
          <w:b/>
          <w:bCs/>
          <w:color w:val="auto"/>
          <w:kern w:val="0"/>
          <w:sz w:val="24"/>
        </w:rPr>
        <w:t xml:space="preserve">6 </w:t>
      </w:r>
      <w:r>
        <w:rPr>
          <w:rFonts w:hint="default" w:ascii="Times New Roman" w:hAnsi="Times New Roman" w:eastAsia="宋体" w:cs="Times New Roman"/>
          <w:b/>
          <w:bCs/>
          <w:color w:val="auto"/>
          <w:sz w:val="26"/>
          <w:szCs w:val="26"/>
        </w:rPr>
        <w:t>预测结果小结</w:t>
      </w:r>
    </w:p>
    <w:p w14:paraId="51A09232">
      <w:pPr>
        <w:spacing w:line="360" w:lineRule="auto"/>
        <w:ind w:firstLine="48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按照导则附录J的J.2.4要求，风险事故情形分析及事故后果预测基本信息表，见表</w:t>
      </w:r>
      <w:r>
        <w:rPr>
          <w:rFonts w:hint="default" w:ascii="Times New Roman" w:hAnsi="Times New Roman" w:eastAsia="宋体" w:cs="Times New Roman"/>
          <w:color w:val="auto"/>
          <w:kern w:val="0"/>
          <w:sz w:val="24"/>
          <w:lang w:eastAsia="zh-CN"/>
        </w:rPr>
        <w:t>6.3-</w:t>
      </w:r>
      <w:r>
        <w:rPr>
          <w:rFonts w:hint="default" w:ascii="Times New Roman" w:hAnsi="Times New Roman" w:cs="Times New Roman"/>
          <w:color w:val="auto"/>
          <w:kern w:val="0"/>
          <w:sz w:val="24"/>
          <w:lang w:val="en-US" w:eastAsia="zh-CN"/>
        </w:rPr>
        <w:t>9</w:t>
      </w:r>
      <w:r>
        <w:rPr>
          <w:rFonts w:hint="default" w:ascii="Times New Roman" w:hAnsi="Times New Roman" w:eastAsia="宋体" w:cs="Times New Roman"/>
          <w:color w:val="auto"/>
          <w:kern w:val="0"/>
          <w:sz w:val="24"/>
        </w:rPr>
        <w:t>。</w:t>
      </w:r>
    </w:p>
    <w:p w14:paraId="43A0A9FD">
      <w:pPr>
        <w:spacing w:line="360" w:lineRule="auto"/>
        <w:jc w:val="center"/>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表</w:t>
      </w:r>
      <w:r>
        <w:rPr>
          <w:rFonts w:hint="default" w:ascii="Times New Roman" w:hAnsi="Times New Roman" w:eastAsia="宋体" w:cs="Times New Roman"/>
          <w:b/>
          <w:bCs/>
          <w:color w:val="auto"/>
          <w:kern w:val="0"/>
          <w:sz w:val="24"/>
          <w:lang w:eastAsia="zh-CN"/>
        </w:rPr>
        <w:t>6.3-</w:t>
      </w:r>
      <w:r>
        <w:rPr>
          <w:rFonts w:hint="default" w:ascii="Times New Roman" w:hAnsi="Times New Roman" w:cs="Times New Roman"/>
          <w:b/>
          <w:bCs/>
          <w:color w:val="auto"/>
          <w:kern w:val="0"/>
          <w:sz w:val="24"/>
          <w:lang w:val="en-US" w:eastAsia="zh-CN"/>
        </w:rPr>
        <w:t>9</w:t>
      </w:r>
      <w:r>
        <w:rPr>
          <w:rFonts w:hint="default" w:ascii="Times New Roman" w:hAnsi="Times New Roman" w:eastAsia="宋体" w:cs="Times New Roman"/>
          <w:b/>
          <w:bCs/>
          <w:color w:val="auto"/>
          <w:kern w:val="0"/>
          <w:sz w:val="24"/>
        </w:rPr>
        <w:t xml:space="preserve">  事故后果基本信息表</w:t>
      </w:r>
    </w:p>
    <w:tbl>
      <w:tblPr>
        <w:tblStyle w:val="81"/>
        <w:tblW w:w="9286"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851"/>
        <w:gridCol w:w="732"/>
        <w:gridCol w:w="402"/>
        <w:gridCol w:w="1189"/>
        <w:gridCol w:w="937"/>
        <w:gridCol w:w="427"/>
        <w:gridCol w:w="1274"/>
        <w:gridCol w:w="336"/>
        <w:gridCol w:w="1365"/>
        <w:gridCol w:w="142"/>
        <w:gridCol w:w="1631"/>
      </w:tblGrid>
      <w:tr w14:paraId="15F7BDE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86" w:type="dxa"/>
            <w:gridSpan w:val="11"/>
            <w:tcBorders>
              <w:bottom w:val="single" w:color="auto" w:sz="6" w:space="0"/>
            </w:tcBorders>
            <w:noWrap w:val="0"/>
            <w:vAlign w:val="center"/>
          </w:tcPr>
          <w:p w14:paraId="7661ABE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风险事故情形分析</w:t>
            </w:r>
          </w:p>
        </w:tc>
      </w:tr>
      <w:tr w14:paraId="55543D7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83" w:type="dxa"/>
            <w:gridSpan w:val="2"/>
            <w:tcBorders>
              <w:top w:val="single" w:color="auto" w:sz="6" w:space="0"/>
            </w:tcBorders>
            <w:noWrap w:val="0"/>
            <w:vAlign w:val="center"/>
          </w:tcPr>
          <w:p w14:paraId="7F8D1E0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代表性风险事故情形描述</w:t>
            </w:r>
          </w:p>
        </w:tc>
        <w:tc>
          <w:tcPr>
            <w:tcW w:w="7703" w:type="dxa"/>
            <w:gridSpan w:val="9"/>
            <w:tcBorders>
              <w:top w:val="single" w:color="auto" w:sz="6" w:space="0"/>
            </w:tcBorders>
            <w:noWrap w:val="0"/>
            <w:vAlign w:val="center"/>
          </w:tcPr>
          <w:p w14:paraId="53CA01B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硫酸铵受热分解导致氨气、SO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eastAsia="宋体" w:cs="Times New Roman"/>
                <w:color w:val="auto"/>
                <w:sz w:val="21"/>
                <w:szCs w:val="21"/>
                <w:highlight w:val="none"/>
              </w:rPr>
              <w:t>泄漏</w:t>
            </w:r>
          </w:p>
        </w:tc>
      </w:tr>
      <w:tr w14:paraId="3D8EA7A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83" w:type="dxa"/>
            <w:gridSpan w:val="2"/>
            <w:noWrap w:val="0"/>
            <w:vAlign w:val="center"/>
          </w:tcPr>
          <w:p w14:paraId="64B72A8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环境风险类型</w:t>
            </w:r>
          </w:p>
        </w:tc>
        <w:tc>
          <w:tcPr>
            <w:tcW w:w="7703" w:type="dxa"/>
            <w:gridSpan w:val="9"/>
            <w:noWrap w:val="0"/>
            <w:vAlign w:val="center"/>
          </w:tcPr>
          <w:p w14:paraId="133957E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泄漏</w:t>
            </w:r>
          </w:p>
        </w:tc>
      </w:tr>
      <w:tr w14:paraId="224875E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83" w:type="dxa"/>
            <w:gridSpan w:val="2"/>
            <w:noWrap w:val="0"/>
            <w:vAlign w:val="center"/>
          </w:tcPr>
          <w:p w14:paraId="1E45B25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eastAsia="zh-CN"/>
              </w:rPr>
              <w:t>泄漏</w:t>
            </w:r>
            <w:r>
              <w:rPr>
                <w:rFonts w:hint="default" w:ascii="Times New Roman" w:hAnsi="Times New Roman" w:eastAsia="宋体" w:cs="Times New Roman"/>
                <w:color w:val="auto"/>
                <w:sz w:val="21"/>
                <w:szCs w:val="21"/>
                <w:highlight w:val="none"/>
              </w:rPr>
              <w:t>设备类型</w:t>
            </w:r>
          </w:p>
        </w:tc>
        <w:tc>
          <w:tcPr>
            <w:tcW w:w="1591" w:type="dxa"/>
            <w:gridSpan w:val="2"/>
            <w:noWrap w:val="0"/>
            <w:vAlign w:val="center"/>
          </w:tcPr>
          <w:p w14:paraId="4EB462C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硫酸铵储存</w:t>
            </w:r>
          </w:p>
        </w:tc>
        <w:tc>
          <w:tcPr>
            <w:tcW w:w="1364" w:type="dxa"/>
            <w:gridSpan w:val="2"/>
            <w:noWrap w:val="0"/>
            <w:vAlign w:val="center"/>
          </w:tcPr>
          <w:p w14:paraId="58358D7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操作温度/℃</w:t>
            </w:r>
          </w:p>
        </w:tc>
        <w:tc>
          <w:tcPr>
            <w:tcW w:w="1610" w:type="dxa"/>
            <w:gridSpan w:val="2"/>
            <w:noWrap w:val="0"/>
            <w:vAlign w:val="center"/>
          </w:tcPr>
          <w:p w14:paraId="6FFD946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高温</w:t>
            </w:r>
          </w:p>
        </w:tc>
        <w:tc>
          <w:tcPr>
            <w:tcW w:w="1507" w:type="dxa"/>
            <w:gridSpan w:val="2"/>
            <w:noWrap w:val="0"/>
            <w:vAlign w:val="center"/>
          </w:tcPr>
          <w:p w14:paraId="6C913F4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操作压力/MPa</w:t>
            </w:r>
          </w:p>
        </w:tc>
        <w:tc>
          <w:tcPr>
            <w:tcW w:w="1631" w:type="dxa"/>
            <w:noWrap w:val="0"/>
            <w:vAlign w:val="center"/>
          </w:tcPr>
          <w:p w14:paraId="5C8134F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常压</w:t>
            </w:r>
          </w:p>
        </w:tc>
      </w:tr>
      <w:tr w14:paraId="38061F8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83" w:type="dxa"/>
            <w:gridSpan w:val="2"/>
            <w:noWrap w:val="0"/>
            <w:vAlign w:val="center"/>
          </w:tcPr>
          <w:p w14:paraId="5656340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eastAsia="zh-CN"/>
              </w:rPr>
              <w:t>泄漏</w:t>
            </w:r>
            <w:r>
              <w:rPr>
                <w:rFonts w:hint="default" w:ascii="Times New Roman" w:hAnsi="Times New Roman" w:eastAsia="宋体" w:cs="Times New Roman"/>
                <w:color w:val="auto"/>
                <w:sz w:val="21"/>
                <w:szCs w:val="21"/>
                <w:highlight w:val="none"/>
              </w:rPr>
              <w:t>危险物质</w:t>
            </w:r>
          </w:p>
        </w:tc>
        <w:tc>
          <w:tcPr>
            <w:tcW w:w="1591" w:type="dxa"/>
            <w:gridSpan w:val="2"/>
            <w:noWrap w:val="0"/>
            <w:vAlign w:val="center"/>
          </w:tcPr>
          <w:p w14:paraId="003A42F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氨气</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SO</w:t>
            </w:r>
            <w:r>
              <w:rPr>
                <w:rFonts w:hint="default" w:ascii="Times New Roman" w:hAnsi="Times New Roman" w:cs="Times New Roman"/>
                <w:color w:val="auto"/>
                <w:sz w:val="21"/>
                <w:szCs w:val="21"/>
                <w:highlight w:val="none"/>
                <w:vertAlign w:val="subscript"/>
                <w:lang w:val="en-US" w:eastAsia="zh-CN"/>
              </w:rPr>
              <w:t>2</w:t>
            </w:r>
          </w:p>
        </w:tc>
        <w:tc>
          <w:tcPr>
            <w:tcW w:w="1364" w:type="dxa"/>
            <w:gridSpan w:val="2"/>
            <w:noWrap w:val="0"/>
            <w:vAlign w:val="center"/>
          </w:tcPr>
          <w:p w14:paraId="15E5615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最大存在量</w:t>
            </w:r>
          </w:p>
        </w:tc>
        <w:tc>
          <w:tcPr>
            <w:tcW w:w="1610" w:type="dxa"/>
            <w:gridSpan w:val="2"/>
            <w:noWrap w:val="0"/>
            <w:vAlign w:val="center"/>
          </w:tcPr>
          <w:p w14:paraId="44753A8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硫酸铵最大储存量10000t</w:t>
            </w:r>
          </w:p>
        </w:tc>
        <w:tc>
          <w:tcPr>
            <w:tcW w:w="1507" w:type="dxa"/>
            <w:gridSpan w:val="2"/>
            <w:noWrap w:val="0"/>
            <w:vAlign w:val="center"/>
          </w:tcPr>
          <w:p w14:paraId="4658A79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泄露</w:t>
            </w:r>
            <w:r>
              <w:rPr>
                <w:rFonts w:hint="default" w:ascii="Times New Roman" w:hAnsi="Times New Roman" w:eastAsia="宋体" w:cs="Times New Roman"/>
                <w:color w:val="auto"/>
                <w:sz w:val="21"/>
                <w:szCs w:val="21"/>
                <w:highlight w:val="none"/>
                <w:lang w:val="en-US" w:eastAsia="zh-CN"/>
              </w:rPr>
              <w:t>孔径/mm</w:t>
            </w:r>
          </w:p>
        </w:tc>
        <w:tc>
          <w:tcPr>
            <w:tcW w:w="1631" w:type="dxa"/>
            <w:noWrap w:val="0"/>
            <w:vAlign w:val="center"/>
          </w:tcPr>
          <w:p w14:paraId="1FF2C22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2665BF1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83" w:type="dxa"/>
            <w:gridSpan w:val="2"/>
            <w:noWrap w:val="0"/>
            <w:vAlign w:val="center"/>
          </w:tcPr>
          <w:p w14:paraId="3E45DE9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泄露速率（kg/s）</w:t>
            </w:r>
          </w:p>
        </w:tc>
        <w:tc>
          <w:tcPr>
            <w:tcW w:w="1591" w:type="dxa"/>
            <w:gridSpan w:val="2"/>
            <w:noWrap w:val="0"/>
            <w:vAlign w:val="center"/>
          </w:tcPr>
          <w:p w14:paraId="4693018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氨气0.0143/SO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0.0404</w:t>
            </w:r>
          </w:p>
        </w:tc>
        <w:tc>
          <w:tcPr>
            <w:tcW w:w="1364" w:type="dxa"/>
            <w:gridSpan w:val="2"/>
            <w:noWrap w:val="0"/>
            <w:vAlign w:val="center"/>
          </w:tcPr>
          <w:p w14:paraId="19750DC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泄露时间/min</w:t>
            </w:r>
          </w:p>
        </w:tc>
        <w:tc>
          <w:tcPr>
            <w:tcW w:w="1610" w:type="dxa"/>
            <w:gridSpan w:val="2"/>
            <w:noWrap w:val="0"/>
            <w:vAlign w:val="center"/>
          </w:tcPr>
          <w:p w14:paraId="1377937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1507" w:type="dxa"/>
            <w:gridSpan w:val="2"/>
            <w:noWrap w:val="0"/>
            <w:vAlign w:val="center"/>
          </w:tcPr>
          <w:p w14:paraId="4CC5CBC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泄露量/kg</w:t>
            </w:r>
          </w:p>
        </w:tc>
        <w:tc>
          <w:tcPr>
            <w:tcW w:w="1631" w:type="dxa"/>
            <w:noWrap w:val="0"/>
            <w:vAlign w:val="center"/>
          </w:tcPr>
          <w:p w14:paraId="4E1BA13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8.58</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24.24</w:t>
            </w:r>
          </w:p>
        </w:tc>
      </w:tr>
      <w:tr w14:paraId="76A3582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83" w:type="dxa"/>
            <w:gridSpan w:val="2"/>
            <w:noWrap w:val="0"/>
            <w:vAlign w:val="center"/>
          </w:tcPr>
          <w:p w14:paraId="4A73045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泄露高度/m</w:t>
            </w:r>
          </w:p>
        </w:tc>
        <w:tc>
          <w:tcPr>
            <w:tcW w:w="1591" w:type="dxa"/>
            <w:gridSpan w:val="2"/>
            <w:noWrap w:val="0"/>
            <w:vAlign w:val="center"/>
          </w:tcPr>
          <w:p w14:paraId="7D08CAC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364" w:type="dxa"/>
            <w:gridSpan w:val="2"/>
            <w:noWrap w:val="0"/>
            <w:vAlign w:val="center"/>
          </w:tcPr>
          <w:p w14:paraId="36162A3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最不利气象条件下</w:t>
            </w:r>
            <w:r>
              <w:rPr>
                <w:rFonts w:hint="default" w:ascii="Times New Roman" w:hAnsi="Times New Roman" w:cs="Times New Roman"/>
                <w:color w:val="auto"/>
                <w:sz w:val="21"/>
                <w:szCs w:val="21"/>
                <w:highlight w:val="none"/>
                <w:lang w:val="en-US" w:eastAsia="zh-CN"/>
              </w:rPr>
              <w:t>泄漏液体</w:t>
            </w:r>
            <w:r>
              <w:rPr>
                <w:rFonts w:hint="default" w:ascii="Times New Roman" w:hAnsi="Times New Roman" w:eastAsia="宋体" w:cs="Times New Roman"/>
                <w:color w:val="auto"/>
                <w:sz w:val="21"/>
                <w:szCs w:val="21"/>
                <w:highlight w:val="none"/>
              </w:rPr>
              <w:t>蒸发量/kg/s</w:t>
            </w:r>
          </w:p>
        </w:tc>
        <w:tc>
          <w:tcPr>
            <w:tcW w:w="1610" w:type="dxa"/>
            <w:gridSpan w:val="2"/>
            <w:noWrap w:val="0"/>
            <w:vAlign w:val="center"/>
          </w:tcPr>
          <w:p w14:paraId="0AB86C5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507" w:type="dxa"/>
            <w:gridSpan w:val="2"/>
            <w:noWrap w:val="0"/>
            <w:vAlign w:val="center"/>
          </w:tcPr>
          <w:p w14:paraId="78B058F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泄露频率</w:t>
            </w:r>
          </w:p>
        </w:tc>
        <w:tc>
          <w:tcPr>
            <w:tcW w:w="1631" w:type="dxa"/>
            <w:noWrap w:val="0"/>
            <w:vAlign w:val="center"/>
          </w:tcPr>
          <w:p w14:paraId="600DEB7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cs="Times New Roman"/>
                <w:color w:val="auto"/>
                <w:sz w:val="21"/>
                <w:szCs w:val="21"/>
                <w:highlight w:val="none"/>
                <w:vertAlign w:val="superscript"/>
                <w:lang w:val="en-US" w:eastAsia="zh-CN"/>
              </w:rPr>
              <w:t>5</w:t>
            </w:r>
          </w:p>
        </w:tc>
      </w:tr>
      <w:tr w14:paraId="0225F40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86" w:type="dxa"/>
            <w:gridSpan w:val="11"/>
            <w:noWrap w:val="0"/>
            <w:vAlign w:val="center"/>
          </w:tcPr>
          <w:p w14:paraId="512EE89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color w:val="auto"/>
                <w:sz w:val="21"/>
                <w:szCs w:val="21"/>
                <w:highlight w:val="none"/>
              </w:rPr>
              <w:t>事故后果预测</w:t>
            </w:r>
          </w:p>
        </w:tc>
      </w:tr>
      <w:tr w14:paraId="39966DE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1" w:type="dxa"/>
            <w:vMerge w:val="restart"/>
            <w:noWrap w:val="0"/>
            <w:vAlign w:val="center"/>
          </w:tcPr>
          <w:p w14:paraId="4AAEEA9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w:t>
            </w:r>
          </w:p>
        </w:tc>
        <w:tc>
          <w:tcPr>
            <w:tcW w:w="1134" w:type="dxa"/>
            <w:gridSpan w:val="2"/>
            <w:noWrap w:val="0"/>
            <w:vAlign w:val="center"/>
          </w:tcPr>
          <w:p w14:paraId="605C399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危险物质</w:t>
            </w:r>
          </w:p>
        </w:tc>
        <w:tc>
          <w:tcPr>
            <w:tcW w:w="7301" w:type="dxa"/>
            <w:gridSpan w:val="8"/>
            <w:noWrap w:val="0"/>
            <w:vAlign w:val="center"/>
          </w:tcPr>
          <w:p w14:paraId="0978045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大气环境影响</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最不利气象条件下</w:t>
            </w:r>
            <w:r>
              <w:rPr>
                <w:rFonts w:hint="default" w:ascii="Times New Roman" w:hAnsi="Times New Roman" w:eastAsia="宋体" w:cs="Times New Roman"/>
                <w:color w:val="auto"/>
                <w:sz w:val="21"/>
                <w:szCs w:val="21"/>
                <w:highlight w:val="none"/>
                <w:lang w:eastAsia="zh-CN"/>
              </w:rPr>
              <w:t>）</w:t>
            </w:r>
          </w:p>
        </w:tc>
      </w:tr>
      <w:tr w14:paraId="7F1F823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1" w:type="dxa"/>
            <w:vMerge w:val="continue"/>
            <w:noWrap w:val="0"/>
            <w:vAlign w:val="center"/>
          </w:tcPr>
          <w:p w14:paraId="7CF0FEF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1134" w:type="dxa"/>
            <w:gridSpan w:val="2"/>
            <w:vMerge w:val="restart"/>
            <w:noWrap w:val="0"/>
            <w:vAlign w:val="center"/>
          </w:tcPr>
          <w:p w14:paraId="554AA5F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氨气</w:t>
            </w:r>
          </w:p>
        </w:tc>
        <w:tc>
          <w:tcPr>
            <w:tcW w:w="2126" w:type="dxa"/>
            <w:gridSpan w:val="2"/>
            <w:noWrap w:val="0"/>
            <w:vAlign w:val="center"/>
          </w:tcPr>
          <w:p w14:paraId="7812AF9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指标</w:t>
            </w:r>
          </w:p>
        </w:tc>
        <w:tc>
          <w:tcPr>
            <w:tcW w:w="1701" w:type="dxa"/>
            <w:gridSpan w:val="2"/>
            <w:noWrap w:val="0"/>
            <w:vAlign w:val="center"/>
          </w:tcPr>
          <w:p w14:paraId="546E58B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浓度值/</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lang w:eastAsia="zh-CN"/>
              </w:rPr>
              <w:t>）</w:t>
            </w:r>
          </w:p>
        </w:tc>
        <w:tc>
          <w:tcPr>
            <w:tcW w:w="1701" w:type="dxa"/>
            <w:gridSpan w:val="2"/>
            <w:noWrap w:val="0"/>
            <w:vAlign w:val="center"/>
          </w:tcPr>
          <w:p w14:paraId="52CEADF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最远影响距离/m</w:t>
            </w:r>
          </w:p>
        </w:tc>
        <w:tc>
          <w:tcPr>
            <w:tcW w:w="1773" w:type="dxa"/>
            <w:gridSpan w:val="2"/>
            <w:noWrap w:val="0"/>
            <w:vAlign w:val="center"/>
          </w:tcPr>
          <w:p w14:paraId="45A407F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到达时间/min</w:t>
            </w:r>
          </w:p>
        </w:tc>
      </w:tr>
      <w:tr w14:paraId="646C499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1" w:type="dxa"/>
            <w:vMerge w:val="continue"/>
            <w:noWrap w:val="0"/>
            <w:vAlign w:val="center"/>
          </w:tcPr>
          <w:p w14:paraId="103F41D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1134" w:type="dxa"/>
            <w:gridSpan w:val="2"/>
            <w:vMerge w:val="continue"/>
            <w:noWrap w:val="0"/>
            <w:vAlign w:val="center"/>
          </w:tcPr>
          <w:p w14:paraId="14D3943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2126" w:type="dxa"/>
            <w:gridSpan w:val="2"/>
            <w:noWrap w:val="0"/>
            <w:vAlign w:val="center"/>
          </w:tcPr>
          <w:p w14:paraId="34B6353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大气毒性终点浓度-1</w:t>
            </w:r>
          </w:p>
        </w:tc>
        <w:tc>
          <w:tcPr>
            <w:tcW w:w="1701" w:type="dxa"/>
            <w:gridSpan w:val="2"/>
            <w:noWrap w:val="0"/>
            <w:vAlign w:val="center"/>
          </w:tcPr>
          <w:p w14:paraId="40AF39C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lang w:val="en-US" w:eastAsia="zh-CN" w:bidi="ar-SA"/>
              </w:rPr>
              <w:t>770</w:t>
            </w:r>
          </w:p>
        </w:tc>
        <w:tc>
          <w:tcPr>
            <w:tcW w:w="1701" w:type="dxa"/>
            <w:gridSpan w:val="2"/>
            <w:noWrap w:val="0"/>
            <w:vAlign w:val="center"/>
          </w:tcPr>
          <w:p w14:paraId="4FB790B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773" w:type="dxa"/>
            <w:gridSpan w:val="2"/>
            <w:noWrap w:val="0"/>
            <w:vAlign w:val="center"/>
          </w:tcPr>
          <w:p w14:paraId="254CB38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09EAB0E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1" w:type="dxa"/>
            <w:vMerge w:val="continue"/>
            <w:noWrap w:val="0"/>
            <w:vAlign w:val="center"/>
          </w:tcPr>
          <w:p w14:paraId="1D82598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1134" w:type="dxa"/>
            <w:gridSpan w:val="2"/>
            <w:vMerge w:val="continue"/>
            <w:noWrap w:val="0"/>
            <w:vAlign w:val="center"/>
          </w:tcPr>
          <w:p w14:paraId="76129F7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2126" w:type="dxa"/>
            <w:gridSpan w:val="2"/>
            <w:noWrap w:val="0"/>
            <w:vAlign w:val="center"/>
          </w:tcPr>
          <w:p w14:paraId="19AA4FA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大气毒性终点浓度-2</w:t>
            </w:r>
          </w:p>
        </w:tc>
        <w:tc>
          <w:tcPr>
            <w:tcW w:w="1701" w:type="dxa"/>
            <w:gridSpan w:val="2"/>
            <w:noWrap w:val="0"/>
            <w:vAlign w:val="center"/>
          </w:tcPr>
          <w:p w14:paraId="74857B42">
            <w:pPr>
              <w:widowControl/>
              <w:jc w:val="center"/>
              <w:rPr>
                <w:rFonts w:hint="default" w:ascii="Times New Roman" w:hAnsi="Times New Roman" w:eastAsia="宋体" w:cs="Times New Roman"/>
                <w:color w:val="auto"/>
                <w:kern w:val="0"/>
                <w:sz w:val="21"/>
                <w:szCs w:val="22"/>
                <w:lang w:val="en-US" w:eastAsia="zh-CN" w:bidi="ar-SA"/>
              </w:rPr>
            </w:pPr>
            <w:r>
              <w:rPr>
                <w:rFonts w:hint="default" w:ascii="Times New Roman" w:hAnsi="Times New Roman" w:cs="Times New Roman"/>
                <w:color w:val="auto"/>
                <w:kern w:val="0"/>
                <w:sz w:val="21"/>
                <w:szCs w:val="22"/>
                <w:lang w:val="en-US" w:eastAsia="zh-CN" w:bidi="ar-SA"/>
              </w:rPr>
              <w:t>110</w:t>
            </w:r>
          </w:p>
        </w:tc>
        <w:tc>
          <w:tcPr>
            <w:tcW w:w="1701" w:type="dxa"/>
            <w:gridSpan w:val="2"/>
            <w:noWrap w:val="0"/>
            <w:vAlign w:val="center"/>
          </w:tcPr>
          <w:p w14:paraId="61342BB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773" w:type="dxa"/>
            <w:gridSpan w:val="2"/>
            <w:noWrap w:val="0"/>
            <w:vAlign w:val="center"/>
          </w:tcPr>
          <w:p w14:paraId="612A0CF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5270DEE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1" w:type="dxa"/>
            <w:vMerge w:val="continue"/>
            <w:noWrap w:val="0"/>
            <w:vAlign w:val="center"/>
          </w:tcPr>
          <w:p w14:paraId="25E3314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1134" w:type="dxa"/>
            <w:gridSpan w:val="2"/>
            <w:vMerge w:val="continue"/>
            <w:noWrap w:val="0"/>
            <w:vAlign w:val="center"/>
          </w:tcPr>
          <w:p w14:paraId="1DC0C03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2126" w:type="dxa"/>
            <w:gridSpan w:val="2"/>
            <w:noWrap w:val="0"/>
            <w:vAlign w:val="center"/>
          </w:tcPr>
          <w:p w14:paraId="53AFB57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敏感目标名称</w:t>
            </w:r>
          </w:p>
        </w:tc>
        <w:tc>
          <w:tcPr>
            <w:tcW w:w="1701" w:type="dxa"/>
            <w:gridSpan w:val="2"/>
            <w:noWrap w:val="0"/>
            <w:vAlign w:val="center"/>
          </w:tcPr>
          <w:p w14:paraId="31361EB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超标时间/min</w:t>
            </w:r>
          </w:p>
        </w:tc>
        <w:tc>
          <w:tcPr>
            <w:tcW w:w="1701" w:type="dxa"/>
            <w:gridSpan w:val="2"/>
            <w:noWrap w:val="0"/>
            <w:vAlign w:val="center"/>
          </w:tcPr>
          <w:p w14:paraId="16E2FAA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超标持续时间/min</w:t>
            </w:r>
          </w:p>
        </w:tc>
        <w:tc>
          <w:tcPr>
            <w:tcW w:w="1773" w:type="dxa"/>
            <w:gridSpan w:val="2"/>
            <w:noWrap w:val="0"/>
            <w:vAlign w:val="center"/>
          </w:tcPr>
          <w:p w14:paraId="0F898AB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最大浓度/</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lang w:eastAsia="zh-CN"/>
              </w:rPr>
              <w:t>）</w:t>
            </w:r>
          </w:p>
        </w:tc>
      </w:tr>
      <w:tr w14:paraId="7A2AA12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1" w:type="dxa"/>
            <w:vMerge w:val="continue"/>
            <w:noWrap w:val="0"/>
            <w:vAlign w:val="center"/>
          </w:tcPr>
          <w:p w14:paraId="6394306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1134" w:type="dxa"/>
            <w:gridSpan w:val="2"/>
            <w:vMerge w:val="continue"/>
            <w:noWrap w:val="0"/>
            <w:vAlign w:val="center"/>
          </w:tcPr>
          <w:p w14:paraId="493A39C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2126" w:type="dxa"/>
            <w:gridSpan w:val="2"/>
            <w:noWrap w:val="0"/>
            <w:vAlign w:val="center"/>
          </w:tcPr>
          <w:p w14:paraId="4905868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rPr>
              <w:t>杨兰村</w:t>
            </w:r>
          </w:p>
        </w:tc>
        <w:tc>
          <w:tcPr>
            <w:tcW w:w="1701" w:type="dxa"/>
            <w:gridSpan w:val="2"/>
            <w:noWrap w:val="0"/>
            <w:vAlign w:val="center"/>
          </w:tcPr>
          <w:p w14:paraId="2F7B374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未超标</w:t>
            </w:r>
          </w:p>
        </w:tc>
        <w:tc>
          <w:tcPr>
            <w:tcW w:w="1701" w:type="dxa"/>
            <w:gridSpan w:val="2"/>
            <w:noWrap w:val="0"/>
            <w:vAlign w:val="center"/>
          </w:tcPr>
          <w:p w14:paraId="0CD0E3B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773" w:type="dxa"/>
            <w:gridSpan w:val="2"/>
            <w:noWrap w:val="0"/>
            <w:vAlign w:val="center"/>
          </w:tcPr>
          <w:p w14:paraId="655E74E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7D8E485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10" w:hRule="atLeast"/>
          <w:jc w:val="center"/>
        </w:trPr>
        <w:tc>
          <w:tcPr>
            <w:tcW w:w="851" w:type="dxa"/>
            <w:vMerge w:val="continue"/>
            <w:noWrap w:val="0"/>
            <w:vAlign w:val="center"/>
          </w:tcPr>
          <w:p w14:paraId="0DDA8FC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1134" w:type="dxa"/>
            <w:gridSpan w:val="2"/>
            <w:vMerge w:val="continue"/>
            <w:noWrap w:val="0"/>
            <w:vAlign w:val="center"/>
          </w:tcPr>
          <w:p w14:paraId="0541FE5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2126" w:type="dxa"/>
            <w:gridSpan w:val="2"/>
            <w:noWrap w:val="0"/>
            <w:vAlign w:val="center"/>
          </w:tcPr>
          <w:p w14:paraId="6706786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rPr>
              <w:t>凤凰村</w:t>
            </w:r>
          </w:p>
        </w:tc>
        <w:tc>
          <w:tcPr>
            <w:tcW w:w="1701" w:type="dxa"/>
            <w:gridSpan w:val="2"/>
            <w:noWrap w:val="0"/>
            <w:vAlign w:val="center"/>
          </w:tcPr>
          <w:p w14:paraId="7992C04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未超标</w:t>
            </w:r>
          </w:p>
        </w:tc>
        <w:tc>
          <w:tcPr>
            <w:tcW w:w="1701" w:type="dxa"/>
            <w:gridSpan w:val="2"/>
            <w:noWrap w:val="0"/>
            <w:vAlign w:val="center"/>
          </w:tcPr>
          <w:p w14:paraId="712E284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773" w:type="dxa"/>
            <w:gridSpan w:val="2"/>
            <w:noWrap w:val="0"/>
            <w:vAlign w:val="center"/>
          </w:tcPr>
          <w:p w14:paraId="3B388DA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7999C4A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1" w:type="dxa"/>
            <w:vMerge w:val="continue"/>
            <w:noWrap w:val="0"/>
            <w:vAlign w:val="center"/>
          </w:tcPr>
          <w:p w14:paraId="593216A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1134" w:type="dxa"/>
            <w:gridSpan w:val="2"/>
            <w:vMerge w:val="continue"/>
            <w:noWrap w:val="0"/>
            <w:vAlign w:val="center"/>
          </w:tcPr>
          <w:p w14:paraId="0B24886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2126" w:type="dxa"/>
            <w:gridSpan w:val="2"/>
            <w:noWrap w:val="0"/>
            <w:vAlign w:val="center"/>
          </w:tcPr>
          <w:p w14:paraId="53B0C57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rPr>
              <w:t>南铺村</w:t>
            </w:r>
          </w:p>
        </w:tc>
        <w:tc>
          <w:tcPr>
            <w:tcW w:w="1701" w:type="dxa"/>
            <w:gridSpan w:val="2"/>
            <w:noWrap w:val="0"/>
            <w:vAlign w:val="center"/>
          </w:tcPr>
          <w:p w14:paraId="79F8131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未超标</w:t>
            </w:r>
          </w:p>
        </w:tc>
        <w:tc>
          <w:tcPr>
            <w:tcW w:w="1701" w:type="dxa"/>
            <w:gridSpan w:val="2"/>
            <w:noWrap w:val="0"/>
            <w:vAlign w:val="center"/>
          </w:tcPr>
          <w:p w14:paraId="60BB2D2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773" w:type="dxa"/>
            <w:gridSpan w:val="2"/>
            <w:noWrap w:val="0"/>
            <w:vAlign w:val="center"/>
          </w:tcPr>
          <w:p w14:paraId="3B172E6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29378C9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1" w:type="dxa"/>
            <w:vMerge w:val="continue"/>
            <w:noWrap w:val="0"/>
            <w:vAlign w:val="center"/>
          </w:tcPr>
          <w:p w14:paraId="03364A2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1134" w:type="dxa"/>
            <w:gridSpan w:val="2"/>
            <w:vMerge w:val="continue"/>
            <w:noWrap w:val="0"/>
            <w:vAlign w:val="center"/>
          </w:tcPr>
          <w:p w14:paraId="5A4B43C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2126" w:type="dxa"/>
            <w:gridSpan w:val="2"/>
            <w:noWrap w:val="0"/>
            <w:vAlign w:val="center"/>
          </w:tcPr>
          <w:p w14:paraId="76A180A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rPr>
              <w:t>瓦村</w:t>
            </w:r>
          </w:p>
        </w:tc>
        <w:tc>
          <w:tcPr>
            <w:tcW w:w="1701" w:type="dxa"/>
            <w:gridSpan w:val="2"/>
            <w:noWrap w:val="0"/>
            <w:vAlign w:val="center"/>
          </w:tcPr>
          <w:p w14:paraId="259ADD6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未超标</w:t>
            </w:r>
          </w:p>
        </w:tc>
        <w:tc>
          <w:tcPr>
            <w:tcW w:w="1701" w:type="dxa"/>
            <w:gridSpan w:val="2"/>
            <w:noWrap w:val="0"/>
            <w:vAlign w:val="center"/>
          </w:tcPr>
          <w:p w14:paraId="05E5A74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773" w:type="dxa"/>
            <w:gridSpan w:val="2"/>
            <w:noWrap w:val="0"/>
            <w:vAlign w:val="center"/>
          </w:tcPr>
          <w:p w14:paraId="37F565A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4BB9F6D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1" w:type="dxa"/>
            <w:vMerge w:val="continue"/>
            <w:noWrap w:val="0"/>
            <w:vAlign w:val="center"/>
          </w:tcPr>
          <w:p w14:paraId="65DE2D0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1134" w:type="dxa"/>
            <w:gridSpan w:val="2"/>
            <w:vMerge w:val="continue"/>
            <w:noWrap w:val="0"/>
            <w:vAlign w:val="center"/>
          </w:tcPr>
          <w:p w14:paraId="7B19D03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2126" w:type="dxa"/>
            <w:gridSpan w:val="2"/>
            <w:noWrap w:val="0"/>
            <w:vAlign w:val="center"/>
          </w:tcPr>
          <w:p w14:paraId="5A3D9A0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rPr>
              <w:t>小旦村</w:t>
            </w:r>
          </w:p>
        </w:tc>
        <w:tc>
          <w:tcPr>
            <w:tcW w:w="1701" w:type="dxa"/>
            <w:gridSpan w:val="2"/>
            <w:noWrap w:val="0"/>
            <w:vAlign w:val="center"/>
          </w:tcPr>
          <w:p w14:paraId="68568CB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未超标</w:t>
            </w:r>
          </w:p>
        </w:tc>
        <w:tc>
          <w:tcPr>
            <w:tcW w:w="1701" w:type="dxa"/>
            <w:gridSpan w:val="2"/>
            <w:noWrap w:val="0"/>
            <w:vAlign w:val="center"/>
          </w:tcPr>
          <w:p w14:paraId="5D061AE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773" w:type="dxa"/>
            <w:gridSpan w:val="2"/>
            <w:noWrap w:val="0"/>
            <w:vAlign w:val="center"/>
          </w:tcPr>
          <w:p w14:paraId="2EBDA68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270A291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1" w:type="dxa"/>
            <w:vMerge w:val="continue"/>
            <w:noWrap w:val="0"/>
            <w:vAlign w:val="center"/>
          </w:tcPr>
          <w:p w14:paraId="665C754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1134" w:type="dxa"/>
            <w:gridSpan w:val="2"/>
            <w:noWrap w:val="0"/>
            <w:vAlign w:val="center"/>
          </w:tcPr>
          <w:p w14:paraId="01141FA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危险物质</w:t>
            </w:r>
          </w:p>
        </w:tc>
        <w:tc>
          <w:tcPr>
            <w:tcW w:w="7301" w:type="dxa"/>
            <w:gridSpan w:val="8"/>
            <w:noWrap w:val="0"/>
            <w:vAlign w:val="center"/>
          </w:tcPr>
          <w:p w14:paraId="3A89613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大气环境影响</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最不利气象条件下</w:t>
            </w:r>
            <w:r>
              <w:rPr>
                <w:rFonts w:hint="default" w:ascii="Times New Roman" w:hAnsi="Times New Roman" w:eastAsia="宋体" w:cs="Times New Roman"/>
                <w:color w:val="auto"/>
                <w:sz w:val="21"/>
                <w:szCs w:val="21"/>
                <w:highlight w:val="none"/>
                <w:lang w:eastAsia="zh-CN"/>
              </w:rPr>
              <w:t>）</w:t>
            </w:r>
          </w:p>
        </w:tc>
      </w:tr>
      <w:tr w14:paraId="010C85A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1" w:type="dxa"/>
            <w:vMerge w:val="continue"/>
            <w:noWrap w:val="0"/>
            <w:vAlign w:val="center"/>
          </w:tcPr>
          <w:p w14:paraId="70A7CA7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1134" w:type="dxa"/>
            <w:gridSpan w:val="2"/>
            <w:vMerge w:val="restart"/>
            <w:noWrap w:val="0"/>
            <w:vAlign w:val="center"/>
          </w:tcPr>
          <w:p w14:paraId="725D01E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SO</w:t>
            </w:r>
            <w:r>
              <w:rPr>
                <w:rFonts w:hint="default" w:ascii="Times New Roman" w:hAnsi="Times New Roman" w:cs="Times New Roman"/>
                <w:color w:val="auto"/>
                <w:sz w:val="21"/>
                <w:szCs w:val="21"/>
                <w:highlight w:val="none"/>
                <w:vertAlign w:val="subscript"/>
                <w:lang w:val="en-US" w:eastAsia="zh-CN"/>
              </w:rPr>
              <w:t>2</w:t>
            </w:r>
          </w:p>
        </w:tc>
        <w:tc>
          <w:tcPr>
            <w:tcW w:w="2126" w:type="dxa"/>
            <w:gridSpan w:val="2"/>
            <w:noWrap w:val="0"/>
            <w:vAlign w:val="center"/>
          </w:tcPr>
          <w:p w14:paraId="0E581EA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指标</w:t>
            </w:r>
          </w:p>
        </w:tc>
        <w:tc>
          <w:tcPr>
            <w:tcW w:w="1701" w:type="dxa"/>
            <w:gridSpan w:val="2"/>
            <w:noWrap w:val="0"/>
            <w:vAlign w:val="center"/>
          </w:tcPr>
          <w:p w14:paraId="3DBE682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浓度值/</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lang w:eastAsia="zh-CN"/>
              </w:rPr>
              <w:t>）</w:t>
            </w:r>
          </w:p>
        </w:tc>
        <w:tc>
          <w:tcPr>
            <w:tcW w:w="1701" w:type="dxa"/>
            <w:gridSpan w:val="2"/>
            <w:noWrap w:val="0"/>
            <w:vAlign w:val="center"/>
          </w:tcPr>
          <w:p w14:paraId="10D20F2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最远影响距离/m</w:t>
            </w:r>
          </w:p>
        </w:tc>
        <w:tc>
          <w:tcPr>
            <w:tcW w:w="1773" w:type="dxa"/>
            <w:gridSpan w:val="2"/>
            <w:noWrap w:val="0"/>
            <w:vAlign w:val="center"/>
          </w:tcPr>
          <w:p w14:paraId="234B09A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到达时间/min</w:t>
            </w:r>
          </w:p>
        </w:tc>
      </w:tr>
      <w:tr w14:paraId="0F40BE1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1" w:type="dxa"/>
            <w:vMerge w:val="continue"/>
            <w:noWrap w:val="0"/>
            <w:vAlign w:val="center"/>
          </w:tcPr>
          <w:p w14:paraId="0D36846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1134" w:type="dxa"/>
            <w:gridSpan w:val="2"/>
            <w:vMerge w:val="continue"/>
            <w:noWrap w:val="0"/>
            <w:vAlign w:val="center"/>
          </w:tcPr>
          <w:p w14:paraId="0B48E6D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2126" w:type="dxa"/>
            <w:gridSpan w:val="2"/>
            <w:noWrap w:val="0"/>
            <w:vAlign w:val="center"/>
          </w:tcPr>
          <w:p w14:paraId="30FB8C7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大气毒性终点浓度-1</w:t>
            </w:r>
          </w:p>
        </w:tc>
        <w:tc>
          <w:tcPr>
            <w:tcW w:w="1701" w:type="dxa"/>
            <w:gridSpan w:val="2"/>
            <w:noWrap w:val="0"/>
            <w:vAlign w:val="center"/>
          </w:tcPr>
          <w:p w14:paraId="72371DF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lang w:val="en-US" w:eastAsia="zh-CN" w:bidi="ar-SA"/>
              </w:rPr>
              <w:t>79</w:t>
            </w:r>
          </w:p>
        </w:tc>
        <w:tc>
          <w:tcPr>
            <w:tcW w:w="1701" w:type="dxa"/>
            <w:gridSpan w:val="2"/>
            <w:noWrap w:val="0"/>
            <w:vAlign w:val="center"/>
          </w:tcPr>
          <w:p w14:paraId="73090CE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cs="Times New Roman"/>
                <w:color w:val="auto"/>
                <w:kern w:val="24"/>
                <w:sz w:val="21"/>
                <w:szCs w:val="21"/>
                <w:highlight w:val="none"/>
                <w:lang w:val="en-US" w:eastAsia="zh-CN" w:bidi="ar-SA"/>
              </w:rPr>
              <w:t>76</w:t>
            </w:r>
          </w:p>
        </w:tc>
        <w:tc>
          <w:tcPr>
            <w:tcW w:w="1773" w:type="dxa"/>
            <w:gridSpan w:val="2"/>
            <w:noWrap w:val="0"/>
            <w:vAlign w:val="center"/>
          </w:tcPr>
          <w:p w14:paraId="6B82ED7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4A9727F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1" w:type="dxa"/>
            <w:vMerge w:val="continue"/>
            <w:noWrap w:val="0"/>
            <w:vAlign w:val="center"/>
          </w:tcPr>
          <w:p w14:paraId="36C07DE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1134" w:type="dxa"/>
            <w:gridSpan w:val="2"/>
            <w:vMerge w:val="continue"/>
            <w:noWrap w:val="0"/>
            <w:vAlign w:val="center"/>
          </w:tcPr>
          <w:p w14:paraId="67038DF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2126" w:type="dxa"/>
            <w:gridSpan w:val="2"/>
            <w:noWrap w:val="0"/>
            <w:vAlign w:val="center"/>
          </w:tcPr>
          <w:p w14:paraId="2EB7A24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大气毒性终点浓度-2</w:t>
            </w:r>
          </w:p>
        </w:tc>
        <w:tc>
          <w:tcPr>
            <w:tcW w:w="1701" w:type="dxa"/>
            <w:gridSpan w:val="2"/>
            <w:noWrap w:val="0"/>
            <w:vAlign w:val="center"/>
          </w:tcPr>
          <w:p w14:paraId="7B33C7D8">
            <w:pPr>
              <w:widowControl/>
              <w:jc w:val="center"/>
              <w:rPr>
                <w:rFonts w:hint="default" w:ascii="Times New Roman" w:hAnsi="Times New Roman" w:eastAsia="宋体" w:cs="Times New Roman"/>
                <w:color w:val="auto"/>
                <w:kern w:val="0"/>
                <w:sz w:val="21"/>
                <w:szCs w:val="22"/>
                <w:lang w:val="en-US" w:eastAsia="zh-CN" w:bidi="ar-SA"/>
              </w:rPr>
            </w:pPr>
            <w:r>
              <w:rPr>
                <w:rFonts w:hint="default" w:ascii="Times New Roman" w:hAnsi="Times New Roman" w:cs="Times New Roman"/>
                <w:color w:val="auto"/>
                <w:kern w:val="0"/>
                <w:sz w:val="21"/>
                <w:szCs w:val="22"/>
                <w:lang w:val="en-US" w:eastAsia="zh-CN" w:bidi="ar-SA"/>
              </w:rPr>
              <w:t>2</w:t>
            </w:r>
          </w:p>
        </w:tc>
        <w:tc>
          <w:tcPr>
            <w:tcW w:w="1701" w:type="dxa"/>
            <w:gridSpan w:val="2"/>
            <w:noWrap w:val="0"/>
            <w:vAlign w:val="center"/>
          </w:tcPr>
          <w:p w14:paraId="3377387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cs="Times New Roman"/>
                <w:color w:val="auto"/>
                <w:kern w:val="24"/>
                <w:sz w:val="21"/>
                <w:szCs w:val="21"/>
                <w:highlight w:val="none"/>
                <w:lang w:val="en-US" w:eastAsia="zh-CN" w:bidi="ar-SA"/>
              </w:rPr>
              <w:t>12</w:t>
            </w:r>
          </w:p>
        </w:tc>
        <w:tc>
          <w:tcPr>
            <w:tcW w:w="1773" w:type="dxa"/>
            <w:gridSpan w:val="2"/>
            <w:noWrap w:val="0"/>
            <w:vAlign w:val="center"/>
          </w:tcPr>
          <w:p w14:paraId="2EF8893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368F9DF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1" w:type="dxa"/>
            <w:vMerge w:val="continue"/>
            <w:noWrap w:val="0"/>
            <w:vAlign w:val="center"/>
          </w:tcPr>
          <w:p w14:paraId="086DF9A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1134" w:type="dxa"/>
            <w:gridSpan w:val="2"/>
            <w:vMerge w:val="continue"/>
            <w:noWrap w:val="0"/>
            <w:vAlign w:val="center"/>
          </w:tcPr>
          <w:p w14:paraId="3B938AC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2126" w:type="dxa"/>
            <w:gridSpan w:val="2"/>
            <w:noWrap w:val="0"/>
            <w:vAlign w:val="center"/>
          </w:tcPr>
          <w:p w14:paraId="160B5CD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敏感目标名称</w:t>
            </w:r>
          </w:p>
        </w:tc>
        <w:tc>
          <w:tcPr>
            <w:tcW w:w="1701" w:type="dxa"/>
            <w:gridSpan w:val="2"/>
            <w:noWrap w:val="0"/>
            <w:vAlign w:val="center"/>
          </w:tcPr>
          <w:p w14:paraId="2991D11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超标时间/min</w:t>
            </w:r>
          </w:p>
        </w:tc>
        <w:tc>
          <w:tcPr>
            <w:tcW w:w="1701" w:type="dxa"/>
            <w:gridSpan w:val="2"/>
            <w:noWrap w:val="0"/>
            <w:vAlign w:val="center"/>
          </w:tcPr>
          <w:p w14:paraId="68519A2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超标持续时间/min</w:t>
            </w:r>
          </w:p>
        </w:tc>
        <w:tc>
          <w:tcPr>
            <w:tcW w:w="1773" w:type="dxa"/>
            <w:gridSpan w:val="2"/>
            <w:noWrap w:val="0"/>
            <w:vAlign w:val="center"/>
          </w:tcPr>
          <w:p w14:paraId="4506682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rPr>
              <w:t>最大浓度/</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lang w:eastAsia="zh-CN"/>
              </w:rPr>
              <w:t>）</w:t>
            </w:r>
          </w:p>
        </w:tc>
      </w:tr>
      <w:tr w14:paraId="4099119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1" w:type="dxa"/>
            <w:vMerge w:val="continue"/>
            <w:noWrap w:val="0"/>
            <w:vAlign w:val="center"/>
          </w:tcPr>
          <w:p w14:paraId="61AFF13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1134" w:type="dxa"/>
            <w:gridSpan w:val="2"/>
            <w:vMerge w:val="continue"/>
            <w:noWrap w:val="0"/>
            <w:vAlign w:val="center"/>
          </w:tcPr>
          <w:p w14:paraId="58D59C4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2126" w:type="dxa"/>
            <w:gridSpan w:val="2"/>
            <w:noWrap w:val="0"/>
            <w:vAlign w:val="center"/>
          </w:tcPr>
          <w:p w14:paraId="4037FBE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rPr>
              <w:t>杨兰村</w:t>
            </w:r>
          </w:p>
        </w:tc>
        <w:tc>
          <w:tcPr>
            <w:tcW w:w="1701" w:type="dxa"/>
            <w:gridSpan w:val="2"/>
            <w:noWrap w:val="0"/>
            <w:vAlign w:val="center"/>
          </w:tcPr>
          <w:p w14:paraId="437CF5C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未超标</w:t>
            </w:r>
          </w:p>
        </w:tc>
        <w:tc>
          <w:tcPr>
            <w:tcW w:w="1701" w:type="dxa"/>
            <w:gridSpan w:val="2"/>
            <w:noWrap w:val="0"/>
            <w:vAlign w:val="center"/>
          </w:tcPr>
          <w:p w14:paraId="4A83799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773" w:type="dxa"/>
            <w:gridSpan w:val="2"/>
            <w:noWrap w:val="0"/>
            <w:vAlign w:val="center"/>
          </w:tcPr>
          <w:p w14:paraId="63F6DDC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391430F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1" w:type="dxa"/>
            <w:vMerge w:val="continue"/>
            <w:noWrap w:val="0"/>
            <w:vAlign w:val="center"/>
          </w:tcPr>
          <w:p w14:paraId="2D46752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1134" w:type="dxa"/>
            <w:gridSpan w:val="2"/>
            <w:vMerge w:val="continue"/>
            <w:noWrap w:val="0"/>
            <w:vAlign w:val="center"/>
          </w:tcPr>
          <w:p w14:paraId="0BD49D9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2126" w:type="dxa"/>
            <w:gridSpan w:val="2"/>
            <w:noWrap w:val="0"/>
            <w:vAlign w:val="center"/>
          </w:tcPr>
          <w:p w14:paraId="0520022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rPr>
              <w:t>凤凰村</w:t>
            </w:r>
          </w:p>
        </w:tc>
        <w:tc>
          <w:tcPr>
            <w:tcW w:w="1701" w:type="dxa"/>
            <w:gridSpan w:val="2"/>
            <w:noWrap w:val="0"/>
            <w:vAlign w:val="center"/>
          </w:tcPr>
          <w:p w14:paraId="50D7256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未超标</w:t>
            </w:r>
          </w:p>
        </w:tc>
        <w:tc>
          <w:tcPr>
            <w:tcW w:w="1701" w:type="dxa"/>
            <w:gridSpan w:val="2"/>
            <w:noWrap w:val="0"/>
            <w:vAlign w:val="center"/>
          </w:tcPr>
          <w:p w14:paraId="3F519F7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773" w:type="dxa"/>
            <w:gridSpan w:val="2"/>
            <w:noWrap w:val="0"/>
            <w:vAlign w:val="center"/>
          </w:tcPr>
          <w:p w14:paraId="2B514C1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778D785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1" w:type="dxa"/>
            <w:vMerge w:val="continue"/>
            <w:noWrap w:val="0"/>
            <w:vAlign w:val="center"/>
          </w:tcPr>
          <w:p w14:paraId="3ED53BC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1134" w:type="dxa"/>
            <w:gridSpan w:val="2"/>
            <w:vMerge w:val="continue"/>
            <w:noWrap w:val="0"/>
            <w:vAlign w:val="center"/>
          </w:tcPr>
          <w:p w14:paraId="1E8CF93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2126" w:type="dxa"/>
            <w:gridSpan w:val="2"/>
            <w:noWrap w:val="0"/>
            <w:vAlign w:val="center"/>
          </w:tcPr>
          <w:p w14:paraId="30330E8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rPr>
              <w:t>南铺村</w:t>
            </w:r>
          </w:p>
        </w:tc>
        <w:tc>
          <w:tcPr>
            <w:tcW w:w="1701" w:type="dxa"/>
            <w:gridSpan w:val="2"/>
            <w:noWrap w:val="0"/>
            <w:vAlign w:val="center"/>
          </w:tcPr>
          <w:p w14:paraId="143396B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未超标</w:t>
            </w:r>
          </w:p>
        </w:tc>
        <w:tc>
          <w:tcPr>
            <w:tcW w:w="1701" w:type="dxa"/>
            <w:gridSpan w:val="2"/>
            <w:noWrap w:val="0"/>
            <w:vAlign w:val="center"/>
          </w:tcPr>
          <w:p w14:paraId="238E134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773" w:type="dxa"/>
            <w:gridSpan w:val="2"/>
            <w:noWrap w:val="0"/>
            <w:vAlign w:val="center"/>
          </w:tcPr>
          <w:p w14:paraId="60AB6F8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6458761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1" w:type="dxa"/>
            <w:vMerge w:val="continue"/>
            <w:noWrap w:val="0"/>
            <w:vAlign w:val="center"/>
          </w:tcPr>
          <w:p w14:paraId="621F4AA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1134" w:type="dxa"/>
            <w:gridSpan w:val="2"/>
            <w:vMerge w:val="continue"/>
            <w:noWrap w:val="0"/>
            <w:vAlign w:val="center"/>
          </w:tcPr>
          <w:p w14:paraId="5BD45E0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2126" w:type="dxa"/>
            <w:gridSpan w:val="2"/>
            <w:noWrap w:val="0"/>
            <w:vAlign w:val="center"/>
          </w:tcPr>
          <w:p w14:paraId="5DBFE05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rPr>
              <w:t>瓦村</w:t>
            </w:r>
          </w:p>
        </w:tc>
        <w:tc>
          <w:tcPr>
            <w:tcW w:w="1701" w:type="dxa"/>
            <w:gridSpan w:val="2"/>
            <w:noWrap w:val="0"/>
            <w:vAlign w:val="center"/>
          </w:tcPr>
          <w:p w14:paraId="2462EDF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未超标</w:t>
            </w:r>
          </w:p>
        </w:tc>
        <w:tc>
          <w:tcPr>
            <w:tcW w:w="1701" w:type="dxa"/>
            <w:gridSpan w:val="2"/>
            <w:noWrap w:val="0"/>
            <w:vAlign w:val="center"/>
          </w:tcPr>
          <w:p w14:paraId="1EA8E55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773" w:type="dxa"/>
            <w:gridSpan w:val="2"/>
            <w:noWrap w:val="0"/>
            <w:vAlign w:val="center"/>
          </w:tcPr>
          <w:p w14:paraId="62A4D82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67A4E62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1" w:type="dxa"/>
            <w:vMerge w:val="continue"/>
            <w:noWrap w:val="0"/>
            <w:vAlign w:val="center"/>
          </w:tcPr>
          <w:p w14:paraId="3A8E120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1134" w:type="dxa"/>
            <w:gridSpan w:val="2"/>
            <w:vMerge w:val="continue"/>
            <w:noWrap w:val="0"/>
            <w:vAlign w:val="center"/>
          </w:tcPr>
          <w:p w14:paraId="63D297C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rPr>
            </w:pPr>
          </w:p>
        </w:tc>
        <w:tc>
          <w:tcPr>
            <w:tcW w:w="2126" w:type="dxa"/>
            <w:gridSpan w:val="2"/>
            <w:noWrap w:val="0"/>
            <w:vAlign w:val="center"/>
          </w:tcPr>
          <w:p w14:paraId="2C0803C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rPr>
              <w:t>小旦村</w:t>
            </w:r>
          </w:p>
        </w:tc>
        <w:tc>
          <w:tcPr>
            <w:tcW w:w="1701" w:type="dxa"/>
            <w:gridSpan w:val="2"/>
            <w:noWrap w:val="0"/>
            <w:vAlign w:val="center"/>
          </w:tcPr>
          <w:p w14:paraId="3CE6C17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未超标</w:t>
            </w:r>
          </w:p>
        </w:tc>
        <w:tc>
          <w:tcPr>
            <w:tcW w:w="1701" w:type="dxa"/>
            <w:gridSpan w:val="2"/>
            <w:noWrap w:val="0"/>
            <w:vAlign w:val="center"/>
          </w:tcPr>
          <w:p w14:paraId="2BF5045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773" w:type="dxa"/>
            <w:gridSpan w:val="2"/>
            <w:noWrap w:val="0"/>
            <w:vAlign w:val="center"/>
          </w:tcPr>
          <w:p w14:paraId="63AF43A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bl>
    <w:p w14:paraId="4B2BB45E">
      <w:pPr>
        <w:pStyle w:val="1314"/>
        <w:spacing w:line="360" w:lineRule="auto"/>
        <w:ind w:left="9" w:right="-52"/>
        <w:jc w:val="both"/>
        <w:textAlignment w:val="baseline"/>
        <w:outlineLvl w:val="2"/>
        <w:rPr>
          <w:rFonts w:hint="default" w:ascii="Times New Roman" w:hAnsi="Times New Roman" w:eastAsia="宋体" w:cs="Times New Roman"/>
          <w:b/>
          <w:bCs/>
          <w:color w:val="auto"/>
          <w:sz w:val="28"/>
          <w:szCs w:val="28"/>
          <w:lang w:val="en-US"/>
        </w:rPr>
      </w:pPr>
      <w:bookmarkStart w:id="69" w:name="_Toc18363"/>
      <w:r>
        <w:rPr>
          <w:rFonts w:hint="default" w:ascii="Times New Roman" w:hAnsi="Times New Roman" w:eastAsia="宋体" w:cs="Times New Roman"/>
          <w:b/>
          <w:bCs/>
          <w:color w:val="auto"/>
          <w:sz w:val="28"/>
          <w:szCs w:val="28"/>
          <w:lang w:val="en-US" w:eastAsia="zh-CN"/>
        </w:rPr>
        <w:t>6.3.</w:t>
      </w:r>
      <w:r>
        <w:rPr>
          <w:rFonts w:hint="default" w:ascii="Times New Roman" w:hAnsi="Times New Roman" w:eastAsia="宋体" w:cs="Times New Roman"/>
          <w:b/>
          <w:bCs/>
          <w:color w:val="auto"/>
          <w:sz w:val="28"/>
          <w:szCs w:val="28"/>
          <w:lang w:val="en-US"/>
        </w:rPr>
        <w:t>2 地表水</w:t>
      </w:r>
      <w:r>
        <w:rPr>
          <w:rFonts w:hint="default" w:ascii="Times New Roman" w:hAnsi="Times New Roman" w:cs="Times New Roman"/>
          <w:b/>
          <w:bCs/>
          <w:color w:val="auto"/>
          <w:sz w:val="28"/>
          <w:szCs w:val="28"/>
          <w:lang w:val="en-US" w:eastAsia="zh-CN"/>
        </w:rPr>
        <w:t>、</w:t>
      </w:r>
      <w:r>
        <w:rPr>
          <w:rFonts w:hint="default" w:ascii="Times New Roman" w:hAnsi="Times New Roman" w:eastAsia="宋体" w:cs="Times New Roman"/>
          <w:b/>
          <w:bCs/>
          <w:color w:val="auto"/>
          <w:sz w:val="28"/>
          <w:szCs w:val="28"/>
          <w:lang w:val="en-US" w:eastAsia="zh-CN"/>
        </w:rPr>
        <w:t>地下水</w:t>
      </w:r>
      <w:r>
        <w:rPr>
          <w:rFonts w:hint="default" w:ascii="Times New Roman" w:hAnsi="Times New Roman" w:eastAsia="宋体" w:cs="Times New Roman"/>
          <w:b/>
          <w:bCs/>
          <w:color w:val="auto"/>
          <w:sz w:val="28"/>
          <w:szCs w:val="28"/>
          <w:lang w:val="en-US"/>
        </w:rPr>
        <w:t>环境风险影响评价</w:t>
      </w:r>
      <w:bookmarkEnd w:id="69"/>
    </w:p>
    <w:p w14:paraId="39DD3AA2">
      <w:pPr>
        <w:pStyle w:val="1314"/>
        <w:spacing w:line="360" w:lineRule="auto"/>
        <w:ind w:left="11" w:right="-51" w:firstLine="480" w:firstLineChars="200"/>
        <w:textAlignment w:val="baseline"/>
        <w:rPr>
          <w:rFonts w:hint="default" w:ascii="Times New Roman" w:hAnsi="Times New Roman" w:eastAsia="宋体" w:cs="Times New Roman"/>
          <w:color w:val="auto"/>
          <w:szCs w:val="26"/>
          <w:highlight w:val="none"/>
          <w:lang w:val="en-US"/>
        </w:rPr>
      </w:pPr>
      <w:r>
        <w:rPr>
          <w:rFonts w:hint="default" w:ascii="Times New Roman" w:hAnsi="Times New Roman" w:eastAsia="宋体" w:cs="Times New Roman"/>
          <w:color w:val="auto"/>
          <w:szCs w:val="26"/>
          <w:highlight w:val="none"/>
          <w:lang w:val="en-US"/>
        </w:rPr>
        <w:t>正常情况下，本项目原料</w:t>
      </w:r>
      <w:r>
        <w:rPr>
          <w:rFonts w:hint="default" w:ascii="Times New Roman" w:hAnsi="Times New Roman" w:cs="Times New Roman"/>
          <w:color w:val="auto"/>
          <w:szCs w:val="26"/>
          <w:highlight w:val="none"/>
          <w:lang w:val="en-US" w:eastAsia="zh-CN"/>
        </w:rPr>
        <w:t>部分散装在原料仓库，部分</w:t>
      </w:r>
      <w:r>
        <w:rPr>
          <w:rFonts w:hint="default" w:ascii="Times New Roman" w:hAnsi="Times New Roman" w:eastAsia="宋体" w:cs="Times New Roman"/>
          <w:color w:val="auto"/>
          <w:szCs w:val="26"/>
          <w:highlight w:val="none"/>
          <w:lang w:val="en-US"/>
        </w:rPr>
        <w:t>贮存在包装袋内，且袋内均有塑料薄膜包裹，同时原料</w:t>
      </w:r>
      <w:r>
        <w:rPr>
          <w:rFonts w:hint="default" w:ascii="Times New Roman" w:hAnsi="Times New Roman" w:cs="Times New Roman"/>
          <w:color w:val="auto"/>
          <w:szCs w:val="26"/>
          <w:highlight w:val="none"/>
          <w:lang w:val="en-US" w:eastAsia="zh-CN"/>
        </w:rPr>
        <w:t>仓库</w:t>
      </w:r>
      <w:r>
        <w:rPr>
          <w:rFonts w:hint="default" w:ascii="Times New Roman" w:hAnsi="Times New Roman" w:eastAsia="宋体" w:cs="Times New Roman"/>
          <w:color w:val="auto"/>
          <w:szCs w:val="26"/>
          <w:highlight w:val="none"/>
          <w:lang w:val="en-US"/>
        </w:rPr>
        <w:t>地面严格按照相应规范采取硬化防渗处理，房屋四周设置导排水沟，因此在原料使用转运过程若硫酸铵洒落，硫酸铵为固体，一般情况下不会流出厂区，如遇下雨天气，洒落的物料液会随雨水进入厂界的导排水沟，项目在厂区</w:t>
      </w:r>
      <w:r>
        <w:rPr>
          <w:rFonts w:hint="default" w:ascii="Times New Roman" w:hAnsi="Times New Roman" w:eastAsia="宋体" w:cs="Times New Roman"/>
          <w:color w:val="auto"/>
          <w:kern w:val="0"/>
          <w:sz w:val="24"/>
          <w:highlight w:val="none"/>
        </w:rPr>
        <w:t>拟建立三级防控系统，</w:t>
      </w:r>
      <w:r>
        <w:rPr>
          <w:rFonts w:hint="default" w:ascii="Times New Roman" w:hAnsi="Times New Roman" w:eastAsia="宋体" w:cs="Times New Roman"/>
          <w:color w:val="auto"/>
          <w:szCs w:val="26"/>
          <w:highlight w:val="none"/>
          <w:lang w:val="en-US"/>
        </w:rPr>
        <w:t>设置事故应急池</w:t>
      </w:r>
      <w:r>
        <w:rPr>
          <w:rFonts w:hint="default" w:ascii="Times New Roman" w:hAnsi="Times New Roman" w:cs="Times New Roman"/>
          <w:color w:val="auto"/>
          <w:szCs w:val="26"/>
          <w:highlight w:val="none"/>
          <w:lang w:val="en-US" w:eastAsia="zh-CN"/>
        </w:rPr>
        <w:t>（</w:t>
      </w:r>
      <w:r>
        <w:rPr>
          <w:rFonts w:hint="default" w:ascii="Times New Roman" w:hAnsi="Times New Roman" w:eastAsia="宋体" w:cs="Times New Roman"/>
          <w:color w:val="auto"/>
          <w:szCs w:val="26"/>
          <w:highlight w:val="none"/>
          <w:lang w:val="en-US"/>
        </w:rPr>
        <w:t>1座，容积</w:t>
      </w:r>
      <w:r>
        <w:rPr>
          <w:rFonts w:hint="default" w:ascii="Times New Roman" w:hAnsi="Times New Roman" w:cs="Times New Roman"/>
          <w:color w:val="auto"/>
          <w:szCs w:val="26"/>
          <w:highlight w:val="none"/>
          <w:lang w:val="en-US" w:eastAsia="zh-CN"/>
        </w:rPr>
        <w:t>200</w:t>
      </w:r>
      <w:r>
        <w:rPr>
          <w:rFonts w:hint="default" w:ascii="Times New Roman" w:hAnsi="Times New Roman" w:eastAsia="宋体" w:cs="Times New Roman"/>
          <w:color w:val="auto"/>
          <w:szCs w:val="26"/>
          <w:highlight w:val="none"/>
          <w:lang w:val="en-US"/>
        </w:rPr>
        <w:t>m</w:t>
      </w:r>
      <w:r>
        <w:rPr>
          <w:rFonts w:hint="default" w:ascii="Times New Roman" w:hAnsi="Times New Roman" w:eastAsia="宋体" w:cs="Times New Roman"/>
          <w:color w:val="auto"/>
          <w:szCs w:val="26"/>
          <w:highlight w:val="none"/>
          <w:vertAlign w:val="superscript"/>
          <w:lang w:val="en-US"/>
        </w:rPr>
        <w:t>3</w:t>
      </w:r>
      <w:r>
        <w:rPr>
          <w:rFonts w:hint="eastAsia" w:ascii="Times New Roman" w:hAnsi="Times New Roman" w:cs="Times New Roman"/>
          <w:color w:val="auto"/>
          <w:szCs w:val="26"/>
          <w:highlight w:val="none"/>
          <w:vertAlign w:val="superscript"/>
          <w:lang w:val="en-US" w:eastAsia="zh-CN"/>
        </w:rPr>
        <w:t>）</w:t>
      </w:r>
      <w:r>
        <w:rPr>
          <w:rFonts w:hint="default" w:ascii="Times New Roman" w:hAnsi="Times New Roman" w:eastAsia="宋体" w:cs="Times New Roman"/>
          <w:color w:val="auto"/>
          <w:szCs w:val="26"/>
          <w:highlight w:val="none"/>
          <w:lang w:val="en-US"/>
        </w:rPr>
        <w:t>，能够有效收集初期雨水及事故废水，事故应急池严格做好防渗防腐、防漏等措施，能有效避免事故废水对周围地表水及地下水环境的影响。</w:t>
      </w:r>
    </w:p>
    <w:p w14:paraId="18135007">
      <w:pPr>
        <w:pStyle w:val="1314"/>
        <w:spacing w:line="360" w:lineRule="auto"/>
        <w:ind w:left="11" w:right="-51" w:firstLine="480" w:firstLineChars="200"/>
        <w:textAlignment w:val="baseline"/>
        <w:rPr>
          <w:rFonts w:hint="default" w:ascii="Times New Roman" w:hAnsi="Times New Roman" w:eastAsia="宋体" w:cs="Times New Roman"/>
          <w:color w:val="auto"/>
          <w:szCs w:val="26"/>
          <w:highlight w:val="none"/>
          <w:lang w:val="en-US"/>
        </w:rPr>
      </w:pPr>
      <w:r>
        <w:rPr>
          <w:rFonts w:hint="default" w:ascii="Times New Roman" w:hAnsi="Times New Roman" w:eastAsia="宋体" w:cs="Times New Roman"/>
          <w:color w:val="auto"/>
          <w:szCs w:val="26"/>
          <w:highlight w:val="none"/>
          <w:lang w:val="en-US"/>
        </w:rPr>
        <w:t>因此，正常情况下，即使发生硫酸铵泄漏，同时恰逢下雨天气，也不会对地表水及地下水造成明显影响</w:t>
      </w:r>
      <w:r>
        <w:rPr>
          <w:rFonts w:hint="default" w:ascii="Times New Roman" w:hAnsi="Times New Roman" w:cs="Times New Roman"/>
          <w:color w:val="auto"/>
          <w:szCs w:val="26"/>
          <w:highlight w:val="none"/>
          <w:lang w:val="en-US" w:eastAsia="zh-CN"/>
        </w:rPr>
        <w:t>；</w:t>
      </w:r>
      <w:r>
        <w:rPr>
          <w:rFonts w:hint="default" w:ascii="Times New Roman" w:hAnsi="Times New Roman" w:eastAsia="宋体" w:cs="Times New Roman"/>
          <w:color w:val="auto"/>
          <w:szCs w:val="26"/>
          <w:highlight w:val="none"/>
          <w:lang w:val="en-US"/>
        </w:rPr>
        <w:t>建议企业应加强对相关设施设备的日常检修维护和监测工作，将有毒有害物质进入地表水、地下水环境的影响程度降至最低。</w:t>
      </w:r>
    </w:p>
    <w:p w14:paraId="7F791C10">
      <w:pPr>
        <w:pStyle w:val="1314"/>
        <w:spacing w:line="360" w:lineRule="auto"/>
        <w:ind w:left="9" w:right="-52"/>
        <w:jc w:val="both"/>
        <w:textAlignment w:val="baseline"/>
        <w:outlineLvl w:val="2"/>
        <w:rPr>
          <w:rFonts w:hint="default" w:ascii="Times New Roman" w:hAnsi="Times New Roman" w:eastAsia="宋体" w:cs="Times New Roman"/>
          <w:b/>
          <w:bCs/>
          <w:color w:val="auto"/>
          <w:sz w:val="28"/>
          <w:szCs w:val="28"/>
          <w:lang w:val="en-US" w:eastAsia="zh-CN"/>
        </w:rPr>
      </w:pPr>
      <w:bookmarkStart w:id="70" w:name="_Toc4052"/>
      <w:bookmarkStart w:id="71" w:name="_Hlk26031083"/>
      <w:r>
        <w:rPr>
          <w:rFonts w:hint="default" w:ascii="Times New Roman" w:hAnsi="Times New Roman" w:eastAsia="宋体" w:cs="Times New Roman"/>
          <w:b/>
          <w:bCs/>
          <w:color w:val="auto"/>
          <w:sz w:val="28"/>
          <w:szCs w:val="28"/>
          <w:lang w:val="en-US" w:eastAsia="zh-CN"/>
        </w:rPr>
        <w:t>6.3.4 环境风险评价</w:t>
      </w:r>
      <w:bookmarkEnd w:id="70"/>
    </w:p>
    <w:p w14:paraId="387B5600">
      <w:pPr>
        <w:adjustRightInd w:val="0"/>
        <w:snapToGrid w:val="0"/>
        <w:spacing w:line="360" w:lineRule="auto"/>
        <w:ind w:firstLine="480"/>
        <w:rPr>
          <w:rFonts w:hint="default" w:ascii="Times New Roman" w:hAnsi="Times New Roman"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rPr>
        <w:t>项目可能发生的主要风险事故为</w:t>
      </w:r>
      <w:r>
        <w:rPr>
          <w:rFonts w:hint="default" w:ascii="Times New Roman" w:hAnsi="Times New Roman" w:cs="Times New Roman"/>
          <w:color w:val="auto"/>
          <w:kern w:val="0"/>
          <w:sz w:val="24"/>
          <w:highlight w:val="none"/>
          <w:lang w:eastAsia="zh-CN"/>
        </w:rPr>
        <w:t>硫酸铵</w:t>
      </w:r>
      <w:r>
        <w:rPr>
          <w:rFonts w:hint="default" w:ascii="Times New Roman" w:hAnsi="Times New Roman" w:eastAsia="宋体" w:cs="Times New Roman"/>
          <w:color w:val="auto"/>
          <w:kern w:val="0"/>
          <w:sz w:val="24"/>
          <w:highlight w:val="none"/>
        </w:rPr>
        <w:t>泄漏事故。项目</w:t>
      </w:r>
      <w:r>
        <w:rPr>
          <w:rFonts w:hint="default" w:ascii="Times New Roman" w:hAnsi="Times New Roman" w:cs="Times New Roman"/>
          <w:color w:val="auto"/>
          <w:kern w:val="0"/>
          <w:sz w:val="24"/>
          <w:highlight w:val="none"/>
          <w:lang w:val="en-US" w:eastAsia="zh-CN"/>
        </w:rPr>
        <w:t>硫酸铵</w:t>
      </w:r>
      <w:r>
        <w:rPr>
          <w:rFonts w:hint="default" w:ascii="Times New Roman" w:hAnsi="Times New Roman" w:eastAsia="宋体" w:cs="Times New Roman"/>
          <w:color w:val="auto"/>
          <w:kern w:val="0"/>
          <w:sz w:val="24"/>
          <w:highlight w:val="none"/>
        </w:rPr>
        <w:t>发生泄漏时，</w:t>
      </w:r>
      <w:r>
        <w:rPr>
          <w:rFonts w:hint="default" w:ascii="Times New Roman" w:hAnsi="Times New Roman" w:cs="Times New Roman"/>
          <w:color w:val="auto"/>
          <w:kern w:val="0"/>
          <w:sz w:val="24"/>
          <w:highlight w:val="none"/>
          <w:lang w:val="en-US" w:eastAsia="zh-CN"/>
        </w:rPr>
        <w:t>受热分解氨气、SO</w:t>
      </w:r>
      <w:r>
        <w:rPr>
          <w:rFonts w:hint="default" w:ascii="Times New Roman" w:hAnsi="Times New Roman" w:cs="Times New Roman"/>
          <w:color w:val="auto"/>
          <w:kern w:val="0"/>
          <w:sz w:val="24"/>
          <w:highlight w:val="none"/>
          <w:vertAlign w:val="subscript"/>
          <w:lang w:val="en-US" w:eastAsia="zh-CN"/>
        </w:rPr>
        <w:t>2</w:t>
      </w:r>
      <w:r>
        <w:rPr>
          <w:rFonts w:hint="default" w:ascii="Times New Roman" w:hAnsi="Times New Roman" w:cs="Times New Roman"/>
          <w:color w:val="auto"/>
          <w:kern w:val="0"/>
          <w:sz w:val="24"/>
          <w:highlight w:val="none"/>
          <w:lang w:val="en-US" w:eastAsia="zh-CN"/>
        </w:rPr>
        <w:t>，</w:t>
      </w:r>
      <w:r>
        <w:rPr>
          <w:rFonts w:hint="default" w:ascii="Times New Roman" w:hAnsi="Times New Roman" w:eastAsia="宋体" w:cs="Times New Roman"/>
          <w:b w:val="0"/>
          <w:bCs w:val="0"/>
          <w:color w:val="auto"/>
          <w:kern w:val="0"/>
          <w:sz w:val="24"/>
          <w:szCs w:val="24"/>
          <w:highlight w:val="none"/>
          <w:lang w:val="en-US" w:eastAsia="zh-CN" w:bidi="ar"/>
        </w:rPr>
        <w:t>在最不利气象条件下，发生氨气泄漏事故，敏感点未达到毒性终点浓度-1（阈值</w:t>
      </w:r>
      <w:r>
        <w:rPr>
          <w:rFonts w:hint="default" w:ascii="Times New Roman" w:hAnsi="Times New Roman" w:cs="Times New Roman"/>
          <w:b w:val="0"/>
          <w:bCs w:val="0"/>
          <w:color w:val="auto"/>
          <w:kern w:val="0"/>
          <w:sz w:val="24"/>
          <w:szCs w:val="24"/>
          <w:highlight w:val="none"/>
          <w:lang w:val="en-US" w:eastAsia="zh-CN" w:bidi="ar"/>
        </w:rPr>
        <w:t>770</w:t>
      </w:r>
      <w:r>
        <w:rPr>
          <w:rFonts w:hint="default" w:ascii="Times New Roman" w:hAnsi="Times New Roman" w:eastAsia="宋体" w:cs="Times New Roman"/>
          <w:b w:val="0"/>
          <w:bCs w:val="0"/>
          <w:color w:val="auto"/>
          <w:kern w:val="0"/>
          <w:sz w:val="24"/>
          <w:szCs w:val="24"/>
          <w:highlight w:val="none"/>
          <w:lang w:val="en-US" w:eastAsia="zh-CN" w:bidi="ar"/>
        </w:rPr>
        <w:t>mg/m</w:t>
      </w:r>
      <w:r>
        <w:rPr>
          <w:rFonts w:hint="default" w:ascii="Times New Roman" w:hAnsi="Times New Roman" w:eastAsia="宋体" w:cs="Times New Roman"/>
          <w:b w:val="0"/>
          <w:bCs w:val="0"/>
          <w:color w:val="auto"/>
          <w:kern w:val="0"/>
          <w:sz w:val="24"/>
          <w:szCs w:val="24"/>
          <w:highlight w:val="none"/>
          <w:vertAlign w:val="superscript"/>
          <w:lang w:val="en-US" w:eastAsia="zh-CN" w:bidi="ar"/>
        </w:rPr>
        <w:t>3</w:t>
      </w:r>
      <w:r>
        <w:rPr>
          <w:rFonts w:hint="default" w:ascii="Times New Roman" w:hAnsi="Times New Roman" w:eastAsia="宋体" w:cs="Times New Roman"/>
          <w:b w:val="0"/>
          <w:bCs w:val="0"/>
          <w:color w:val="auto"/>
          <w:kern w:val="0"/>
          <w:sz w:val="24"/>
          <w:szCs w:val="24"/>
          <w:highlight w:val="none"/>
          <w:lang w:val="en-US" w:eastAsia="zh-CN" w:bidi="ar"/>
        </w:rPr>
        <w:t>）和毒性终点浓度-2（阈值</w:t>
      </w:r>
      <w:r>
        <w:rPr>
          <w:rFonts w:hint="default" w:ascii="Times New Roman" w:hAnsi="Times New Roman" w:cs="Times New Roman"/>
          <w:b w:val="0"/>
          <w:bCs w:val="0"/>
          <w:color w:val="auto"/>
          <w:kern w:val="0"/>
          <w:sz w:val="24"/>
          <w:szCs w:val="24"/>
          <w:highlight w:val="none"/>
          <w:lang w:val="en-US" w:eastAsia="zh-CN" w:bidi="ar"/>
        </w:rPr>
        <w:t>79</w:t>
      </w:r>
      <w:r>
        <w:rPr>
          <w:rFonts w:hint="default" w:ascii="Times New Roman" w:hAnsi="Times New Roman" w:eastAsia="宋体" w:cs="Times New Roman"/>
          <w:b w:val="0"/>
          <w:bCs w:val="0"/>
          <w:color w:val="auto"/>
          <w:kern w:val="0"/>
          <w:sz w:val="24"/>
          <w:szCs w:val="24"/>
          <w:highlight w:val="none"/>
          <w:lang w:val="en-US" w:eastAsia="zh-CN" w:bidi="ar"/>
        </w:rPr>
        <w:t>mg/m</w:t>
      </w:r>
      <w:r>
        <w:rPr>
          <w:rFonts w:hint="default" w:ascii="Times New Roman" w:hAnsi="Times New Roman" w:eastAsia="宋体" w:cs="Times New Roman"/>
          <w:b w:val="0"/>
          <w:bCs w:val="0"/>
          <w:color w:val="auto"/>
          <w:kern w:val="0"/>
          <w:sz w:val="24"/>
          <w:szCs w:val="24"/>
          <w:highlight w:val="none"/>
          <w:vertAlign w:val="superscript"/>
          <w:lang w:val="en-US" w:eastAsia="zh-CN" w:bidi="ar"/>
        </w:rPr>
        <w:t>3</w:t>
      </w:r>
      <w:r>
        <w:rPr>
          <w:rFonts w:hint="default" w:ascii="Times New Roman" w:hAnsi="Times New Roman" w:eastAsia="宋体" w:cs="Times New Roman"/>
          <w:b w:val="0"/>
          <w:bCs w:val="0"/>
          <w:color w:val="auto"/>
          <w:kern w:val="0"/>
          <w:sz w:val="24"/>
          <w:szCs w:val="24"/>
          <w:highlight w:val="none"/>
          <w:lang w:val="en-US" w:eastAsia="zh-CN" w:bidi="ar"/>
        </w:rPr>
        <w:t>），发生</w:t>
      </w:r>
      <w:r>
        <w:rPr>
          <w:rFonts w:hint="default" w:ascii="Times New Roman" w:hAnsi="Times New Roman" w:cs="Times New Roman"/>
          <w:b w:val="0"/>
          <w:bCs w:val="0"/>
          <w:color w:val="auto"/>
          <w:kern w:val="0"/>
          <w:sz w:val="24"/>
          <w:highlight w:val="none"/>
          <w:lang w:val="en-US" w:eastAsia="zh-CN"/>
        </w:rPr>
        <w:t>SO</w:t>
      </w:r>
      <w:r>
        <w:rPr>
          <w:rFonts w:hint="default" w:ascii="Times New Roman" w:hAnsi="Times New Roman" w:cs="Times New Roman"/>
          <w:b w:val="0"/>
          <w:bCs w:val="0"/>
          <w:color w:val="auto"/>
          <w:kern w:val="0"/>
          <w:sz w:val="24"/>
          <w:highlight w:val="none"/>
          <w:vertAlign w:val="subscript"/>
          <w:lang w:val="en-US" w:eastAsia="zh-CN"/>
        </w:rPr>
        <w:t>2</w:t>
      </w:r>
      <w:r>
        <w:rPr>
          <w:rFonts w:hint="default" w:ascii="Times New Roman" w:hAnsi="Times New Roman" w:eastAsia="宋体" w:cs="Times New Roman"/>
          <w:b w:val="0"/>
          <w:bCs w:val="0"/>
          <w:color w:val="auto"/>
          <w:kern w:val="0"/>
          <w:sz w:val="24"/>
          <w:szCs w:val="24"/>
          <w:highlight w:val="none"/>
          <w:lang w:val="en-US" w:eastAsia="zh-CN" w:bidi="ar"/>
        </w:rPr>
        <w:t>泄漏事故，</w:t>
      </w:r>
      <w:r>
        <w:rPr>
          <w:rFonts w:hint="default" w:ascii="Times New Roman" w:hAnsi="Times New Roman" w:eastAsia="宋体" w:cs="Times New Roman"/>
          <w:color w:val="auto"/>
          <w:kern w:val="0"/>
          <w:sz w:val="24"/>
          <w:highlight w:val="none"/>
        </w:rPr>
        <w:t>在最不利气象条件下毒性终点浓度最大影响半径为</w:t>
      </w:r>
      <w:r>
        <w:rPr>
          <w:rFonts w:hint="default" w:ascii="Times New Roman" w:hAnsi="Times New Roman" w:cs="Times New Roman"/>
          <w:color w:val="auto"/>
          <w:kern w:val="0"/>
          <w:sz w:val="24"/>
          <w:highlight w:val="none"/>
          <w:lang w:val="en-US" w:eastAsia="zh-CN"/>
        </w:rPr>
        <w:t>76</w:t>
      </w:r>
      <w:r>
        <w:rPr>
          <w:rFonts w:hint="default" w:ascii="Times New Roman" w:hAnsi="Times New Roman" w:eastAsia="宋体" w:cs="Times New Roman"/>
          <w:color w:val="auto"/>
          <w:kern w:val="0"/>
          <w:sz w:val="24"/>
          <w:highlight w:val="none"/>
        </w:rPr>
        <w:t>m</w:t>
      </w:r>
      <w:r>
        <w:rPr>
          <w:rFonts w:hint="default" w:ascii="Times New Roman" w:hAnsi="Times New Roman" w:cs="Times New Roman"/>
          <w:b w:val="0"/>
          <w:bCs w:val="0"/>
          <w:color w:val="auto"/>
          <w:kern w:val="0"/>
          <w:sz w:val="24"/>
          <w:szCs w:val="24"/>
          <w:highlight w:val="none"/>
          <w:lang w:val="en-US" w:eastAsia="zh-CN" w:bidi="ar"/>
        </w:rPr>
        <w:t>，</w:t>
      </w:r>
      <w:r>
        <w:rPr>
          <w:rFonts w:hint="default" w:ascii="Times New Roman" w:hAnsi="Times New Roman" w:eastAsia="宋体" w:cs="Times New Roman"/>
          <w:b w:val="0"/>
          <w:bCs w:val="0"/>
          <w:color w:val="auto"/>
          <w:kern w:val="0"/>
          <w:sz w:val="24"/>
          <w:szCs w:val="24"/>
          <w:highlight w:val="none"/>
          <w:lang w:val="en-US" w:eastAsia="zh-CN" w:bidi="ar"/>
        </w:rPr>
        <w:t>敏感点未达到毒性终点浓度-1（阈值</w:t>
      </w:r>
      <w:r>
        <w:rPr>
          <w:rFonts w:hint="default" w:ascii="Times New Roman" w:hAnsi="Times New Roman" w:cs="Times New Roman"/>
          <w:b w:val="0"/>
          <w:bCs w:val="0"/>
          <w:color w:val="auto"/>
          <w:kern w:val="0"/>
          <w:sz w:val="24"/>
          <w:szCs w:val="24"/>
          <w:highlight w:val="none"/>
          <w:lang w:val="en-US" w:eastAsia="zh-CN" w:bidi="ar"/>
        </w:rPr>
        <w:t>79</w:t>
      </w:r>
      <w:r>
        <w:rPr>
          <w:rFonts w:hint="default" w:ascii="Times New Roman" w:hAnsi="Times New Roman" w:eastAsia="宋体" w:cs="Times New Roman"/>
          <w:b w:val="0"/>
          <w:bCs w:val="0"/>
          <w:color w:val="auto"/>
          <w:kern w:val="0"/>
          <w:sz w:val="24"/>
          <w:szCs w:val="24"/>
          <w:highlight w:val="none"/>
          <w:lang w:val="en-US" w:eastAsia="zh-CN" w:bidi="ar"/>
        </w:rPr>
        <w:t>mg/m</w:t>
      </w:r>
      <w:r>
        <w:rPr>
          <w:rFonts w:hint="default" w:ascii="Times New Roman" w:hAnsi="Times New Roman" w:eastAsia="宋体" w:cs="Times New Roman"/>
          <w:b w:val="0"/>
          <w:bCs w:val="0"/>
          <w:color w:val="auto"/>
          <w:kern w:val="0"/>
          <w:sz w:val="24"/>
          <w:szCs w:val="24"/>
          <w:highlight w:val="none"/>
          <w:vertAlign w:val="superscript"/>
          <w:lang w:val="en-US" w:eastAsia="zh-CN" w:bidi="ar"/>
        </w:rPr>
        <w:t>3</w:t>
      </w:r>
      <w:r>
        <w:rPr>
          <w:rFonts w:hint="default" w:ascii="Times New Roman" w:hAnsi="Times New Roman" w:eastAsia="宋体" w:cs="Times New Roman"/>
          <w:b w:val="0"/>
          <w:bCs w:val="0"/>
          <w:color w:val="auto"/>
          <w:kern w:val="0"/>
          <w:sz w:val="24"/>
          <w:szCs w:val="24"/>
          <w:highlight w:val="none"/>
          <w:lang w:val="en-US" w:eastAsia="zh-CN" w:bidi="ar"/>
        </w:rPr>
        <w:t>）和毒性终点浓度-2（阈值</w:t>
      </w:r>
      <w:r>
        <w:rPr>
          <w:rFonts w:hint="default" w:ascii="Times New Roman" w:hAnsi="Times New Roman" w:cs="Times New Roman"/>
          <w:b w:val="0"/>
          <w:bCs w:val="0"/>
          <w:color w:val="auto"/>
          <w:kern w:val="0"/>
          <w:sz w:val="24"/>
          <w:szCs w:val="24"/>
          <w:highlight w:val="none"/>
          <w:lang w:val="en-US" w:eastAsia="zh-CN" w:bidi="ar"/>
        </w:rPr>
        <w:t>2</w:t>
      </w:r>
      <w:r>
        <w:rPr>
          <w:rFonts w:hint="default" w:ascii="Times New Roman" w:hAnsi="Times New Roman" w:eastAsia="宋体" w:cs="Times New Roman"/>
          <w:b w:val="0"/>
          <w:bCs w:val="0"/>
          <w:color w:val="auto"/>
          <w:kern w:val="0"/>
          <w:sz w:val="24"/>
          <w:szCs w:val="24"/>
          <w:highlight w:val="none"/>
          <w:lang w:val="en-US" w:eastAsia="zh-CN" w:bidi="ar"/>
        </w:rPr>
        <w:t>mg/m</w:t>
      </w:r>
      <w:r>
        <w:rPr>
          <w:rFonts w:hint="default" w:ascii="Times New Roman" w:hAnsi="Times New Roman" w:eastAsia="宋体" w:cs="Times New Roman"/>
          <w:b w:val="0"/>
          <w:bCs w:val="0"/>
          <w:color w:val="auto"/>
          <w:kern w:val="0"/>
          <w:sz w:val="24"/>
          <w:szCs w:val="24"/>
          <w:highlight w:val="none"/>
          <w:vertAlign w:val="superscript"/>
          <w:lang w:val="en-US" w:eastAsia="zh-CN" w:bidi="ar"/>
        </w:rPr>
        <w:t>3</w:t>
      </w:r>
      <w:r>
        <w:rPr>
          <w:rFonts w:hint="default" w:ascii="Times New Roman" w:hAnsi="Times New Roman" w:eastAsia="宋体" w:cs="Times New Roman"/>
          <w:b w:val="0"/>
          <w:bCs w:val="0"/>
          <w:color w:val="auto"/>
          <w:kern w:val="0"/>
          <w:sz w:val="24"/>
          <w:szCs w:val="24"/>
          <w:highlight w:val="none"/>
          <w:lang w:val="en-US" w:eastAsia="zh-CN" w:bidi="ar"/>
        </w:rPr>
        <w:t>）</w:t>
      </w:r>
      <w:r>
        <w:rPr>
          <w:rFonts w:hint="default" w:ascii="Times New Roman" w:hAnsi="Times New Roman" w:cs="Times New Roman"/>
          <w:b w:val="0"/>
          <w:bCs w:val="0"/>
          <w:color w:val="auto"/>
          <w:kern w:val="0"/>
          <w:sz w:val="24"/>
          <w:szCs w:val="24"/>
          <w:highlight w:val="none"/>
          <w:lang w:val="en-US" w:eastAsia="zh-CN" w:bidi="ar"/>
        </w:rPr>
        <w:t>，SO2</w:t>
      </w:r>
      <w:r>
        <w:rPr>
          <w:rFonts w:hint="default" w:ascii="Times New Roman" w:hAnsi="Times New Roman" w:eastAsia="宋体" w:cs="Times New Roman"/>
          <w:b w:val="0"/>
          <w:bCs w:val="0"/>
          <w:color w:val="auto"/>
          <w:kern w:val="0"/>
          <w:sz w:val="24"/>
          <w:szCs w:val="24"/>
          <w:highlight w:val="none"/>
          <w:lang w:val="en-US" w:eastAsia="zh-CN" w:bidi="ar"/>
        </w:rPr>
        <w:t>对周边人群及企业影响不大</w:t>
      </w:r>
      <w:r>
        <w:rPr>
          <w:rFonts w:hint="default" w:ascii="Times New Roman" w:hAnsi="Times New Roman" w:cs="Times New Roman"/>
          <w:b w:val="0"/>
          <w:bCs w:val="0"/>
          <w:color w:val="auto"/>
          <w:kern w:val="0"/>
          <w:sz w:val="24"/>
          <w:szCs w:val="24"/>
          <w:highlight w:val="none"/>
          <w:lang w:val="en-US" w:eastAsia="zh-CN" w:bidi="ar"/>
        </w:rPr>
        <w:t>。</w:t>
      </w:r>
    </w:p>
    <w:p w14:paraId="77E96F44">
      <w:pPr>
        <w:adjustRightInd w:val="0"/>
        <w:snapToGrid w:val="0"/>
        <w:spacing w:line="360" w:lineRule="auto"/>
        <w:ind w:firstLine="48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（2）地表水</w:t>
      </w:r>
      <w:r>
        <w:rPr>
          <w:rFonts w:hint="default" w:ascii="Times New Roman" w:hAnsi="Times New Roman"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地下水环境风险</w:t>
      </w:r>
    </w:p>
    <w:p w14:paraId="4CCB1963">
      <w:pPr>
        <w:adjustRightInd w:val="0"/>
        <w:snapToGrid w:val="0"/>
        <w:spacing w:line="360" w:lineRule="auto"/>
        <w:ind w:firstLine="48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企业拟建立三级防控系统，</w:t>
      </w:r>
      <w:r>
        <w:rPr>
          <w:rFonts w:hint="default" w:ascii="Times New Roman" w:hAnsi="Times New Roman" w:cs="Times New Roman"/>
          <w:color w:val="auto"/>
          <w:kern w:val="0"/>
          <w:sz w:val="24"/>
          <w:highlight w:val="none"/>
          <w:lang w:val="en-US" w:eastAsia="zh-CN"/>
        </w:rPr>
        <w:t>设置</w:t>
      </w:r>
      <w:r>
        <w:rPr>
          <w:rFonts w:hint="default" w:ascii="Times New Roman" w:hAnsi="Times New Roman" w:eastAsia="宋体" w:cs="Times New Roman"/>
          <w:color w:val="auto"/>
          <w:kern w:val="0"/>
          <w:sz w:val="24"/>
          <w:highlight w:val="none"/>
        </w:rPr>
        <w:t>一座容积为</w:t>
      </w:r>
      <w:r>
        <w:rPr>
          <w:rFonts w:hint="default" w:ascii="Times New Roman" w:hAnsi="Times New Roman" w:eastAsia="宋体" w:cs="Times New Roman"/>
          <w:color w:val="auto"/>
          <w:kern w:val="0"/>
          <w:sz w:val="24"/>
          <w:highlight w:val="none"/>
          <w:lang w:val="en-US" w:eastAsia="zh-CN"/>
        </w:rPr>
        <w:t>2</w:t>
      </w:r>
      <w:r>
        <w:rPr>
          <w:rFonts w:hint="default" w:ascii="Times New Roman" w:hAnsi="Times New Roman" w:cs="Times New Roman"/>
          <w:color w:val="auto"/>
          <w:kern w:val="0"/>
          <w:sz w:val="24"/>
          <w:highlight w:val="none"/>
          <w:lang w:val="en-US" w:eastAsia="zh-CN"/>
        </w:rPr>
        <w:t>0</w:t>
      </w:r>
      <w:r>
        <w:rPr>
          <w:rFonts w:hint="default" w:ascii="Times New Roman" w:hAnsi="Times New Roman" w:eastAsia="宋体" w:cs="Times New Roman"/>
          <w:color w:val="auto"/>
          <w:kern w:val="0"/>
          <w:sz w:val="24"/>
          <w:highlight w:val="none"/>
          <w:lang w:val="en-US" w:eastAsia="zh-CN"/>
        </w:rPr>
        <w:t>0</w:t>
      </w:r>
      <w:r>
        <w:rPr>
          <w:rFonts w:hint="default" w:ascii="Times New Roman" w:hAnsi="Times New Roman" w:eastAsia="宋体" w:cs="Times New Roman"/>
          <w:color w:val="auto"/>
          <w:kern w:val="0"/>
          <w:sz w:val="24"/>
          <w:highlight w:val="none"/>
        </w:rPr>
        <w:t>m³的事故应急池，能够满足项目事故废水的暂存要求，防止事故状态下物料外排。对地表水体产生影响的可能性极小。</w:t>
      </w:r>
    </w:p>
    <w:p w14:paraId="34986B5D">
      <w:pPr>
        <w:adjustRightInd w:val="0"/>
        <w:snapToGrid w:val="0"/>
        <w:spacing w:line="360" w:lineRule="auto"/>
        <w:ind w:firstLine="48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对</w:t>
      </w:r>
      <w:r>
        <w:rPr>
          <w:rFonts w:hint="default" w:ascii="Times New Roman" w:hAnsi="Times New Roman" w:eastAsia="宋体" w:cs="Times New Roman"/>
          <w:color w:val="auto"/>
          <w:kern w:val="0"/>
          <w:sz w:val="24"/>
          <w:highlight w:val="none"/>
          <w:lang w:val="en-US" w:eastAsia="zh-CN"/>
        </w:rPr>
        <w:t>生产区、</w:t>
      </w:r>
      <w:r>
        <w:rPr>
          <w:rFonts w:hint="default" w:ascii="Times New Roman" w:hAnsi="Times New Roman" w:cs="Times New Roman"/>
          <w:color w:val="auto"/>
          <w:kern w:val="0"/>
          <w:sz w:val="24"/>
          <w:highlight w:val="none"/>
          <w:lang w:val="en-US" w:eastAsia="zh-CN"/>
        </w:rPr>
        <w:t>仓库</w:t>
      </w:r>
      <w:r>
        <w:rPr>
          <w:rFonts w:hint="default" w:ascii="Times New Roman" w:hAnsi="Times New Roman" w:eastAsia="宋体" w:cs="Times New Roman"/>
          <w:color w:val="auto"/>
          <w:kern w:val="0"/>
          <w:sz w:val="24"/>
          <w:highlight w:val="none"/>
        </w:rPr>
        <w:t>周边做好防腐防渗，对地下水环境造成的影响较小。须加强防渗措施和管理，杜绝非正常和事故工况的发生，减少项目运行对地下水的不利影响。</w:t>
      </w:r>
    </w:p>
    <w:bookmarkEnd w:id="71"/>
    <w:p w14:paraId="32CA5C41">
      <w:pPr>
        <w:keepNext/>
        <w:keepLines/>
        <w:pageBreakBefore w:val="0"/>
        <w:widowControl/>
        <w:kinsoku/>
        <w:wordWrap/>
        <w:overflowPunct/>
        <w:topLinePunct w:val="0"/>
        <w:autoSpaceDE/>
        <w:autoSpaceDN/>
        <w:bidi w:val="0"/>
        <w:adjustRightInd w:val="0"/>
        <w:snapToGrid w:val="0"/>
        <w:spacing w:line="360" w:lineRule="auto"/>
        <w:jc w:val="left"/>
        <w:textAlignment w:val="auto"/>
        <w:outlineLvl w:val="1"/>
        <w:rPr>
          <w:rFonts w:hint="default" w:ascii="Times New Roman" w:hAnsi="Times New Roman" w:eastAsia="宋体" w:cs="Times New Roman"/>
          <w:b/>
          <w:bCs/>
          <w:color w:val="auto"/>
          <w:kern w:val="0"/>
          <w:sz w:val="32"/>
          <w:szCs w:val="32"/>
          <w:highlight w:val="none"/>
        </w:rPr>
      </w:pPr>
      <w:bookmarkStart w:id="72" w:name="_Toc33691327"/>
      <w:bookmarkStart w:id="73" w:name="_Toc242"/>
      <w:r>
        <w:rPr>
          <w:rFonts w:hint="default" w:ascii="Times New Roman" w:hAnsi="Times New Roman" w:eastAsia="宋体" w:cs="Times New Roman"/>
          <w:b/>
          <w:bCs/>
          <w:color w:val="auto"/>
          <w:kern w:val="0"/>
          <w:sz w:val="32"/>
          <w:szCs w:val="32"/>
          <w:highlight w:val="none"/>
          <w:lang w:val="en-US" w:eastAsia="zh-CN"/>
        </w:rPr>
        <w:t>7</w:t>
      </w:r>
      <w:r>
        <w:rPr>
          <w:rFonts w:hint="default" w:ascii="Times New Roman" w:hAnsi="Times New Roman" w:eastAsia="宋体" w:cs="Times New Roman"/>
          <w:b/>
          <w:bCs/>
          <w:color w:val="auto"/>
          <w:kern w:val="0"/>
          <w:sz w:val="32"/>
          <w:szCs w:val="32"/>
          <w:highlight w:val="none"/>
        </w:rPr>
        <w:t>环境风险管理</w:t>
      </w:r>
      <w:bookmarkEnd w:id="72"/>
      <w:bookmarkEnd w:id="73"/>
    </w:p>
    <w:p w14:paraId="0A45199D">
      <w:pPr>
        <w:pStyle w:val="1399"/>
        <w:pageBreakBefore w:val="0"/>
        <w:kinsoku/>
        <w:wordWrap/>
        <w:overflowPunct/>
        <w:topLinePunct w:val="0"/>
        <w:autoSpaceDE/>
        <w:autoSpaceDN/>
        <w:bidi w:val="0"/>
        <w:adjustRightInd w:val="0"/>
        <w:snapToGrid w:val="0"/>
        <w:spacing w:line="360" w:lineRule="auto"/>
        <w:textAlignment w:val="auto"/>
        <w:outlineLvl w:val="9"/>
        <w:rPr>
          <w:rFonts w:hint="default" w:ascii="Times New Roman" w:hAnsi="Times New Roman" w:eastAsia="宋体" w:cs="Times New Roman"/>
          <w:b/>
          <w:bCs w:val="0"/>
          <w:color w:val="auto"/>
          <w:sz w:val="30"/>
          <w:szCs w:val="30"/>
          <w:shd w:val="clear" w:color="auto" w:fill="auto"/>
          <w:lang w:eastAsia="zh-CN"/>
        </w:rPr>
      </w:pPr>
      <w:bookmarkStart w:id="74" w:name="_Toc25036"/>
      <w:r>
        <w:rPr>
          <w:rFonts w:hint="default" w:ascii="Times New Roman" w:hAnsi="Times New Roman" w:eastAsia="宋体" w:cs="Times New Roman"/>
          <w:b/>
          <w:bCs w:val="0"/>
          <w:color w:val="auto"/>
          <w:sz w:val="30"/>
          <w:szCs w:val="30"/>
          <w:shd w:val="clear" w:color="auto" w:fill="auto"/>
          <w:lang w:val="en-US" w:eastAsia="zh-CN"/>
        </w:rPr>
        <w:t>7.</w:t>
      </w:r>
      <w:r>
        <w:rPr>
          <w:rFonts w:hint="default" w:ascii="Times New Roman" w:hAnsi="Times New Roman" w:eastAsia="宋体" w:cs="Times New Roman"/>
          <w:b/>
          <w:bCs w:val="0"/>
          <w:color w:val="auto"/>
          <w:sz w:val="30"/>
          <w:szCs w:val="30"/>
          <w:shd w:val="clear" w:color="auto" w:fill="auto"/>
          <w:lang w:eastAsia="zh-CN"/>
        </w:rPr>
        <w:t>1大气环境风险防范措施</w:t>
      </w:r>
      <w:bookmarkEnd w:id="74"/>
    </w:p>
    <w:p w14:paraId="07A05149">
      <w:pPr>
        <w:pageBreakBefore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0"/>
          <w:sz w:val="24"/>
          <w:szCs w:val="32"/>
          <w:shd w:val="clear" w:color="auto" w:fill="auto"/>
        </w:rPr>
      </w:pPr>
      <w:r>
        <w:rPr>
          <w:rFonts w:hint="default" w:ascii="Times New Roman" w:hAnsi="Times New Roman" w:eastAsia="宋体" w:cs="Times New Roman"/>
          <w:color w:val="auto"/>
          <w:kern w:val="0"/>
          <w:sz w:val="24"/>
          <w:szCs w:val="32"/>
          <w:shd w:val="clear" w:color="auto" w:fill="auto"/>
        </w:rPr>
        <w:t>1、建立大气环境风险防范体系</w:t>
      </w:r>
    </w:p>
    <w:p w14:paraId="3E70278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center"/>
        <w:textAlignment w:val="auto"/>
        <w:outlineLvl w:val="9"/>
        <w:rPr>
          <w:rFonts w:hint="default" w:ascii="Times New Roman" w:hAnsi="Times New Roman" w:eastAsia="宋体" w:cs="Times New Roman"/>
          <w:b w:val="0"/>
          <w:bCs w:val="0"/>
          <w:color w:val="auto"/>
          <w:kern w:val="0"/>
          <w:sz w:val="24"/>
          <w:szCs w:val="32"/>
        </w:rPr>
      </w:pPr>
      <w:r>
        <w:rPr>
          <w:rFonts w:hint="default" w:ascii="Times New Roman" w:hAnsi="Times New Roman" w:eastAsia="宋体" w:cs="Times New Roman"/>
          <w:color w:val="auto"/>
        </w:rPr>
        <w:object>
          <v:shape id="_x0000_i1032" o:spt="75" type="#_x0000_t75" style="height:261.8pt;width:459.8pt;" o:ole="t" filled="f" stroked="f" coordsize="21600,21600">
            <v:path/>
            <v:fill on="f" focussize="0,0"/>
            <v:stroke on="f"/>
            <v:imagedata r:id="rId33" o:title=""/>
            <o:lock v:ext="edit" aspectratio="t"/>
            <w10:wrap type="none"/>
            <w10:anchorlock/>
          </v:shape>
          <o:OLEObject Type="Embed" ProgID="Visio.Drawing.15" ShapeID="_x0000_i1032" DrawAspect="Content" ObjectID="_1468075729" r:id="rId32">
            <o:LockedField>false</o:LockedField>
          </o:OLEObject>
        </w:object>
      </w:r>
      <w:r>
        <w:rPr>
          <w:rFonts w:hint="default" w:ascii="Times New Roman" w:hAnsi="Times New Roman" w:eastAsia="宋体" w:cs="Times New Roman"/>
          <w:b/>
          <w:bCs/>
          <w:color w:val="auto"/>
          <w:kern w:val="0"/>
          <w:sz w:val="24"/>
          <w:szCs w:val="32"/>
        </w:rPr>
        <w:t>图</w:t>
      </w:r>
      <w:r>
        <w:rPr>
          <w:rFonts w:hint="default" w:ascii="Times New Roman" w:hAnsi="Times New Roman" w:eastAsia="宋体" w:cs="Times New Roman"/>
          <w:b/>
          <w:bCs/>
          <w:color w:val="auto"/>
          <w:kern w:val="0"/>
          <w:sz w:val="24"/>
          <w:szCs w:val="32"/>
          <w:lang w:val="en-US" w:eastAsia="zh-CN"/>
        </w:rPr>
        <w:t>7.1-1</w:t>
      </w:r>
      <w:r>
        <w:rPr>
          <w:rFonts w:hint="default" w:ascii="Times New Roman" w:hAnsi="Times New Roman" w:eastAsia="宋体" w:cs="Times New Roman"/>
          <w:b/>
          <w:bCs/>
          <w:color w:val="auto"/>
          <w:kern w:val="0"/>
          <w:sz w:val="24"/>
          <w:szCs w:val="32"/>
        </w:rPr>
        <w:t>大气环境风险防范措施体系框架图</w:t>
      </w:r>
    </w:p>
    <w:p w14:paraId="791F595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rPr>
        <w:t>2</w:t>
      </w:r>
      <w:r>
        <w:rPr>
          <w:rFonts w:hint="default" w:ascii="Times New Roman" w:hAnsi="Times New Roman" w:eastAsia="宋体" w:cs="Times New Roman"/>
          <w:color w:val="auto"/>
          <w:kern w:val="0"/>
          <w:sz w:val="24"/>
          <w:szCs w:val="24"/>
          <w:highlight w:val="none"/>
        </w:rPr>
        <w:t>建立大气环境风险三级防控体系</w:t>
      </w:r>
    </w:p>
    <w:p w14:paraId="37C5265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1</w:t>
      </w:r>
      <w:r>
        <w:rPr>
          <w:rFonts w:hint="default" w:ascii="Times New Roman" w:hAnsi="Times New Roman"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一</w:t>
      </w:r>
      <w:r>
        <w:rPr>
          <w:rFonts w:hint="default" w:ascii="Times New Roman" w:hAnsi="Times New Roman" w:eastAsia="宋体" w:cs="Times New Roman"/>
          <w:color w:val="auto"/>
          <w:kern w:val="0"/>
          <w:sz w:val="24"/>
          <w:szCs w:val="24"/>
          <w:highlight w:val="none"/>
        </w:rPr>
        <w:t>级防控措施</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工艺设计与安全方面，如</w:t>
      </w:r>
      <w:r>
        <w:rPr>
          <w:rFonts w:hint="default" w:ascii="Times New Roman" w:hAnsi="Times New Roman" w:eastAsia="宋体" w:cs="Times New Roman"/>
          <w:color w:val="auto"/>
          <w:kern w:val="0"/>
          <w:sz w:val="24"/>
          <w:szCs w:val="24"/>
          <w:highlight w:val="none"/>
          <w:lang w:val="en-US" w:eastAsia="zh-CN"/>
        </w:rPr>
        <w:t>生产区</w:t>
      </w:r>
      <w:r>
        <w:rPr>
          <w:rFonts w:hint="default" w:ascii="Times New Roman" w:hAnsi="Times New Roman" w:eastAsia="宋体" w:cs="Times New Roman"/>
          <w:color w:val="auto"/>
          <w:kern w:val="0"/>
          <w:sz w:val="24"/>
          <w:szCs w:val="24"/>
          <w:highlight w:val="none"/>
        </w:rPr>
        <w:t>、管线等密封防泄漏措施。以有效减少或避免使用风险物质。</w:t>
      </w:r>
    </w:p>
    <w:p w14:paraId="2D5FDEE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2</w:t>
      </w:r>
      <w:r>
        <w:rPr>
          <w:rFonts w:hint="default" w:ascii="Times New Roman" w:hAnsi="Times New Roman"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二级防控措施</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报警、监控与切断系统，如有毒、有害气体自动监测报警系统，自动控制，联锁装置及自动切断系统等。以有效减少泄漏量、缩短泄漏时间的措施。</w:t>
      </w:r>
    </w:p>
    <w:p w14:paraId="0B7232B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3</w:t>
      </w:r>
      <w:r>
        <w:rPr>
          <w:rFonts w:hint="default" w:ascii="Times New Roman" w:hAnsi="Times New Roman"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三级防控措施</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事故后应急处置措施，如喷淋消防系统、事故引风喷淋系统、泡沫覆盖等措施，并有效转移到废水、固废、备用储存设施中等。以有效降低事故状态下大气释放源强、缩短时间、</w:t>
      </w:r>
      <w:r>
        <w:rPr>
          <w:rFonts w:hint="default" w:ascii="Times New Roman" w:hAnsi="Times New Roman" w:cs="Times New Roman"/>
          <w:color w:val="auto"/>
          <w:kern w:val="0"/>
          <w:sz w:val="24"/>
          <w:szCs w:val="24"/>
          <w:highlight w:val="none"/>
          <w:lang w:eastAsia="zh-CN"/>
        </w:rPr>
        <w:t>减少</w:t>
      </w:r>
      <w:r>
        <w:rPr>
          <w:rFonts w:hint="default" w:ascii="Times New Roman" w:hAnsi="Times New Roman" w:eastAsia="宋体" w:cs="Times New Roman"/>
          <w:color w:val="auto"/>
          <w:kern w:val="0"/>
          <w:sz w:val="24"/>
          <w:szCs w:val="24"/>
          <w:highlight w:val="none"/>
        </w:rPr>
        <w:t>排放量。</w:t>
      </w:r>
    </w:p>
    <w:p w14:paraId="7F0EF70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3、本项目大气风险防范措施</w:t>
      </w:r>
    </w:p>
    <w:p w14:paraId="20B42232">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cs="Times New Roman"/>
          <w:b w:val="0"/>
          <w:bCs w:val="0"/>
          <w:color w:val="auto"/>
          <w:kern w:val="0"/>
          <w:sz w:val="24"/>
          <w:szCs w:val="24"/>
          <w:lang w:val="en-US" w:eastAsia="zh-CN" w:bidi="ar"/>
        </w:rPr>
        <w:t>（</w:t>
      </w:r>
      <w:r>
        <w:rPr>
          <w:rFonts w:hint="default" w:ascii="Times New Roman" w:hAnsi="Times New Roman" w:eastAsia="宋体" w:cs="Times New Roman"/>
          <w:b w:val="0"/>
          <w:bCs w:val="0"/>
          <w:color w:val="auto"/>
          <w:kern w:val="0"/>
          <w:sz w:val="24"/>
          <w:szCs w:val="24"/>
          <w:lang w:val="en-US" w:eastAsia="zh-CN" w:bidi="ar"/>
        </w:rPr>
        <w:t>1</w:t>
      </w:r>
      <w:r>
        <w:rPr>
          <w:rFonts w:hint="default" w:ascii="Times New Roman" w:hAnsi="Times New Roman" w:cs="Times New Roman"/>
          <w:b w:val="0"/>
          <w:bCs w:val="0"/>
          <w:color w:val="auto"/>
          <w:kern w:val="0"/>
          <w:sz w:val="24"/>
          <w:szCs w:val="24"/>
          <w:lang w:val="en-US" w:eastAsia="zh-CN" w:bidi="ar"/>
        </w:rPr>
        <w:t>）</w:t>
      </w:r>
      <w:r>
        <w:rPr>
          <w:rFonts w:hint="default" w:ascii="Times New Roman" w:hAnsi="Times New Roman" w:eastAsia="宋体" w:cs="Times New Roman"/>
          <w:b w:val="0"/>
          <w:bCs w:val="0"/>
          <w:color w:val="auto"/>
          <w:kern w:val="0"/>
          <w:sz w:val="24"/>
          <w:szCs w:val="24"/>
          <w:lang w:val="en-US" w:eastAsia="zh-CN" w:bidi="ar"/>
        </w:rPr>
        <w:t>管理方面的环境风险防范措施</w:t>
      </w:r>
    </w:p>
    <w:p w14:paraId="3D911551">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①制定严格的消防安全管理制度，安全生产责任制及安全奖惩制度，并组织专门人员进行监督、落实。</w:t>
      </w:r>
    </w:p>
    <w:p w14:paraId="07167BCE">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②建立主要负责人的安全生产管理委员会，设置环保安全人员，并层层签订安全生产责任状。设立义务消防队、救护组和治安组，并在当地消防部门指导下，制定消防方案，定期进行消防演习。</w:t>
      </w:r>
    </w:p>
    <w:p w14:paraId="743C73E9">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③认真组织学习安全基础知识和方法，做好职工安全教育和技术教育</w:t>
      </w:r>
      <w:r>
        <w:rPr>
          <w:rFonts w:hint="default" w:ascii="Times New Roman" w:hAnsi="Times New Roman" w:cs="Times New Roman"/>
          <w:b w:val="0"/>
          <w:bCs w:val="0"/>
          <w:color w:val="auto"/>
          <w:kern w:val="0"/>
          <w:sz w:val="24"/>
          <w:szCs w:val="24"/>
          <w:lang w:val="en-US" w:eastAsia="zh-CN" w:bidi="ar"/>
        </w:rPr>
        <w:t>：</w:t>
      </w:r>
      <w:r>
        <w:rPr>
          <w:rFonts w:hint="default" w:ascii="Times New Roman" w:hAnsi="Times New Roman" w:eastAsia="宋体" w:cs="Times New Roman"/>
          <w:b w:val="0"/>
          <w:bCs w:val="0"/>
          <w:color w:val="auto"/>
          <w:kern w:val="0"/>
          <w:sz w:val="24"/>
          <w:szCs w:val="24"/>
          <w:lang w:val="en-US" w:eastAsia="zh-CN" w:bidi="ar"/>
        </w:rPr>
        <w:t>认真执行各类操作规程文件，建立技术档案</w:t>
      </w:r>
      <w:r>
        <w:rPr>
          <w:rFonts w:hint="default" w:ascii="Times New Roman" w:hAnsi="Times New Roman" w:cs="Times New Roman"/>
          <w:b w:val="0"/>
          <w:bCs w:val="0"/>
          <w:color w:val="auto"/>
          <w:kern w:val="0"/>
          <w:sz w:val="24"/>
          <w:szCs w:val="24"/>
          <w:lang w:val="en-US" w:eastAsia="zh-CN" w:bidi="ar"/>
        </w:rPr>
        <w:t>，</w:t>
      </w:r>
      <w:r>
        <w:rPr>
          <w:rFonts w:hint="default" w:ascii="Times New Roman" w:hAnsi="Times New Roman" w:eastAsia="宋体" w:cs="Times New Roman"/>
          <w:b w:val="0"/>
          <w:bCs w:val="0"/>
          <w:color w:val="auto"/>
          <w:kern w:val="0"/>
          <w:sz w:val="24"/>
          <w:szCs w:val="24"/>
          <w:lang w:val="en-US" w:eastAsia="zh-CN" w:bidi="ar"/>
        </w:rPr>
        <w:t>进行定期性和经常性检查，把执行制度的好坏与当月和年终的安全考评结合起来。</w:t>
      </w:r>
    </w:p>
    <w:p w14:paraId="10034279">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④做好安全检查与整改，公司职能人员坚持日巡检查，每月组织</w:t>
      </w:r>
      <w:r>
        <w:rPr>
          <w:rFonts w:hint="default" w:ascii="Times New Roman" w:hAnsi="Times New Roman" w:cs="Times New Roman"/>
          <w:b w:val="0"/>
          <w:bCs w:val="0"/>
          <w:color w:val="auto"/>
          <w:kern w:val="0"/>
          <w:sz w:val="24"/>
          <w:szCs w:val="24"/>
          <w:lang w:val="en-US" w:eastAsia="zh-CN" w:bidi="ar"/>
        </w:rPr>
        <w:t>一</w:t>
      </w:r>
      <w:r>
        <w:rPr>
          <w:rFonts w:hint="default" w:ascii="Times New Roman" w:hAnsi="Times New Roman" w:eastAsia="宋体" w:cs="Times New Roman"/>
          <w:b w:val="0"/>
          <w:bCs w:val="0"/>
          <w:color w:val="auto"/>
          <w:kern w:val="0"/>
          <w:sz w:val="24"/>
          <w:szCs w:val="24"/>
          <w:lang w:val="en-US" w:eastAsia="zh-CN" w:bidi="ar"/>
        </w:rPr>
        <w:t>次大的安全检查，对检查中发现</w:t>
      </w:r>
      <w:r>
        <w:rPr>
          <w:rFonts w:hint="default" w:ascii="Times New Roman" w:hAnsi="Times New Roman" w:cs="Times New Roman"/>
          <w:b w:val="0"/>
          <w:bCs w:val="0"/>
          <w:color w:val="auto"/>
          <w:kern w:val="0"/>
          <w:sz w:val="24"/>
          <w:szCs w:val="24"/>
          <w:lang w:val="en-US" w:eastAsia="zh-CN" w:bidi="ar"/>
        </w:rPr>
        <w:t>的</w:t>
      </w:r>
      <w:r>
        <w:rPr>
          <w:rFonts w:hint="default" w:ascii="Times New Roman" w:hAnsi="Times New Roman" w:eastAsia="宋体" w:cs="Times New Roman"/>
          <w:b w:val="0"/>
          <w:bCs w:val="0"/>
          <w:color w:val="auto"/>
          <w:kern w:val="0"/>
          <w:sz w:val="24"/>
          <w:szCs w:val="24"/>
          <w:lang w:val="en-US" w:eastAsia="zh-CN" w:bidi="ar"/>
        </w:rPr>
        <w:t>问题现场及时解决，对一些特殊的整改项目需由有关部门解决的，则由公司安全职能部门用“整改通知”形式下发执行。</w:t>
      </w:r>
    </w:p>
    <w:p w14:paraId="1649CE88">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⑤设置消防报警器，设立直通外线的电话</w:t>
      </w:r>
      <w:r>
        <w:rPr>
          <w:rFonts w:hint="default" w:ascii="Times New Roman" w:hAnsi="Times New Roman" w:cs="Times New Roman"/>
          <w:b w:val="0"/>
          <w:bCs w:val="0"/>
          <w:color w:val="auto"/>
          <w:kern w:val="0"/>
          <w:sz w:val="24"/>
          <w:szCs w:val="24"/>
          <w:lang w:val="en-US" w:eastAsia="zh-CN" w:bidi="ar"/>
        </w:rPr>
        <w:t>；</w:t>
      </w:r>
      <w:r>
        <w:rPr>
          <w:rFonts w:hint="default" w:ascii="Times New Roman" w:hAnsi="Times New Roman" w:eastAsia="宋体" w:cs="Times New Roman"/>
          <w:b w:val="0"/>
          <w:bCs w:val="0"/>
          <w:color w:val="auto"/>
          <w:kern w:val="0"/>
          <w:sz w:val="24"/>
          <w:szCs w:val="24"/>
          <w:lang w:val="en-US" w:eastAsia="zh-CN" w:bidi="ar"/>
        </w:rPr>
        <w:t>发生事故时，及时报警，迅速通知本单位和邻近单位做好警戒。</w:t>
      </w:r>
    </w:p>
    <w:p w14:paraId="31423CFD">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⑥运营后严格执行安全评价要求，严格遵守国家安全生产监督部门和相关行业安全管理的有关规定。对本单位的生产、储存装置每两年进行一</w:t>
      </w:r>
      <w:r>
        <w:rPr>
          <w:rFonts w:hint="default" w:ascii="Times New Roman" w:hAnsi="Times New Roman" w:cs="Times New Roman"/>
          <w:b w:val="0"/>
          <w:bCs w:val="0"/>
          <w:color w:val="auto"/>
          <w:kern w:val="0"/>
          <w:sz w:val="24"/>
          <w:szCs w:val="24"/>
          <w:lang w:val="en-US" w:eastAsia="zh-CN" w:bidi="ar"/>
        </w:rPr>
        <w:t>次</w:t>
      </w:r>
      <w:r>
        <w:rPr>
          <w:rFonts w:hint="default" w:ascii="Times New Roman" w:hAnsi="Times New Roman" w:eastAsia="宋体" w:cs="Times New Roman"/>
          <w:b w:val="0"/>
          <w:bCs w:val="0"/>
          <w:color w:val="auto"/>
          <w:kern w:val="0"/>
          <w:sz w:val="24"/>
          <w:szCs w:val="24"/>
          <w:lang w:val="en-US" w:eastAsia="zh-CN" w:bidi="ar"/>
        </w:rPr>
        <w:t>安全评价。</w:t>
      </w:r>
    </w:p>
    <w:p w14:paraId="3CBE19E4">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cs="Times New Roman"/>
          <w:b w:val="0"/>
          <w:bCs w:val="0"/>
          <w:color w:val="auto"/>
          <w:kern w:val="0"/>
          <w:sz w:val="24"/>
          <w:szCs w:val="24"/>
          <w:lang w:val="en-US" w:eastAsia="zh-CN" w:bidi="ar"/>
        </w:rPr>
        <w:t>（</w:t>
      </w:r>
      <w:r>
        <w:rPr>
          <w:rFonts w:hint="default" w:ascii="Times New Roman" w:hAnsi="Times New Roman" w:eastAsia="宋体" w:cs="Times New Roman"/>
          <w:b w:val="0"/>
          <w:bCs w:val="0"/>
          <w:color w:val="auto"/>
          <w:kern w:val="0"/>
          <w:sz w:val="24"/>
          <w:szCs w:val="24"/>
          <w:lang w:val="en-US" w:eastAsia="zh-CN" w:bidi="ar"/>
        </w:rPr>
        <w:t>2</w:t>
      </w:r>
      <w:r>
        <w:rPr>
          <w:rFonts w:hint="default" w:ascii="Times New Roman" w:hAnsi="Times New Roman" w:cs="Times New Roman"/>
          <w:b w:val="0"/>
          <w:bCs w:val="0"/>
          <w:color w:val="auto"/>
          <w:kern w:val="0"/>
          <w:sz w:val="24"/>
          <w:szCs w:val="24"/>
          <w:lang w:val="en-US" w:eastAsia="zh-CN" w:bidi="ar"/>
        </w:rPr>
        <w:t>）</w:t>
      </w:r>
      <w:r>
        <w:rPr>
          <w:rFonts w:hint="default" w:ascii="Times New Roman" w:hAnsi="Times New Roman" w:eastAsia="宋体" w:cs="Times New Roman"/>
          <w:b w:val="0"/>
          <w:bCs w:val="0"/>
          <w:color w:val="auto"/>
          <w:kern w:val="0"/>
          <w:sz w:val="24"/>
          <w:szCs w:val="24"/>
          <w:lang w:val="en-US" w:eastAsia="zh-CN" w:bidi="ar"/>
        </w:rPr>
        <w:t>生产装置泄漏的风险防范措施</w:t>
      </w:r>
    </w:p>
    <w:p w14:paraId="60FC5EFE">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①厂内建筑物、生产装置及管线按国家标准要求设置防雷、防静电设施。凡需要经常操作、检查的设备</w:t>
      </w:r>
      <w:r>
        <w:rPr>
          <w:rFonts w:hint="default" w:ascii="Times New Roman" w:hAnsi="Times New Roman" w:cs="Times New Roman"/>
          <w:b w:val="0"/>
          <w:bCs w:val="0"/>
          <w:color w:val="auto"/>
          <w:kern w:val="0"/>
          <w:sz w:val="24"/>
          <w:szCs w:val="24"/>
          <w:lang w:val="en-US" w:eastAsia="zh-CN" w:bidi="ar"/>
        </w:rPr>
        <w:t>或其他</w:t>
      </w:r>
      <w:r>
        <w:rPr>
          <w:rFonts w:hint="default" w:ascii="Times New Roman" w:hAnsi="Times New Roman" w:eastAsia="宋体" w:cs="Times New Roman"/>
          <w:b w:val="0"/>
          <w:bCs w:val="0"/>
          <w:color w:val="auto"/>
          <w:kern w:val="0"/>
          <w:sz w:val="24"/>
          <w:szCs w:val="24"/>
          <w:lang w:val="en-US" w:eastAsia="zh-CN" w:bidi="ar"/>
        </w:rPr>
        <w:t>主体均设有操作平台、梯子及操作</w:t>
      </w:r>
      <w:r>
        <w:rPr>
          <w:rFonts w:hint="default" w:ascii="Times New Roman" w:hAnsi="Times New Roman" w:cs="Times New Roman"/>
          <w:b w:val="0"/>
          <w:bCs w:val="0"/>
          <w:color w:val="auto"/>
          <w:kern w:val="0"/>
          <w:sz w:val="24"/>
          <w:szCs w:val="24"/>
          <w:lang w:val="en-US" w:eastAsia="zh-CN" w:bidi="ar"/>
        </w:rPr>
        <w:t>护栏</w:t>
      </w:r>
      <w:r>
        <w:rPr>
          <w:rFonts w:hint="default" w:ascii="Times New Roman" w:hAnsi="Times New Roman" w:eastAsia="宋体" w:cs="Times New Roman"/>
          <w:b w:val="0"/>
          <w:bCs w:val="0"/>
          <w:color w:val="auto"/>
          <w:kern w:val="0"/>
          <w:sz w:val="24"/>
          <w:szCs w:val="24"/>
          <w:lang w:val="en-US" w:eastAsia="zh-CN" w:bidi="ar"/>
        </w:rPr>
        <w:t>，在大型平台和框架上设有扶手、护栏等。各类防护设施均按国家或行业标准的有关规定进行设计。装置或系统工程的转动设备的外围按要求设置防护罩。</w:t>
      </w:r>
    </w:p>
    <w:p w14:paraId="286DA795">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②选用质地优良、运行稳定可靠设备设施，</w:t>
      </w:r>
      <w:r>
        <w:rPr>
          <w:rFonts w:hint="eastAsia" w:cs="Times New Roman"/>
          <w:b w:val="0"/>
          <w:bCs w:val="0"/>
          <w:color w:val="auto"/>
          <w:kern w:val="0"/>
          <w:sz w:val="24"/>
          <w:szCs w:val="24"/>
          <w:lang w:val="en-US" w:eastAsia="zh-CN" w:bidi="ar"/>
        </w:rPr>
        <w:t>同时</w:t>
      </w:r>
      <w:r>
        <w:rPr>
          <w:rFonts w:hint="default" w:ascii="Times New Roman" w:hAnsi="Times New Roman" w:eastAsia="宋体" w:cs="Times New Roman"/>
          <w:b w:val="0"/>
          <w:bCs w:val="0"/>
          <w:color w:val="auto"/>
          <w:kern w:val="0"/>
          <w:sz w:val="24"/>
          <w:szCs w:val="24"/>
          <w:lang w:val="en-US" w:eastAsia="zh-CN" w:bidi="ar"/>
        </w:rPr>
        <w:t>对各种运行中的设备定期检查、维护，保证其正常运转，不发生设备故障及损坏。</w:t>
      </w:r>
    </w:p>
    <w:p w14:paraId="70D94B1D">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③避免与酸类、碱类接触。搬运时要轻装轻卸，防止包装及容器损坏。配备泄漏应急处理设备。倒空的容器可能残留有害物。</w:t>
      </w:r>
    </w:p>
    <w:p w14:paraId="15A5424A">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④储存于阴凉、通风的</w:t>
      </w:r>
      <w:r>
        <w:rPr>
          <w:rFonts w:hint="default" w:ascii="Times New Roman" w:hAnsi="Times New Roman" w:cs="Times New Roman"/>
          <w:b w:val="0"/>
          <w:bCs w:val="0"/>
          <w:color w:val="auto"/>
          <w:kern w:val="0"/>
          <w:sz w:val="24"/>
          <w:szCs w:val="24"/>
          <w:lang w:val="en-US" w:eastAsia="zh-CN" w:bidi="ar"/>
        </w:rPr>
        <w:t>仓库</w:t>
      </w:r>
      <w:r>
        <w:rPr>
          <w:rFonts w:hint="default" w:ascii="Times New Roman" w:hAnsi="Times New Roman" w:eastAsia="宋体" w:cs="Times New Roman"/>
          <w:b w:val="0"/>
          <w:bCs w:val="0"/>
          <w:color w:val="auto"/>
          <w:kern w:val="0"/>
          <w:sz w:val="24"/>
          <w:szCs w:val="24"/>
          <w:lang w:val="en-US" w:eastAsia="zh-CN" w:bidi="ar"/>
        </w:rPr>
        <w:t>。远离火种、热源。应与酸类、碱类分开存放，切忌混储。储区应备有合适的材料收容泄漏物。</w:t>
      </w:r>
    </w:p>
    <w:p w14:paraId="203C3716">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cs="Times New Roman"/>
          <w:b w:val="0"/>
          <w:bCs w:val="0"/>
          <w:color w:val="auto"/>
          <w:kern w:val="0"/>
          <w:sz w:val="24"/>
          <w:szCs w:val="24"/>
          <w:lang w:val="en-US" w:eastAsia="zh-CN" w:bidi="ar"/>
        </w:rPr>
        <w:t>（</w:t>
      </w:r>
      <w:r>
        <w:rPr>
          <w:rFonts w:hint="default" w:ascii="Times New Roman" w:hAnsi="Times New Roman" w:eastAsia="宋体" w:cs="Times New Roman"/>
          <w:b w:val="0"/>
          <w:bCs w:val="0"/>
          <w:color w:val="auto"/>
          <w:kern w:val="0"/>
          <w:sz w:val="24"/>
          <w:szCs w:val="24"/>
          <w:lang w:val="en-US" w:eastAsia="zh-CN" w:bidi="ar"/>
        </w:rPr>
        <w:t>3</w:t>
      </w:r>
      <w:r>
        <w:rPr>
          <w:rFonts w:hint="default" w:ascii="Times New Roman" w:hAnsi="Times New Roman" w:cs="Times New Roman"/>
          <w:b w:val="0"/>
          <w:bCs w:val="0"/>
          <w:color w:val="auto"/>
          <w:kern w:val="0"/>
          <w:sz w:val="24"/>
          <w:szCs w:val="24"/>
          <w:lang w:val="en-US" w:eastAsia="zh-CN" w:bidi="ar"/>
        </w:rPr>
        <w:t>）</w:t>
      </w:r>
      <w:r>
        <w:rPr>
          <w:rFonts w:hint="default" w:ascii="Times New Roman" w:hAnsi="Times New Roman" w:eastAsia="宋体" w:cs="Times New Roman"/>
          <w:b w:val="0"/>
          <w:bCs w:val="0"/>
          <w:color w:val="auto"/>
          <w:kern w:val="0"/>
          <w:sz w:val="24"/>
          <w:szCs w:val="24"/>
          <w:lang w:val="en-US" w:eastAsia="zh-CN" w:bidi="ar"/>
        </w:rPr>
        <w:t>硫酸铵泄漏的风险防范措施</w:t>
      </w:r>
    </w:p>
    <w:p w14:paraId="5652A061">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①购买原料时务必检查好原料包装袋的完整性，如有发现破损须立即处理避免物料泄漏。</w:t>
      </w:r>
    </w:p>
    <w:p w14:paraId="2AFA7A60">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②</w:t>
      </w:r>
      <w:r>
        <w:rPr>
          <w:rFonts w:hint="default" w:ascii="Times New Roman" w:hAnsi="Times New Roman" w:cs="Times New Roman"/>
          <w:b w:val="0"/>
          <w:bCs w:val="0"/>
          <w:color w:val="auto"/>
          <w:kern w:val="0"/>
          <w:sz w:val="24"/>
          <w:szCs w:val="24"/>
          <w:lang w:val="en-US" w:eastAsia="zh-CN" w:bidi="ar"/>
        </w:rPr>
        <w:t>原料仓库</w:t>
      </w:r>
      <w:r>
        <w:rPr>
          <w:rFonts w:hint="default" w:ascii="Times New Roman" w:hAnsi="Times New Roman" w:eastAsia="宋体" w:cs="Times New Roman"/>
          <w:b w:val="0"/>
          <w:bCs w:val="0"/>
          <w:color w:val="auto"/>
          <w:kern w:val="0"/>
          <w:sz w:val="24"/>
          <w:szCs w:val="24"/>
          <w:lang w:val="en-US" w:eastAsia="zh-CN" w:bidi="ar"/>
        </w:rPr>
        <w:t>应与容易产生火源点的生产单相分隔，同时日常生产运行期间，厂内生产区应严禁携带各种火种物品，切断一切火灾诱发源头。</w:t>
      </w:r>
    </w:p>
    <w:p w14:paraId="2F4829DC">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eastAsia="宋体" w:cs="Times New Roman"/>
          <w:b w:val="0"/>
          <w:bCs w:val="0"/>
          <w:color w:val="auto"/>
          <w:kern w:val="0"/>
          <w:sz w:val="24"/>
          <w:szCs w:val="24"/>
          <w:lang w:val="en-US" w:eastAsia="zh-CN" w:bidi="ar"/>
        </w:rPr>
        <w:t>③发生泄漏时，隔离泄漏污染区，限制出入。建议应急处理人员戴防尘面具</w:t>
      </w:r>
      <w:r>
        <w:rPr>
          <w:rFonts w:hint="default" w:ascii="Times New Roman" w:hAnsi="Times New Roman" w:cs="Times New Roman"/>
          <w:b w:val="0"/>
          <w:bCs w:val="0"/>
          <w:color w:val="auto"/>
          <w:kern w:val="0"/>
          <w:sz w:val="24"/>
          <w:szCs w:val="24"/>
          <w:lang w:val="en-US" w:eastAsia="zh-CN" w:bidi="ar"/>
        </w:rPr>
        <w:t>（</w:t>
      </w:r>
      <w:r>
        <w:rPr>
          <w:rFonts w:hint="default" w:ascii="Times New Roman" w:hAnsi="Times New Roman" w:eastAsia="宋体" w:cs="Times New Roman"/>
          <w:b w:val="0"/>
          <w:bCs w:val="0"/>
          <w:color w:val="auto"/>
          <w:kern w:val="0"/>
          <w:sz w:val="24"/>
          <w:szCs w:val="24"/>
          <w:lang w:val="en-US" w:eastAsia="zh-CN" w:bidi="ar"/>
        </w:rPr>
        <w:t>全面罩</w:t>
      </w:r>
      <w:r>
        <w:rPr>
          <w:rFonts w:hint="default" w:ascii="Times New Roman" w:hAnsi="Times New Roman" w:cs="Times New Roman"/>
          <w:b w:val="0"/>
          <w:bCs w:val="0"/>
          <w:color w:val="auto"/>
          <w:kern w:val="0"/>
          <w:sz w:val="24"/>
          <w:szCs w:val="24"/>
          <w:lang w:val="en-US" w:eastAsia="zh-CN" w:bidi="ar"/>
        </w:rPr>
        <w:t>）</w:t>
      </w:r>
      <w:r>
        <w:rPr>
          <w:rFonts w:hint="default" w:ascii="Times New Roman" w:hAnsi="Times New Roman" w:eastAsia="宋体" w:cs="Times New Roman"/>
          <w:b w:val="0"/>
          <w:bCs w:val="0"/>
          <w:color w:val="auto"/>
          <w:kern w:val="0"/>
          <w:sz w:val="24"/>
          <w:szCs w:val="24"/>
          <w:lang w:val="en-US" w:eastAsia="zh-CN" w:bidi="ar"/>
        </w:rPr>
        <w:t>，穿防毒服。用洁净的铲子收集于干燥、洁净、有盖的容器中，转移至安全场所。若大量泄漏，收集回收或运至废物处理场所处置。</w:t>
      </w:r>
    </w:p>
    <w:p w14:paraId="0B20DD2A">
      <w:pPr>
        <w:keepNext w:val="0"/>
        <w:keepLines w:val="0"/>
        <w:pageBreakBefore w:val="0"/>
        <w:widowControl/>
        <w:suppressLineNumbers w:val="0"/>
        <w:kinsoku/>
        <w:wordWrap/>
        <w:overflowPunct/>
        <w:topLinePunct w:val="0"/>
        <w:bidi w:val="0"/>
        <w:adjustRightInd w:val="0"/>
        <w:snapToGrid w:val="0"/>
        <w:spacing w:line="360" w:lineRule="auto"/>
        <w:ind w:left="0" w:leftChars="0" w:right="0"/>
        <w:jc w:val="left"/>
        <w:textAlignment w:val="auto"/>
        <w:outlineLvl w:val="9"/>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kern w:val="0"/>
          <w:sz w:val="24"/>
          <w:szCs w:val="24"/>
          <w:lang w:val="en-US" w:eastAsia="zh-CN" w:bidi="ar"/>
        </w:rPr>
        <w:t xml:space="preserve">4、环境风险应急撤离及疏散要求 </w:t>
      </w:r>
    </w:p>
    <w:p w14:paraId="5CE8AD9E">
      <w:pPr>
        <w:keepNext w:val="0"/>
        <w:keepLines w:val="0"/>
        <w:pageBreakBefore w:val="0"/>
        <w:widowControl/>
        <w:kinsoku/>
        <w:wordWrap/>
        <w:overflowPunct/>
        <w:topLinePunct w:val="0"/>
        <w:autoSpaceDE w:val="0"/>
        <w:autoSpaceDN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厂内应急人员进入及撤离事故现场</w:t>
      </w:r>
      <w:r>
        <w:rPr>
          <w:rFonts w:hint="default" w:ascii="Times New Roman" w:hAnsi="Times New Roman" w:cs="Times New Roman"/>
          <w:color w:val="auto"/>
          <w:kern w:val="0"/>
          <w:sz w:val="24"/>
          <w:szCs w:val="24"/>
          <w:lang w:val="en-US" w:eastAsia="zh-CN"/>
        </w:rPr>
        <w:t>：</w:t>
      </w:r>
    </w:p>
    <w:p w14:paraId="0178EBD6">
      <w:pPr>
        <w:keepNext w:val="0"/>
        <w:keepLines w:val="0"/>
        <w:pageBreakBefore w:val="0"/>
        <w:widowControl/>
        <w:kinsoku/>
        <w:wordWrap/>
        <w:overflowPunct/>
        <w:topLinePunct w:val="0"/>
        <w:autoSpaceDE w:val="0"/>
        <w:autoSpaceDN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 xml:space="preserve">发生初期事故时，应急人员在做好防护的基础上，5min内进入事故现场展开救援，当事故无法控制，威胁到应急人员生命安全时，立即进行撤离，沿公司厂区道路向就近上风向或侧风向厂区出入口集合，并进行疏散。 </w:t>
      </w:r>
    </w:p>
    <w:p w14:paraId="3AFA35AC">
      <w:pPr>
        <w:keepNext w:val="0"/>
        <w:keepLines w:val="0"/>
        <w:pageBreakBefore w:val="0"/>
        <w:widowControl/>
        <w:kinsoku/>
        <w:wordWrap/>
        <w:overflowPunct/>
        <w:topLinePunct w:val="0"/>
        <w:autoSpaceDE w:val="0"/>
        <w:autoSpaceDN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 xml:space="preserve">根据事故发生位置和当时的风向等气象情况，由后勤保障人员指挥，向上风向疏散，并在上风向设立紧急避难场所，进行人员清点，并将清点结果报告指挥组。疏散过程中根据事故严重程度由厂区保卫科共同协调指挥疏导交通，确保及时、安全完成紧急疏散任务。 </w:t>
      </w:r>
    </w:p>
    <w:p w14:paraId="37FCAC4E">
      <w:pPr>
        <w:keepNext w:val="0"/>
        <w:keepLines w:val="0"/>
        <w:pageBreakBefore w:val="0"/>
        <w:widowControl/>
        <w:kinsoku/>
        <w:wordWrap/>
        <w:overflowPunct/>
        <w:topLinePunct w:val="0"/>
        <w:autoSpaceDE w:val="0"/>
        <w:autoSpaceDN w:val="0"/>
        <w:bidi w:val="0"/>
        <w:adjustRightInd w:val="0"/>
        <w:snapToGrid w:val="0"/>
        <w:spacing w:line="360" w:lineRule="auto"/>
        <w:ind w:left="0" w:leftChars="0" w:right="0"/>
        <w:jc w:val="left"/>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周边区域人员疏散撤离</w:t>
      </w:r>
      <w:r>
        <w:rPr>
          <w:rFonts w:hint="default" w:ascii="Times New Roman" w:hAnsi="Times New Roman" w:cs="Times New Roman"/>
          <w:color w:val="auto"/>
          <w:kern w:val="0"/>
          <w:sz w:val="24"/>
          <w:szCs w:val="24"/>
          <w:lang w:val="en-US" w:eastAsia="zh-CN"/>
        </w:rPr>
        <w:t>：</w:t>
      </w:r>
    </w:p>
    <w:p w14:paraId="195B0084">
      <w:pPr>
        <w:keepNext w:val="0"/>
        <w:keepLines w:val="0"/>
        <w:pageBreakBefore w:val="0"/>
        <w:widowControl/>
        <w:kinsoku/>
        <w:wordWrap/>
        <w:overflowPunct/>
        <w:topLinePunct w:val="0"/>
        <w:autoSpaceDE w:val="0"/>
        <w:autoSpaceDN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 xml:space="preserve">①周边区域人员疏散、撤离原则：周边区域人员疏散、撤离原则为分别按东、南、西、北四个方向及时迅速撤离危险区域到安全地带。疏散过程中尽量佩戴口罩等简易防护措施，向上风向撤离，在10min内完成转移。项目周边交通通畅，发生事故时对周边四条路进行交通管制，并组织群众向上风向进行疏散。 </w:t>
      </w:r>
    </w:p>
    <w:p w14:paraId="45E463F1">
      <w:pPr>
        <w:keepNext w:val="0"/>
        <w:keepLines w:val="0"/>
        <w:pageBreakBefore w:val="0"/>
        <w:widowControl/>
        <w:kinsoku/>
        <w:wordWrap/>
        <w:overflowPunct/>
        <w:topLinePunct w:val="0"/>
        <w:autoSpaceDE w:val="0"/>
        <w:autoSpaceDN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 xml:space="preserve">②撤离地点及后勤保障：根据事故发生位置和当时风向等气象情况，向上风向疏散，并在上风向设立紧急避难场所。撤离地点一般为安全地带内的广场，并为撤离人员提供食品、饮用水等生活必需品。根据区域特点，发生事故时，可根据当时的风向，选择位于上风向的紧急避难所。 </w:t>
      </w:r>
    </w:p>
    <w:p w14:paraId="7C8876B1">
      <w:pPr>
        <w:keepNext w:val="0"/>
        <w:keepLines w:val="0"/>
        <w:pageBreakBefore w:val="0"/>
        <w:widowControl/>
        <w:kinsoku/>
        <w:wordWrap/>
        <w:overflowPunct/>
        <w:topLinePunct w:val="0"/>
        <w:autoSpaceDE w:val="0"/>
        <w:autoSpaceDN w:val="0"/>
        <w:bidi w:val="0"/>
        <w:adjustRightInd w:val="0"/>
        <w:snapToGrid w:val="0"/>
        <w:spacing w:line="360" w:lineRule="auto"/>
        <w:ind w:right="0"/>
        <w:jc w:val="left"/>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交通管制</w:t>
      </w:r>
      <w:r>
        <w:rPr>
          <w:rFonts w:hint="default" w:ascii="Times New Roman" w:hAnsi="Times New Roman" w:cs="Times New Roman"/>
          <w:color w:val="auto"/>
          <w:kern w:val="0"/>
          <w:sz w:val="24"/>
          <w:szCs w:val="24"/>
          <w:lang w:val="en-US" w:eastAsia="zh-CN"/>
        </w:rPr>
        <w:t>：</w:t>
      </w:r>
    </w:p>
    <w:p w14:paraId="0836A30A">
      <w:pPr>
        <w:keepNext w:val="0"/>
        <w:keepLines w:val="0"/>
        <w:pageBreakBefore w:val="0"/>
        <w:widowControl/>
        <w:kinsoku/>
        <w:wordWrap/>
        <w:overflowPunct/>
        <w:topLinePunct w:val="0"/>
        <w:autoSpaceDE w:val="0"/>
        <w:autoSpaceDN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 xml:space="preserve">①发生突发环境事故时，保卫科协同交警部门，对周边道路进行管控，限制无关车辆进入现场附近。 </w:t>
      </w:r>
    </w:p>
    <w:p w14:paraId="5A48C7CB">
      <w:pPr>
        <w:keepNext w:val="0"/>
        <w:keepLines w:val="0"/>
        <w:pageBreakBefore w:val="0"/>
        <w:widowControl/>
        <w:kinsoku/>
        <w:wordWrap/>
        <w:overflowPunct/>
        <w:topLinePunct w:val="0"/>
        <w:autoSpaceDE w:val="0"/>
        <w:autoSpaceDN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 xml:space="preserve">②临时安置场所设在上风向区域的空地，由企业应急总指挥和当地政府根据现场风向、救援情况指定。 </w:t>
      </w:r>
    </w:p>
    <w:p w14:paraId="76B6307C">
      <w:pPr>
        <w:keepNext w:val="0"/>
        <w:keepLines w:val="0"/>
        <w:pageBreakBefore w:val="0"/>
        <w:widowControl/>
        <w:kinsoku/>
        <w:wordWrap/>
        <w:overflowPunct/>
        <w:topLinePunct w:val="0"/>
        <w:autoSpaceDE w:val="0"/>
        <w:autoSpaceDN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color w:val="auto"/>
          <w:kern w:val="0"/>
          <w:szCs w:val="24"/>
          <w:lang w:val="en-US" w:eastAsia="zh-CN"/>
        </w:rPr>
      </w:pPr>
      <w:r>
        <w:rPr>
          <w:rFonts w:hint="default" w:ascii="Times New Roman" w:hAnsi="Times New Roman" w:eastAsia="宋体" w:cs="Times New Roman"/>
          <w:color w:val="auto"/>
          <w:kern w:val="0"/>
          <w:sz w:val="24"/>
          <w:szCs w:val="24"/>
          <w:lang w:val="en-US" w:eastAsia="zh-CN"/>
        </w:rPr>
        <w:t>③发生有毒有害气体扩散事件时，公司东南西北四个方向的道路全部进行交通管制，不允许车辆进入。现场具体的道路隔离和交通疏导方案由现场公安人员根据实际风向等情况进行调整，企业应急人员进行协助。</w:t>
      </w:r>
    </w:p>
    <w:p w14:paraId="685D23AE">
      <w:pPr>
        <w:pStyle w:val="1399"/>
        <w:pageBreakBefore w:val="0"/>
        <w:kinsoku/>
        <w:wordWrap/>
        <w:overflowPunct/>
        <w:topLinePunct w:val="0"/>
        <w:autoSpaceDE/>
        <w:autoSpaceDN/>
        <w:bidi w:val="0"/>
        <w:adjustRightInd w:val="0"/>
        <w:snapToGrid w:val="0"/>
        <w:spacing w:line="360" w:lineRule="auto"/>
        <w:textAlignment w:val="auto"/>
        <w:outlineLvl w:val="9"/>
        <w:rPr>
          <w:rFonts w:hint="default" w:ascii="Times New Roman" w:hAnsi="Times New Roman" w:eastAsia="宋体" w:cs="Times New Roman"/>
          <w:b/>
          <w:bCs w:val="0"/>
          <w:color w:val="auto"/>
          <w:sz w:val="30"/>
          <w:szCs w:val="30"/>
          <w:shd w:val="clear" w:color="auto" w:fill="auto"/>
          <w:lang w:val="en-US" w:eastAsia="zh-CN"/>
        </w:rPr>
      </w:pPr>
      <w:bookmarkStart w:id="75" w:name="_Toc12625"/>
      <w:r>
        <w:rPr>
          <w:rFonts w:hint="default" w:ascii="Times New Roman" w:hAnsi="Times New Roman" w:eastAsia="宋体" w:cs="Times New Roman"/>
          <w:b/>
          <w:bCs w:val="0"/>
          <w:color w:val="auto"/>
          <w:sz w:val="30"/>
          <w:szCs w:val="30"/>
          <w:shd w:val="clear" w:color="auto" w:fill="auto"/>
          <w:lang w:val="en-US" w:eastAsia="zh-CN"/>
        </w:rPr>
        <w:t>7.2事故废水环境风险防范措施</w:t>
      </w:r>
      <w:bookmarkEnd w:id="75"/>
    </w:p>
    <w:p w14:paraId="18A217F0">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32"/>
        </w:rPr>
      </w:pPr>
      <w:r>
        <w:rPr>
          <w:rFonts w:hint="default" w:ascii="Times New Roman" w:hAnsi="Times New Roman" w:eastAsia="宋体" w:cs="Times New Roman"/>
          <w:color w:val="auto"/>
          <w:kern w:val="0"/>
          <w:sz w:val="24"/>
          <w:szCs w:val="32"/>
        </w:rPr>
        <w:t>1、建立水环境风险防范措施体系</w:t>
      </w:r>
    </w:p>
    <w:p w14:paraId="0D6B14E7">
      <w:pPr>
        <w:keepNext w:val="0"/>
        <w:keepLines w:val="0"/>
        <w:pageBreakBefore w:val="0"/>
        <w:kinsoku/>
        <w:wordWrap/>
        <w:overflowPunct/>
        <w:topLinePunct w:val="0"/>
        <w:bidi w:val="0"/>
        <w:adjustRightInd w:val="0"/>
        <w:snapToGrid w:val="0"/>
        <w:spacing w:line="360" w:lineRule="auto"/>
        <w:ind w:left="0" w:leftChars="0" w:right="0"/>
        <w:textAlignment w:val="auto"/>
        <w:outlineLvl w:val="9"/>
        <w:rPr>
          <w:rFonts w:hint="default" w:ascii="Times New Roman" w:hAnsi="Times New Roman" w:eastAsia="宋体" w:cs="Times New Roman"/>
          <w:color w:val="auto"/>
          <w:kern w:val="0"/>
          <w:szCs w:val="24"/>
        </w:rPr>
      </w:pPr>
      <w:r>
        <w:rPr>
          <w:rFonts w:hint="default" w:ascii="Times New Roman" w:hAnsi="Times New Roman" w:eastAsia="宋体" w:cs="Times New Roman"/>
          <w:color w:val="auto"/>
        </w:rPr>
        <w:object>
          <v:shape id="_x0000_i1033" o:spt="75" type="#_x0000_t75" style="height:268.5pt;width:459.75pt;" o:ole="t" filled="f" o:preferrelative="t" stroked="f" coordsize="21600,21600">
            <v:path/>
            <v:fill on="f" alignshape="1" focussize="0,0"/>
            <v:stroke on="f"/>
            <v:imagedata r:id="rId35" o:title=""/>
            <o:lock v:ext="edit" aspectratio="t"/>
            <w10:wrap type="none"/>
            <w10:anchorlock/>
          </v:shape>
          <o:OLEObject Type="Embed" ProgID="Visio.Drawing.15" ShapeID="_x0000_i1033" DrawAspect="Content" ObjectID="_1468075730" r:id="rId34">
            <o:LockedField>false</o:LockedField>
          </o:OLEObject>
        </w:object>
      </w:r>
    </w:p>
    <w:p w14:paraId="6CD2B4F5">
      <w:pPr>
        <w:pStyle w:val="80"/>
        <w:keepNext w:val="0"/>
        <w:keepLines w:val="0"/>
        <w:pageBreakBefore w:val="0"/>
        <w:kinsoku/>
        <w:wordWrap/>
        <w:overflowPunct/>
        <w:topLinePunct w:val="0"/>
        <w:bidi w:val="0"/>
        <w:adjustRightInd w:val="0"/>
        <w:snapToGrid w:val="0"/>
        <w:spacing w:after="0" w:line="360" w:lineRule="auto"/>
        <w:ind w:left="0" w:leftChars="0" w:right="0" w:firstLine="0" w:firstLineChars="0"/>
        <w:jc w:val="center"/>
        <w:textAlignment w:val="auto"/>
        <w:outlineLvl w:val="9"/>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图</w:t>
      </w:r>
      <w:r>
        <w:rPr>
          <w:rFonts w:hint="default" w:ascii="Times New Roman" w:hAnsi="Times New Roman" w:eastAsia="宋体" w:cs="Times New Roman"/>
          <w:b/>
          <w:bCs/>
          <w:color w:val="auto"/>
          <w:sz w:val="24"/>
          <w:lang w:val="en-US" w:eastAsia="zh-CN"/>
        </w:rPr>
        <w:t>7.4-1</w:t>
      </w:r>
      <w:r>
        <w:rPr>
          <w:rFonts w:hint="default" w:ascii="Times New Roman" w:hAnsi="Times New Roman" w:eastAsia="宋体" w:cs="Times New Roman"/>
          <w:b/>
          <w:bCs/>
          <w:color w:val="auto"/>
          <w:sz w:val="24"/>
        </w:rPr>
        <w:t>水环境风险防范措施体系</w:t>
      </w:r>
    </w:p>
    <w:p w14:paraId="6FA738C5">
      <w:pPr>
        <w:pStyle w:val="80"/>
        <w:keepNext w:val="0"/>
        <w:keepLines w:val="0"/>
        <w:pageBreakBefore w:val="0"/>
        <w:kinsoku/>
        <w:wordWrap/>
        <w:overflowPunct/>
        <w:topLinePunct w:val="0"/>
        <w:bidi w:val="0"/>
        <w:adjustRightInd w:val="0"/>
        <w:snapToGrid w:val="0"/>
        <w:spacing w:after="0" w:line="360" w:lineRule="auto"/>
        <w:ind w:left="0" w:leftChars="0" w:right="0"/>
        <w:jc w:val="center"/>
        <w:textAlignment w:val="auto"/>
        <w:rPr>
          <w:rFonts w:hint="default" w:ascii="Times New Roman" w:hAnsi="Times New Roman" w:eastAsia="宋体" w:cs="Times New Roman"/>
          <w:b/>
          <w:bCs/>
          <w:color w:val="auto"/>
          <w:sz w:val="21"/>
          <w:szCs w:val="21"/>
          <w:lang w:val="en-US" w:eastAsia="zh-CN"/>
        </w:rPr>
        <w:sectPr>
          <w:footerReference r:id="rId9" w:type="default"/>
          <w:pgSz w:w="11906" w:h="16838"/>
          <w:pgMar w:top="1417" w:right="1276" w:bottom="1417" w:left="1559" w:header="851" w:footer="680" w:gutter="0"/>
          <w:pgNumType w:fmt="decimal" w:chapStyle="1"/>
          <w:cols w:space="0" w:num="1"/>
          <w:rtlGutter w:val="0"/>
          <w:docGrid w:linePitch="326" w:charSpace="0"/>
        </w:sectPr>
      </w:pPr>
    </w:p>
    <w:p w14:paraId="17DE6984">
      <w:pPr>
        <w:pStyle w:val="80"/>
        <w:keepNext w:val="0"/>
        <w:keepLines w:val="0"/>
        <w:pageBreakBefore w:val="0"/>
        <w:kinsoku/>
        <w:wordWrap/>
        <w:overflowPunct/>
        <w:topLinePunct w:val="0"/>
        <w:bidi w:val="0"/>
        <w:adjustRightInd w:val="0"/>
        <w:snapToGrid w:val="0"/>
        <w:spacing w:after="0" w:line="360" w:lineRule="auto"/>
        <w:ind w:left="0" w:leftChars="0" w:right="0"/>
        <w:textAlignment w:val="auto"/>
        <w:outlineLvl w:val="9"/>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cs="Times New Roman"/>
          <w:color w:val="auto"/>
          <w:kern w:val="0"/>
          <w:sz w:val="24"/>
          <w:szCs w:val="24"/>
          <w:highlight w:val="none"/>
          <w:lang w:val="en-US" w:eastAsia="zh-CN" w:bidi="ar-SA"/>
        </w:rPr>
        <w:t>2、</w:t>
      </w:r>
      <w:r>
        <w:rPr>
          <w:rFonts w:hint="default" w:ascii="Times New Roman" w:hAnsi="Times New Roman" w:eastAsia="宋体" w:cs="Times New Roman"/>
          <w:color w:val="auto"/>
          <w:kern w:val="0"/>
          <w:sz w:val="24"/>
          <w:szCs w:val="24"/>
          <w:highlight w:val="none"/>
          <w:lang w:val="en-US" w:eastAsia="zh-CN" w:bidi="ar-SA"/>
        </w:rPr>
        <w:t>事故</w:t>
      </w:r>
      <w:r>
        <w:rPr>
          <w:rFonts w:hint="default" w:ascii="Times New Roman" w:hAnsi="Times New Roman" w:cs="Times New Roman"/>
          <w:color w:val="auto"/>
          <w:kern w:val="0"/>
          <w:sz w:val="24"/>
          <w:szCs w:val="24"/>
          <w:highlight w:val="none"/>
          <w:lang w:val="en-US" w:eastAsia="zh-CN" w:bidi="ar-SA"/>
        </w:rPr>
        <w:t>废水环境风险防范</w:t>
      </w:r>
    </w:p>
    <w:p w14:paraId="14C4663A">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为防止事故废水对地表水体造成污染，本评价要求企业建立“单元</w:t>
      </w:r>
      <w:r>
        <w:rPr>
          <w:rFonts w:hint="default" w:ascii="Times New Roman" w:hAnsi="Times New Roman"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厂区</w:t>
      </w:r>
      <w:r>
        <w:rPr>
          <w:rFonts w:hint="default" w:ascii="Times New Roman" w:hAnsi="Times New Roman"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园区</w:t>
      </w:r>
      <w:r>
        <w:rPr>
          <w:rFonts w:hint="default" w:ascii="Times New Roman" w:hAnsi="Times New Roman"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区域”的环境风险防控体系。</w:t>
      </w:r>
    </w:p>
    <w:p w14:paraId="28FC01B1">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1</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单元级防控措施</w:t>
      </w:r>
    </w:p>
    <w:p w14:paraId="75F22B60">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项目原料</w:t>
      </w:r>
      <w:r>
        <w:rPr>
          <w:rFonts w:hint="default" w:ascii="Times New Roman" w:hAnsi="Times New Roman" w:cs="Times New Roman"/>
          <w:color w:val="auto"/>
          <w:kern w:val="0"/>
          <w:sz w:val="24"/>
          <w:szCs w:val="24"/>
          <w:lang w:val="en-US" w:eastAsia="zh-CN"/>
        </w:rPr>
        <w:t>仓库</w:t>
      </w:r>
      <w:r>
        <w:rPr>
          <w:rFonts w:hint="default" w:ascii="Times New Roman" w:hAnsi="Times New Roman" w:eastAsia="宋体" w:cs="Times New Roman"/>
          <w:color w:val="auto"/>
          <w:kern w:val="0"/>
          <w:sz w:val="24"/>
          <w:szCs w:val="24"/>
        </w:rPr>
        <w:t>、生产车间以及成品</w:t>
      </w:r>
      <w:r>
        <w:rPr>
          <w:rFonts w:hint="default" w:ascii="Times New Roman" w:hAnsi="Times New Roman" w:cs="Times New Roman"/>
          <w:color w:val="auto"/>
          <w:kern w:val="0"/>
          <w:sz w:val="24"/>
          <w:szCs w:val="24"/>
          <w:lang w:val="en-US" w:eastAsia="zh-CN"/>
        </w:rPr>
        <w:t>仓库</w:t>
      </w:r>
      <w:r>
        <w:rPr>
          <w:rFonts w:hint="default" w:ascii="Times New Roman" w:hAnsi="Times New Roman" w:eastAsia="宋体" w:cs="Times New Roman"/>
          <w:color w:val="auto"/>
          <w:kern w:val="0"/>
          <w:sz w:val="24"/>
          <w:szCs w:val="24"/>
        </w:rPr>
        <w:t>等房屋外四周应根据场地大小及地势情况，布设配套的雨、污水沟，便于厂区内雨污分流的践行。</w:t>
      </w:r>
    </w:p>
    <w:p w14:paraId="08317E49">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2</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厂区级防控措施</w:t>
      </w:r>
    </w:p>
    <w:p w14:paraId="495C27A2">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本项目新建1座容积为</w:t>
      </w:r>
      <w:r>
        <w:rPr>
          <w:rFonts w:hint="default" w:ascii="Times New Roman" w:hAnsi="Times New Roman" w:cs="Times New Roman"/>
          <w:color w:val="auto"/>
          <w:kern w:val="0"/>
          <w:sz w:val="24"/>
          <w:szCs w:val="24"/>
          <w:lang w:val="en-US" w:eastAsia="zh-CN"/>
        </w:rPr>
        <w:t>200</w:t>
      </w:r>
      <w:r>
        <w:rPr>
          <w:rFonts w:hint="default" w:ascii="Times New Roman" w:hAnsi="Times New Roman" w:eastAsia="宋体" w:cs="Times New Roman"/>
          <w:color w:val="auto"/>
          <w:kern w:val="0"/>
          <w:sz w:val="24"/>
          <w:szCs w:val="24"/>
        </w:rPr>
        <w:t>m</w:t>
      </w:r>
      <w:r>
        <w:rPr>
          <w:rFonts w:hint="default" w:ascii="Times New Roman" w:hAnsi="Times New Roman" w:eastAsia="宋体" w:cs="Times New Roman"/>
          <w:color w:val="auto"/>
          <w:kern w:val="0"/>
          <w:sz w:val="24"/>
          <w:szCs w:val="24"/>
          <w:vertAlign w:val="superscript"/>
        </w:rPr>
        <w:t>3</w:t>
      </w:r>
      <w:r>
        <w:rPr>
          <w:rFonts w:hint="default" w:ascii="Times New Roman" w:hAnsi="Times New Roman" w:eastAsia="宋体" w:cs="Times New Roman"/>
          <w:color w:val="auto"/>
          <w:kern w:val="0"/>
          <w:sz w:val="24"/>
          <w:szCs w:val="24"/>
        </w:rPr>
        <w:t>的事故应急池，经核算，池体容积满足要求，可以作为事故污染排水的终端储存设施</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发生消防事故时，生产装置区内消防排水、事故污水首先收集进污水沟内，后排入事故池内。</w:t>
      </w:r>
    </w:p>
    <w:p w14:paraId="3C9EF727">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3</w:t>
      </w:r>
      <w:r>
        <w:rPr>
          <w:rFonts w:hint="default" w:ascii="Times New Roman" w:hAnsi="Times New Roman" w:cs="Times New Roman"/>
          <w:color w:val="auto"/>
          <w:kern w:val="0"/>
          <w:sz w:val="24"/>
          <w:szCs w:val="24"/>
          <w:lang w:eastAsia="zh-CN"/>
        </w:rPr>
        <w:t>）</w:t>
      </w:r>
      <w:r>
        <w:rPr>
          <w:rFonts w:hint="default" w:ascii="Times New Roman" w:hAnsi="Times New Roman" w:cs="Times New Roman"/>
          <w:color w:val="auto"/>
          <w:kern w:val="0"/>
          <w:sz w:val="24"/>
          <w:szCs w:val="24"/>
          <w:lang w:val="en-US" w:eastAsia="zh-CN"/>
        </w:rPr>
        <w:t>区域</w:t>
      </w:r>
      <w:r>
        <w:rPr>
          <w:rFonts w:hint="default" w:ascii="Times New Roman" w:hAnsi="Times New Roman" w:eastAsia="宋体" w:cs="Times New Roman"/>
          <w:color w:val="auto"/>
          <w:kern w:val="0"/>
          <w:sz w:val="24"/>
          <w:szCs w:val="24"/>
        </w:rPr>
        <w:t>级防控措施</w:t>
      </w:r>
    </w:p>
    <w:p w14:paraId="3B07B727">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正常情况下，本项目事故水池可满足事故状态下厂区事故废水的储存需要。为防止极端情况下产生的大量事故废水超过事故水池存储能力漫流出厂，事故水处理除了与邻近企业的事故池及其污水处理实施联动外，还可与</w:t>
      </w:r>
      <w:r>
        <w:rPr>
          <w:rFonts w:hint="default" w:ascii="Times New Roman" w:hAnsi="Times New Roman" w:cs="Times New Roman"/>
          <w:color w:val="auto"/>
          <w:kern w:val="0"/>
          <w:sz w:val="24"/>
          <w:szCs w:val="24"/>
          <w:lang w:val="en-US" w:eastAsia="zh-CN"/>
        </w:rPr>
        <w:t>区域</w:t>
      </w:r>
      <w:r>
        <w:rPr>
          <w:rFonts w:hint="default" w:ascii="Times New Roman" w:hAnsi="Times New Roman" w:eastAsia="宋体" w:cs="Times New Roman"/>
          <w:color w:val="auto"/>
          <w:kern w:val="0"/>
          <w:sz w:val="24"/>
          <w:szCs w:val="24"/>
        </w:rPr>
        <w:t>事故废水处理实施联动，以满足在发生重大消防事故时间过长时，事故废水的截堵、收集和处理。</w:t>
      </w:r>
    </w:p>
    <w:p w14:paraId="22BF2692">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4</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事故废水封堵</w:t>
      </w:r>
    </w:p>
    <w:p w14:paraId="2D03E884">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本项目事故废水一旦溢出界区外，项目距离地表河流很近，废水会很快随厂区排污沟进入附近河流水体，为防止事故废水污染水环境，一旦发生事故，应立刻对排污沟进行封堵，根据现场地势，发生事故时，应在厂区地势相对最低处及厂区靠近河流一侧进行封堵。封堵地点可以根据实际事故现场进行调整，场地应宽敞，且便于人员和机械快速便捷的施工操作。</w:t>
      </w:r>
    </w:p>
    <w:p w14:paraId="087888A8">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b w:val="0"/>
          <w:bCs w:val="0"/>
          <w:color w:val="auto"/>
          <w:kern w:val="0"/>
          <w:sz w:val="24"/>
          <w:szCs w:val="24"/>
        </w:rPr>
      </w:pPr>
      <w:r>
        <w:rPr>
          <w:rFonts w:hint="default" w:ascii="Times New Roman" w:hAnsi="Times New Roman" w:eastAsia="宋体" w:cs="Times New Roman"/>
          <w:b w:val="0"/>
          <w:bCs w:val="0"/>
          <w:color w:val="auto"/>
          <w:kern w:val="0"/>
          <w:sz w:val="24"/>
          <w:szCs w:val="24"/>
        </w:rPr>
        <w:t>3、完善三级防控体系</w:t>
      </w:r>
    </w:p>
    <w:p w14:paraId="65E2219F">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项目在生产过程中有涉及大量的物料，为防止此环节发生风险事故时对周围环境及受纳水体产生影响，需在原有三级应急防控体系的基础上，针对项目的情况完善三级应急防控体系：</w:t>
      </w:r>
    </w:p>
    <w:p w14:paraId="32A55F45">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一级防控措施：将污染物控制在</w:t>
      </w:r>
      <w:r>
        <w:rPr>
          <w:rFonts w:hint="default" w:ascii="Times New Roman" w:hAnsi="Times New Roman" w:eastAsia="宋体" w:cs="Times New Roman"/>
          <w:color w:val="auto"/>
          <w:kern w:val="0"/>
          <w:sz w:val="24"/>
          <w:szCs w:val="24"/>
          <w:lang w:val="en-US" w:eastAsia="zh-CN"/>
        </w:rPr>
        <w:t>生产区</w:t>
      </w:r>
      <w:r>
        <w:rPr>
          <w:rFonts w:hint="default" w:ascii="Times New Roman" w:hAnsi="Times New Roman" w:eastAsia="宋体" w:cs="Times New Roman"/>
          <w:color w:val="auto"/>
          <w:kern w:val="0"/>
          <w:sz w:val="24"/>
          <w:szCs w:val="24"/>
        </w:rPr>
        <w:t>内；二级防控措施将污染物控制在</w:t>
      </w:r>
      <w:r>
        <w:rPr>
          <w:rFonts w:hint="default" w:ascii="Times New Roman" w:hAnsi="Times New Roman" w:cs="Times New Roman"/>
          <w:color w:val="auto"/>
          <w:kern w:val="0"/>
          <w:sz w:val="24"/>
          <w:szCs w:val="24"/>
          <w:lang w:eastAsia="zh-CN"/>
        </w:rPr>
        <w:t>事故应急池</w:t>
      </w:r>
      <w:r>
        <w:rPr>
          <w:rFonts w:hint="default" w:ascii="Times New Roman" w:hAnsi="Times New Roman" w:eastAsia="宋体" w:cs="Times New Roman"/>
          <w:color w:val="auto"/>
          <w:kern w:val="0"/>
          <w:sz w:val="24"/>
          <w:szCs w:val="24"/>
        </w:rPr>
        <w:t>内；三级防控将污染物控制在</w:t>
      </w:r>
      <w:r>
        <w:rPr>
          <w:rFonts w:hint="default" w:ascii="Times New Roman" w:hAnsi="Times New Roman" w:cs="Times New Roman"/>
          <w:color w:val="auto"/>
          <w:kern w:val="0"/>
          <w:sz w:val="24"/>
          <w:szCs w:val="24"/>
          <w:lang w:val="en-US" w:eastAsia="zh-CN"/>
        </w:rPr>
        <w:t>厂区内</w:t>
      </w:r>
      <w:r>
        <w:rPr>
          <w:rFonts w:hint="default" w:ascii="Times New Roman" w:hAnsi="Times New Roman" w:eastAsia="宋体" w:cs="Times New Roman"/>
          <w:color w:val="auto"/>
          <w:kern w:val="0"/>
          <w:sz w:val="24"/>
          <w:szCs w:val="24"/>
        </w:rPr>
        <w:t>。</w:t>
      </w:r>
    </w:p>
    <w:p w14:paraId="2FB4B03C">
      <w:pPr>
        <w:pStyle w:val="1399"/>
        <w:pageBreakBefore w:val="0"/>
        <w:kinsoku/>
        <w:wordWrap/>
        <w:overflowPunct/>
        <w:topLinePunct w:val="0"/>
        <w:autoSpaceDE/>
        <w:autoSpaceDN/>
        <w:bidi w:val="0"/>
        <w:adjustRightInd w:val="0"/>
        <w:snapToGrid w:val="0"/>
        <w:spacing w:line="360" w:lineRule="auto"/>
        <w:textAlignment w:val="auto"/>
        <w:outlineLvl w:val="9"/>
        <w:rPr>
          <w:rFonts w:hint="default" w:ascii="Times New Roman" w:hAnsi="Times New Roman" w:eastAsia="宋体" w:cs="Times New Roman"/>
          <w:b/>
          <w:bCs w:val="0"/>
          <w:color w:val="auto"/>
          <w:sz w:val="30"/>
          <w:szCs w:val="30"/>
          <w:shd w:val="clear" w:color="auto" w:fill="auto"/>
          <w:lang w:val="en-US" w:eastAsia="zh-CN"/>
        </w:rPr>
      </w:pPr>
      <w:bookmarkStart w:id="76" w:name="_Toc119"/>
      <w:r>
        <w:rPr>
          <w:rFonts w:hint="default" w:ascii="Times New Roman" w:hAnsi="Times New Roman" w:eastAsia="宋体" w:cs="Times New Roman"/>
          <w:b/>
          <w:bCs w:val="0"/>
          <w:color w:val="auto"/>
          <w:sz w:val="30"/>
          <w:szCs w:val="30"/>
          <w:shd w:val="clear" w:color="auto" w:fill="auto"/>
          <w:lang w:val="en-US" w:eastAsia="zh-CN"/>
        </w:rPr>
        <w:t>7.3地下水环境风险防范措施</w:t>
      </w:r>
      <w:bookmarkEnd w:id="76"/>
    </w:p>
    <w:p w14:paraId="2FFA3252">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1、源头控制措施</w:t>
      </w:r>
    </w:p>
    <w:p w14:paraId="44247F76">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项目建设、生产过程中，除了按照既定方案处理废水外，应严格把关工程质量。</w:t>
      </w:r>
    </w:p>
    <w:p w14:paraId="272D7588">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1</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设备采购中要按照国家相关标准严格把关设备质量；</w:t>
      </w:r>
    </w:p>
    <w:p w14:paraId="4080D8FB">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3</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定期对生产车间地面进行防渗和防腐检测；</w:t>
      </w:r>
    </w:p>
    <w:p w14:paraId="00F915F7">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rPr>
        <w:t>2、严格做好工程</w:t>
      </w:r>
      <w:r>
        <w:rPr>
          <w:rFonts w:hint="default" w:ascii="Times New Roman" w:hAnsi="Times New Roman" w:eastAsia="宋体" w:cs="Times New Roman"/>
          <w:color w:val="auto"/>
          <w:kern w:val="0"/>
          <w:sz w:val="24"/>
          <w:szCs w:val="24"/>
          <w:highlight w:val="none"/>
        </w:rPr>
        <w:t>防渗</w:t>
      </w:r>
    </w:p>
    <w:p w14:paraId="1530A591">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lang w:eastAsia="zh-CN"/>
        </w:rPr>
        <w:t>本项目</w:t>
      </w:r>
      <w:r>
        <w:rPr>
          <w:rFonts w:hint="default" w:ascii="Times New Roman" w:hAnsi="Times New Roman" w:eastAsia="宋体" w:cs="Times New Roman"/>
          <w:color w:val="auto"/>
          <w:kern w:val="0"/>
          <w:sz w:val="24"/>
          <w:szCs w:val="24"/>
          <w:highlight w:val="none"/>
        </w:rPr>
        <w:t xml:space="preserve">事故情况下产生的废水中污染物主要为 </w:t>
      </w:r>
      <w:r>
        <w:rPr>
          <w:rFonts w:hint="default" w:ascii="Times New Roman" w:hAnsi="Times New Roman" w:eastAsia="宋体" w:cs="Times New Roman"/>
          <w:color w:val="auto"/>
          <w:kern w:val="0"/>
          <w:sz w:val="24"/>
          <w:szCs w:val="24"/>
          <w:highlight w:val="none"/>
          <w:lang w:val="en-US" w:eastAsia="zh-CN"/>
        </w:rPr>
        <w:t>pH、</w:t>
      </w:r>
      <w:r>
        <w:rPr>
          <w:rFonts w:hint="default" w:ascii="Times New Roman" w:hAnsi="Times New Roman" w:eastAsia="宋体" w:cs="Times New Roman"/>
          <w:color w:val="auto"/>
          <w:kern w:val="0"/>
          <w:sz w:val="24"/>
          <w:szCs w:val="24"/>
          <w:highlight w:val="none"/>
        </w:rPr>
        <w:t>COD、氨氮、悬浮物</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val="en-US" w:eastAsia="zh-CN"/>
        </w:rPr>
        <w:t>硫化物</w:t>
      </w:r>
      <w:r>
        <w:rPr>
          <w:rFonts w:hint="default" w:ascii="Times New Roman" w:hAnsi="Times New Roman" w:eastAsia="宋体" w:cs="Times New Roman"/>
          <w:color w:val="auto"/>
          <w:kern w:val="0"/>
          <w:sz w:val="24"/>
          <w:szCs w:val="24"/>
          <w:highlight w:val="none"/>
        </w:rPr>
        <w:t>，项目</w:t>
      </w:r>
      <w:r>
        <w:rPr>
          <w:rFonts w:hint="default" w:ascii="Times New Roman" w:hAnsi="Times New Roman" w:eastAsia="宋体" w:cs="Times New Roman"/>
          <w:color w:val="auto"/>
          <w:kern w:val="0"/>
          <w:sz w:val="24"/>
          <w:szCs w:val="24"/>
          <w:highlight w:val="none"/>
          <w:lang w:val="en-US" w:eastAsia="zh-CN"/>
        </w:rPr>
        <w:t>建成后严格按要求进行防渗，</w:t>
      </w:r>
      <w:r>
        <w:rPr>
          <w:rFonts w:hint="default" w:ascii="Times New Roman" w:hAnsi="Times New Roman" w:eastAsia="宋体" w:cs="Times New Roman"/>
          <w:color w:val="auto"/>
          <w:kern w:val="0"/>
          <w:sz w:val="24"/>
          <w:szCs w:val="24"/>
          <w:highlight w:val="none"/>
        </w:rPr>
        <w:t>防渗效果等效粘土防渗层Mb&gt;6.0m，K≤1x10</w:t>
      </w:r>
      <w:r>
        <w:rPr>
          <w:rFonts w:hint="default" w:ascii="Times New Roman" w:hAnsi="Times New Roman" w:eastAsia="宋体" w:cs="Times New Roman"/>
          <w:color w:val="auto"/>
          <w:kern w:val="0"/>
          <w:sz w:val="24"/>
          <w:szCs w:val="24"/>
          <w:highlight w:val="none"/>
          <w:vertAlign w:val="superscript"/>
        </w:rPr>
        <w:t>-7</w:t>
      </w:r>
      <w:r>
        <w:rPr>
          <w:rFonts w:hint="default" w:ascii="Times New Roman" w:hAnsi="Times New Roman" w:eastAsia="宋体" w:cs="Times New Roman"/>
          <w:color w:val="auto"/>
          <w:kern w:val="0"/>
          <w:sz w:val="24"/>
          <w:szCs w:val="24"/>
          <w:highlight w:val="none"/>
        </w:rPr>
        <w:t>cm/s。</w:t>
      </w:r>
    </w:p>
    <w:p w14:paraId="5305B662">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3、防渗层维护</w:t>
      </w:r>
    </w:p>
    <w:p w14:paraId="19B4F3D3">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highlight w:val="none"/>
        </w:rPr>
        <w:t>项目日常运营过程，要定</w:t>
      </w:r>
      <w:r>
        <w:rPr>
          <w:rFonts w:hint="default" w:ascii="Times New Roman" w:hAnsi="Times New Roman" w:eastAsia="宋体" w:cs="Times New Roman"/>
          <w:color w:val="auto"/>
          <w:kern w:val="0"/>
          <w:sz w:val="24"/>
          <w:szCs w:val="24"/>
        </w:rPr>
        <w:t>期对防渗措施进行检查和维护，确保防渗层的防渗效果，一旦发现防渗层有开裂、腐蚀等问题，应及时修补，避免事故状态下对厂区地下水造成污染。</w:t>
      </w:r>
    </w:p>
    <w:p w14:paraId="31118D78">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经采取上述措施后</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rPr>
        <w:t>事故状态下产生的废水对区域地下水周围环境的影响较小。</w:t>
      </w:r>
    </w:p>
    <w:p w14:paraId="1A837BCE">
      <w:pPr>
        <w:pStyle w:val="1399"/>
        <w:pageBreakBefore w:val="0"/>
        <w:kinsoku/>
        <w:wordWrap/>
        <w:overflowPunct/>
        <w:topLinePunct w:val="0"/>
        <w:autoSpaceDE/>
        <w:autoSpaceDN/>
        <w:bidi w:val="0"/>
        <w:adjustRightInd w:val="0"/>
        <w:snapToGrid w:val="0"/>
        <w:spacing w:line="360" w:lineRule="auto"/>
        <w:textAlignment w:val="auto"/>
        <w:outlineLvl w:val="9"/>
        <w:rPr>
          <w:rFonts w:hint="default" w:ascii="Times New Roman" w:hAnsi="Times New Roman" w:eastAsia="宋体" w:cs="Times New Roman"/>
          <w:b/>
          <w:bCs w:val="0"/>
          <w:color w:val="auto"/>
          <w:sz w:val="30"/>
          <w:szCs w:val="30"/>
          <w:shd w:val="clear" w:color="auto" w:fill="auto"/>
          <w:lang w:val="en-US" w:eastAsia="zh-CN"/>
        </w:rPr>
      </w:pPr>
      <w:bookmarkStart w:id="77" w:name="_Toc24090"/>
      <w:r>
        <w:rPr>
          <w:rFonts w:hint="default" w:ascii="Times New Roman" w:hAnsi="Times New Roman" w:eastAsia="宋体" w:cs="Times New Roman"/>
          <w:b/>
          <w:bCs w:val="0"/>
          <w:color w:val="auto"/>
          <w:sz w:val="30"/>
          <w:szCs w:val="30"/>
          <w:shd w:val="clear" w:color="auto" w:fill="auto"/>
          <w:lang w:val="en-US" w:eastAsia="zh-CN"/>
        </w:rPr>
        <w:t>7.4事故处理措施事故监测</w:t>
      </w:r>
      <w:bookmarkEnd w:id="77"/>
    </w:p>
    <w:p w14:paraId="2CC11FC0">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32"/>
          <w:lang w:eastAsia="zh-CN"/>
        </w:rPr>
      </w:pPr>
      <w:r>
        <w:rPr>
          <w:rFonts w:hint="default" w:ascii="Times New Roman" w:hAnsi="Times New Roman" w:eastAsia="宋体" w:cs="Times New Roman"/>
          <w:color w:val="auto"/>
          <w:kern w:val="0"/>
          <w:sz w:val="24"/>
          <w:szCs w:val="32"/>
        </w:rPr>
        <w:t>根据《突发环境事件应急监测技术规范》（HJ589-2021），加强对突发环境事件的预警和环境安全风险源单位的监管，健全环境安全预警体系，确保环境安全，特制定本方案</w:t>
      </w:r>
      <w:r>
        <w:rPr>
          <w:rFonts w:hint="default" w:ascii="Times New Roman" w:hAnsi="Times New Roman" w:eastAsia="宋体" w:cs="Times New Roman"/>
          <w:color w:val="auto"/>
          <w:kern w:val="0"/>
          <w:sz w:val="24"/>
          <w:szCs w:val="32"/>
          <w:lang w:eastAsia="zh-CN"/>
        </w:rPr>
        <w:t>。</w:t>
      </w:r>
    </w:p>
    <w:p w14:paraId="1C50B3F9">
      <w:pPr>
        <w:pStyle w:val="104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lang w:val="en-US" w:eastAsia="zh-CN"/>
        </w:rPr>
      </w:pPr>
      <w:bookmarkStart w:id="78" w:name="_Toc5981"/>
      <w:r>
        <w:rPr>
          <w:rFonts w:hint="default" w:ascii="Times New Roman" w:hAnsi="Times New Roman" w:eastAsia="宋体" w:cs="Times New Roman"/>
          <w:b/>
          <w:color w:val="auto"/>
          <w:sz w:val="28"/>
          <w:szCs w:val="28"/>
          <w:lang w:val="en-US" w:eastAsia="zh-CN"/>
        </w:rPr>
        <w:t>7.4.1 响应启动</w:t>
      </w:r>
      <w:bookmarkEnd w:id="78"/>
    </w:p>
    <w:p w14:paraId="0AA2E0D0">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32"/>
          <w:lang w:eastAsia="zh-CN"/>
        </w:rPr>
      </w:pPr>
      <w:r>
        <w:rPr>
          <w:rFonts w:hint="default" w:ascii="Times New Roman" w:hAnsi="Times New Roman" w:eastAsia="宋体" w:cs="Times New Roman"/>
          <w:color w:val="auto"/>
          <w:kern w:val="0"/>
          <w:sz w:val="24"/>
          <w:szCs w:val="32"/>
        </w:rPr>
        <w:t>环境监测组成员在接到监测任务指令后，立即启动应急监测方案，快速组织本小组成员，赶赴事件现场开展应急监测。若需外部应急监测部门介入，企业环境监测组成员应将外部监测人员带至事故现场，协助监测部门进行环境监测，同时填写《突发环境事件应急监测任务单》，详细记录事件的情况</w:t>
      </w:r>
      <w:r>
        <w:rPr>
          <w:rFonts w:hint="default" w:ascii="Times New Roman" w:hAnsi="Times New Roman" w:eastAsia="宋体" w:cs="Times New Roman"/>
          <w:color w:val="auto"/>
          <w:kern w:val="0"/>
          <w:sz w:val="24"/>
          <w:szCs w:val="32"/>
          <w:lang w:eastAsia="zh-CN"/>
        </w:rPr>
        <w:t>。</w:t>
      </w:r>
    </w:p>
    <w:p w14:paraId="127811CF">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32"/>
        </w:rPr>
      </w:pPr>
      <w:r>
        <w:rPr>
          <w:rFonts w:hint="default" w:ascii="Times New Roman" w:hAnsi="Times New Roman" w:eastAsia="宋体" w:cs="Times New Roman"/>
          <w:color w:val="auto"/>
          <w:kern w:val="0"/>
          <w:sz w:val="24"/>
          <w:szCs w:val="32"/>
        </w:rPr>
        <w:t>公司内部应急监测可由</w:t>
      </w:r>
      <w:r>
        <w:rPr>
          <w:rFonts w:hint="default" w:ascii="Times New Roman" w:hAnsi="Times New Roman" w:eastAsia="宋体" w:cs="Times New Roman"/>
          <w:color w:val="auto"/>
          <w:kern w:val="0"/>
          <w:sz w:val="24"/>
          <w:szCs w:val="32"/>
          <w:lang w:val="en-US" w:eastAsia="zh-CN"/>
        </w:rPr>
        <w:t>应急监测组</w:t>
      </w:r>
      <w:r>
        <w:rPr>
          <w:rFonts w:hint="default" w:ascii="Times New Roman" w:hAnsi="Times New Roman" w:eastAsia="宋体" w:cs="Times New Roman"/>
          <w:color w:val="auto"/>
          <w:kern w:val="0"/>
          <w:sz w:val="24"/>
          <w:szCs w:val="32"/>
        </w:rPr>
        <w:t>组织，负责携带大气速测仪等必要监测设施及时到达现场，对大气及水体进行取样监测，并跟踪到下风向一定范围内进行采样。按事故类型，对相关地点进行紧急高频次监测，根据事故情况选择监测项目，随时监控污染状况，为应急指挥、紧急疏散及上级监测部门进行应急监测提供依据。</w:t>
      </w:r>
    </w:p>
    <w:p w14:paraId="487A7939">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32"/>
        </w:rPr>
      </w:pPr>
      <w:r>
        <w:rPr>
          <w:rFonts w:hint="default" w:ascii="Times New Roman" w:hAnsi="Times New Roman" w:eastAsia="宋体" w:cs="Times New Roman"/>
          <w:color w:val="auto"/>
          <w:kern w:val="0"/>
          <w:sz w:val="24"/>
          <w:szCs w:val="32"/>
        </w:rPr>
        <w:t>外部监测队伍由</w:t>
      </w:r>
      <w:r>
        <w:rPr>
          <w:rFonts w:hint="default" w:ascii="Times New Roman" w:hAnsi="Times New Roman" w:eastAsia="宋体" w:cs="Times New Roman"/>
          <w:color w:val="auto"/>
          <w:kern w:val="0"/>
          <w:sz w:val="24"/>
          <w:szCs w:val="32"/>
          <w:lang w:eastAsia="zh-CN"/>
        </w:rPr>
        <w:t>淄川</w:t>
      </w:r>
      <w:r>
        <w:rPr>
          <w:rFonts w:hint="default" w:ascii="Times New Roman" w:hAnsi="Times New Roman" w:eastAsia="宋体" w:cs="Times New Roman"/>
          <w:color w:val="auto"/>
          <w:kern w:val="0"/>
          <w:sz w:val="24"/>
          <w:szCs w:val="32"/>
        </w:rPr>
        <w:t>区突发环境事件应急监测组，淄博市生态环境局</w:t>
      </w:r>
      <w:r>
        <w:rPr>
          <w:rFonts w:hint="default" w:ascii="Times New Roman" w:hAnsi="Times New Roman" w:eastAsia="宋体" w:cs="Times New Roman"/>
          <w:color w:val="auto"/>
          <w:kern w:val="0"/>
          <w:sz w:val="24"/>
          <w:szCs w:val="32"/>
          <w:lang w:eastAsia="zh-CN"/>
        </w:rPr>
        <w:t>淄川</w:t>
      </w:r>
      <w:r>
        <w:rPr>
          <w:rFonts w:hint="default" w:ascii="Times New Roman" w:hAnsi="Times New Roman" w:eastAsia="宋体" w:cs="Times New Roman"/>
          <w:color w:val="auto"/>
          <w:kern w:val="0"/>
          <w:sz w:val="24"/>
          <w:szCs w:val="32"/>
        </w:rPr>
        <w:t>分局、</w:t>
      </w:r>
      <w:r>
        <w:rPr>
          <w:rFonts w:hint="default" w:ascii="Times New Roman" w:hAnsi="Times New Roman" w:cs="Times New Roman"/>
          <w:color w:val="auto"/>
          <w:kern w:val="0"/>
          <w:sz w:val="24"/>
          <w:szCs w:val="32"/>
          <w:lang w:val="en-US" w:eastAsia="zh-CN"/>
        </w:rPr>
        <w:t>第三方应急检测单位</w:t>
      </w:r>
      <w:r>
        <w:rPr>
          <w:rFonts w:hint="default" w:ascii="Times New Roman" w:hAnsi="Times New Roman" w:eastAsia="宋体" w:cs="Times New Roman"/>
          <w:color w:val="auto"/>
          <w:kern w:val="0"/>
          <w:sz w:val="24"/>
          <w:szCs w:val="32"/>
        </w:rPr>
        <w:t>有关人员组成。负责对污染现场的应急监测工作，指导检查各公司监测部门的应急监测工作；负责对污染实施跟踪监测，为应急工作终止提供科学依据。</w:t>
      </w:r>
    </w:p>
    <w:p w14:paraId="32BC259B">
      <w:pPr>
        <w:pStyle w:val="104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lang w:val="en-US" w:eastAsia="zh-CN"/>
        </w:rPr>
      </w:pPr>
      <w:bookmarkStart w:id="79" w:name="_Toc6843"/>
      <w:r>
        <w:rPr>
          <w:rFonts w:hint="default" w:ascii="Times New Roman" w:hAnsi="Times New Roman" w:eastAsia="宋体" w:cs="Times New Roman"/>
          <w:b/>
          <w:color w:val="auto"/>
          <w:sz w:val="28"/>
          <w:szCs w:val="28"/>
          <w:lang w:val="en-US" w:eastAsia="zh-CN"/>
        </w:rPr>
        <w:t>7.4.2现场调查与污染物初步判别</w:t>
      </w:r>
      <w:bookmarkEnd w:id="79"/>
    </w:p>
    <w:p w14:paraId="400749CE">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lang w:eastAsia="zh-CN"/>
        </w:rPr>
      </w:pPr>
      <w:r>
        <w:rPr>
          <w:rFonts w:hint="default" w:ascii="Times New Roman" w:hAnsi="Times New Roman" w:eastAsia="宋体" w:cs="Times New Roman"/>
          <w:color w:val="auto"/>
          <w:kern w:val="0"/>
          <w:sz w:val="24"/>
          <w:szCs w:val="24"/>
        </w:rPr>
        <w:t>应急监测人员到达事件现场后，立即开展现场调查，填写《应急监测现场调查记录单》。主要调查内容包括：事件发生原因、过程；主要污染种类、理化性质及毒性；扩散途径，污染范围及污染程度；周边敏感目标等</w:t>
      </w:r>
      <w:r>
        <w:rPr>
          <w:rFonts w:hint="default" w:ascii="Times New Roman" w:hAnsi="Times New Roman" w:eastAsia="宋体" w:cs="Times New Roman"/>
          <w:color w:val="auto"/>
          <w:kern w:val="0"/>
          <w:sz w:val="24"/>
          <w:szCs w:val="24"/>
          <w:lang w:eastAsia="zh-CN"/>
        </w:rPr>
        <w:t>。</w:t>
      </w:r>
    </w:p>
    <w:p w14:paraId="15A918F3">
      <w:pPr>
        <w:pStyle w:val="104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lang w:val="en-US" w:eastAsia="zh-CN"/>
        </w:rPr>
      </w:pPr>
      <w:bookmarkStart w:id="80" w:name="_Toc21022"/>
      <w:r>
        <w:rPr>
          <w:rFonts w:hint="default" w:ascii="Times New Roman" w:hAnsi="Times New Roman" w:eastAsia="宋体" w:cs="Times New Roman"/>
          <w:b/>
          <w:color w:val="auto"/>
          <w:sz w:val="28"/>
          <w:szCs w:val="28"/>
          <w:lang w:val="en-US" w:eastAsia="zh-CN"/>
        </w:rPr>
        <w:t>7.4.3监测点位布设</w:t>
      </w:r>
      <w:bookmarkEnd w:id="80"/>
    </w:p>
    <w:p w14:paraId="4EAAAF39">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1、大气：应尽可能在事故发生地就近采样，并以事故点为中心，根据事故发生地的地理特点、风向及其他自然条件，在事故发生地下风向影响区域、掩体或低洼地等位置，按一定间隔的圆形布点采样，并根据污染物的特性在不同高度采样，同时在事故点的上风向适当位置布设对照点，在距事故发生地最近的居民住宅区布点采样，采样过程中应注意风向的变化，及时调整采样点位置；</w:t>
      </w:r>
    </w:p>
    <w:p w14:paraId="5126B43E">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2、地表水：监测点位以附近</w:t>
      </w:r>
      <w:r>
        <w:rPr>
          <w:rFonts w:hint="default" w:ascii="Times New Roman" w:hAnsi="Times New Roman" w:eastAsia="宋体" w:cs="Times New Roman"/>
          <w:color w:val="auto"/>
          <w:kern w:val="0"/>
          <w:sz w:val="24"/>
          <w:szCs w:val="24"/>
          <w:lang w:val="en-US" w:eastAsia="zh-CN"/>
        </w:rPr>
        <w:t>孝妇河</w:t>
      </w:r>
      <w:r>
        <w:rPr>
          <w:rFonts w:hint="default" w:ascii="Times New Roman" w:hAnsi="Times New Roman" w:eastAsia="宋体" w:cs="Times New Roman"/>
          <w:color w:val="auto"/>
          <w:kern w:val="0"/>
          <w:sz w:val="24"/>
          <w:szCs w:val="24"/>
        </w:rPr>
        <w:t>水体上下游断面为主，根据水流方向、扩散速度（或流速）和现场具体情况（如地形地貌等）进行布点采样，同时应测定流量。对厂区周边水体监测应在事故发生地及下游布设若干点，同时在事故发生地上游一定距离布设对照断面（点）。如河流流速很小或基本静止，可根据污染物的特性在不同水层采样；在事故影响区域内饮用水和农灌区取水口必须设置采样断面（点）。</w:t>
      </w:r>
    </w:p>
    <w:p w14:paraId="63072774">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3、地下水：应以事故发生地为中心，根据本地区地下水流向采用网格法或辐射法在周围2km内布设监测井采样，</w:t>
      </w:r>
      <w:r>
        <w:rPr>
          <w:rFonts w:hint="default" w:ascii="Times New Roman" w:hAnsi="Times New Roman" w:cs="Times New Roman"/>
          <w:color w:val="auto"/>
          <w:kern w:val="0"/>
          <w:sz w:val="24"/>
          <w:szCs w:val="24"/>
          <w:lang w:eastAsia="zh-CN"/>
        </w:rPr>
        <w:t>同时</w:t>
      </w:r>
      <w:r>
        <w:rPr>
          <w:rFonts w:hint="default" w:ascii="Times New Roman" w:hAnsi="Times New Roman" w:eastAsia="宋体" w:cs="Times New Roman"/>
          <w:color w:val="auto"/>
          <w:kern w:val="0"/>
          <w:sz w:val="24"/>
          <w:szCs w:val="24"/>
        </w:rPr>
        <w:t>视地下水主要补给来源，在垂直于地下水流的上方向，设置对照监测井采样，在以地下水为饮用水源的取水处必须设置采样点。</w:t>
      </w:r>
    </w:p>
    <w:p w14:paraId="13B52EDF">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4、土壤：应以事故发生地为中心，在事故发生地及周围一定距离内的区域按一定的间隔圆形布点采样，并根据污染物的特性在不同深度采样，同时采集未受污染区域的样品作为对照样品。必要时还应采集事故地附近的作物样品。</w:t>
      </w:r>
    </w:p>
    <w:p w14:paraId="4689D314">
      <w:pPr>
        <w:pStyle w:val="104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lang w:val="en-US" w:eastAsia="zh-CN"/>
        </w:rPr>
      </w:pPr>
      <w:bookmarkStart w:id="81" w:name="_Toc15026"/>
      <w:r>
        <w:rPr>
          <w:rFonts w:hint="default" w:ascii="Times New Roman" w:hAnsi="Times New Roman" w:eastAsia="宋体" w:cs="Times New Roman"/>
          <w:b/>
          <w:color w:val="auto"/>
          <w:sz w:val="28"/>
          <w:szCs w:val="28"/>
          <w:lang w:val="en-US" w:eastAsia="zh-CN"/>
        </w:rPr>
        <w:t>7.4.4 监测项目</w:t>
      </w:r>
      <w:bookmarkEnd w:id="81"/>
    </w:p>
    <w:p w14:paraId="3CA1B282">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rPr>
        <w:t>根据企业内部的污染物排放情况，本次突发环境事件情况下废水、废气的应急监测项目如下：</w:t>
      </w:r>
    </w:p>
    <w:p w14:paraId="5F7345F5">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1、地表水监测内容包括：pH、COD</w:t>
      </w:r>
      <w:r>
        <w:rPr>
          <w:rFonts w:hint="default" w:ascii="Times New Roman" w:hAnsi="Times New Roman" w:eastAsia="宋体" w:cs="Times New Roman"/>
          <w:color w:val="auto"/>
          <w:kern w:val="0"/>
          <w:sz w:val="24"/>
          <w:szCs w:val="24"/>
          <w:highlight w:val="none"/>
          <w:vertAlign w:val="subscript"/>
        </w:rPr>
        <w:t>Cr</w:t>
      </w:r>
      <w:r>
        <w:rPr>
          <w:rFonts w:hint="default" w:ascii="Times New Roman" w:hAnsi="Times New Roman" w:eastAsia="宋体" w:cs="Times New Roman"/>
          <w:color w:val="auto"/>
          <w:kern w:val="0"/>
          <w:sz w:val="24"/>
          <w:szCs w:val="24"/>
          <w:highlight w:val="none"/>
        </w:rPr>
        <w:t>、SS、氨氮、</w:t>
      </w:r>
      <w:r>
        <w:rPr>
          <w:rFonts w:hint="default" w:ascii="Times New Roman" w:hAnsi="Times New Roman" w:eastAsia="宋体" w:cs="Times New Roman"/>
          <w:color w:val="auto"/>
          <w:kern w:val="0"/>
          <w:sz w:val="24"/>
          <w:szCs w:val="24"/>
          <w:highlight w:val="none"/>
          <w:lang w:val="en-US" w:eastAsia="zh-CN"/>
        </w:rPr>
        <w:t>总氮、总磷、悬浮物、硫化物、石油类</w:t>
      </w:r>
      <w:r>
        <w:rPr>
          <w:rFonts w:hint="default" w:ascii="Times New Roman" w:hAnsi="Times New Roman" w:eastAsia="宋体" w:cs="Times New Roman"/>
          <w:color w:val="auto"/>
          <w:kern w:val="0"/>
          <w:sz w:val="24"/>
          <w:szCs w:val="24"/>
          <w:highlight w:val="none"/>
        </w:rPr>
        <w:t>等；</w:t>
      </w:r>
    </w:p>
    <w:p w14:paraId="7C9E4BFF">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地下水主要监测因子确定为</w:t>
      </w:r>
      <w:r>
        <w:rPr>
          <w:rFonts w:hint="default" w:ascii="Times New Roman" w:hAnsi="Times New Roman" w:eastAsia="宋体" w:cs="Times New Roman"/>
          <w:color w:val="auto"/>
          <w:sz w:val="24"/>
          <w:szCs w:val="24"/>
          <w:highlight w:val="none"/>
          <w:lang w:eastAsia="zh-CN"/>
        </w:rPr>
        <w:t>K</w:t>
      </w:r>
      <w:r>
        <w:rPr>
          <w:rFonts w:hint="default" w:ascii="Times New Roman" w:hAnsi="Times New Roman" w:eastAsia="宋体" w:cs="Times New Roman"/>
          <w:color w:val="auto"/>
          <w:sz w:val="24"/>
          <w:szCs w:val="24"/>
          <w:highlight w:val="none"/>
          <w:vertAlign w:val="superscript"/>
          <w:lang w:eastAsia="zh-CN"/>
        </w:rPr>
        <w:t>+</w:t>
      </w:r>
      <w:r>
        <w:rPr>
          <w:rFonts w:hint="default" w:ascii="Times New Roman" w:hAnsi="Times New Roman" w:eastAsia="宋体" w:cs="Times New Roman"/>
          <w:color w:val="auto"/>
          <w:sz w:val="24"/>
          <w:szCs w:val="24"/>
          <w:highlight w:val="none"/>
          <w:lang w:eastAsia="zh-CN"/>
        </w:rPr>
        <w:t>、Na</w:t>
      </w:r>
      <w:r>
        <w:rPr>
          <w:rFonts w:hint="default" w:ascii="Times New Roman" w:hAnsi="Times New Roman" w:eastAsia="宋体" w:cs="Times New Roman"/>
          <w:color w:val="auto"/>
          <w:sz w:val="24"/>
          <w:szCs w:val="24"/>
          <w:highlight w:val="none"/>
          <w:vertAlign w:val="superscript"/>
          <w:lang w:eastAsia="zh-CN"/>
        </w:rPr>
        <w:t>+</w:t>
      </w:r>
      <w:r>
        <w:rPr>
          <w:rFonts w:hint="default" w:ascii="Times New Roman" w:hAnsi="Times New Roman" w:eastAsia="宋体" w:cs="Times New Roman"/>
          <w:color w:val="auto"/>
          <w:sz w:val="24"/>
          <w:szCs w:val="24"/>
          <w:highlight w:val="none"/>
          <w:lang w:eastAsia="zh-CN"/>
        </w:rPr>
        <w:t>、Ca</w:t>
      </w:r>
      <w:r>
        <w:rPr>
          <w:rFonts w:hint="default" w:ascii="Times New Roman" w:hAnsi="Times New Roman" w:eastAsia="宋体" w:cs="Times New Roman"/>
          <w:color w:val="auto"/>
          <w:sz w:val="24"/>
          <w:szCs w:val="24"/>
          <w:highlight w:val="none"/>
          <w:vertAlign w:val="superscript"/>
          <w:lang w:eastAsia="zh-CN"/>
        </w:rPr>
        <w:t>2+</w:t>
      </w:r>
      <w:r>
        <w:rPr>
          <w:rFonts w:hint="default" w:ascii="Times New Roman" w:hAnsi="Times New Roman" w:eastAsia="宋体" w:cs="Times New Roman"/>
          <w:color w:val="auto"/>
          <w:sz w:val="24"/>
          <w:szCs w:val="24"/>
          <w:highlight w:val="none"/>
          <w:lang w:eastAsia="zh-CN"/>
        </w:rPr>
        <w:t>、Mg</w:t>
      </w:r>
      <w:r>
        <w:rPr>
          <w:rFonts w:hint="default" w:ascii="Times New Roman" w:hAnsi="Times New Roman" w:eastAsia="宋体" w:cs="Times New Roman"/>
          <w:color w:val="auto"/>
          <w:sz w:val="24"/>
          <w:szCs w:val="24"/>
          <w:highlight w:val="none"/>
          <w:vertAlign w:val="superscript"/>
          <w:lang w:eastAsia="zh-CN"/>
        </w:rPr>
        <w:t>2+</w:t>
      </w:r>
      <w:r>
        <w:rPr>
          <w:rFonts w:hint="default" w:ascii="Times New Roman" w:hAnsi="Times New Roman" w:eastAsia="宋体" w:cs="Times New Roman"/>
          <w:color w:val="auto"/>
          <w:sz w:val="24"/>
          <w:szCs w:val="24"/>
          <w:highlight w:val="none"/>
          <w:lang w:eastAsia="zh-CN"/>
        </w:rPr>
        <w:t>、CO</w:t>
      </w:r>
      <w:r>
        <w:rPr>
          <w:rFonts w:hint="default" w:ascii="Times New Roman" w:hAnsi="Times New Roman" w:eastAsia="宋体" w:cs="Times New Roman"/>
          <w:color w:val="auto"/>
          <w:sz w:val="24"/>
          <w:szCs w:val="24"/>
          <w:highlight w:val="none"/>
          <w:vertAlign w:val="subscript"/>
          <w:lang w:eastAsia="zh-CN"/>
        </w:rPr>
        <w:t>3</w:t>
      </w:r>
      <w:r>
        <w:rPr>
          <w:rFonts w:hint="default" w:ascii="Times New Roman" w:hAnsi="Times New Roman" w:eastAsia="宋体" w:cs="Times New Roman"/>
          <w:color w:val="auto"/>
          <w:sz w:val="24"/>
          <w:szCs w:val="24"/>
          <w:highlight w:val="none"/>
          <w:vertAlign w:val="superscript"/>
          <w:lang w:eastAsia="zh-CN"/>
        </w:rPr>
        <w:t>2-</w:t>
      </w:r>
      <w:r>
        <w:rPr>
          <w:rFonts w:hint="default" w:ascii="Times New Roman" w:hAnsi="Times New Roman" w:eastAsia="宋体" w:cs="Times New Roman"/>
          <w:color w:val="auto"/>
          <w:sz w:val="24"/>
          <w:szCs w:val="24"/>
          <w:highlight w:val="none"/>
          <w:lang w:eastAsia="zh-CN"/>
        </w:rPr>
        <w:t>、HCO</w:t>
      </w:r>
      <w:r>
        <w:rPr>
          <w:rFonts w:hint="default" w:ascii="Times New Roman" w:hAnsi="Times New Roman" w:eastAsia="宋体" w:cs="Times New Roman"/>
          <w:color w:val="auto"/>
          <w:sz w:val="24"/>
          <w:szCs w:val="24"/>
          <w:highlight w:val="none"/>
          <w:vertAlign w:val="subscript"/>
          <w:lang w:eastAsia="zh-CN"/>
        </w:rPr>
        <w:t>3</w:t>
      </w:r>
      <w:r>
        <w:rPr>
          <w:rFonts w:hint="default" w:ascii="Times New Roman" w:hAnsi="Times New Roman" w:eastAsia="宋体" w:cs="Times New Roman"/>
          <w:color w:val="auto"/>
          <w:sz w:val="24"/>
          <w:szCs w:val="24"/>
          <w:highlight w:val="none"/>
          <w:vertAlign w:val="superscript"/>
          <w:lang w:eastAsia="zh-CN"/>
        </w:rPr>
        <w:t>-</w:t>
      </w:r>
      <w:r>
        <w:rPr>
          <w:rFonts w:hint="default" w:ascii="Times New Roman" w:hAnsi="Times New Roman" w:eastAsia="宋体" w:cs="Times New Roman"/>
          <w:color w:val="auto"/>
          <w:sz w:val="24"/>
          <w:szCs w:val="24"/>
          <w:highlight w:val="none"/>
          <w:lang w:eastAsia="zh-CN"/>
        </w:rPr>
        <w:t>、pH、总硬度、溶解性总固体、氨氮、耗氧量、硫酸盐、硝酸盐氮、亚硝酸盐氮、石油类、挥发酚、氟化物、氰化物、氯化物、铁、锰、铅、汞、镉、六价铬、砷、总大肠菌群、菌落总数等</w:t>
      </w:r>
      <w:r>
        <w:rPr>
          <w:rFonts w:hint="default" w:ascii="Times New Roman" w:hAnsi="Times New Roman" w:eastAsia="宋体" w:cs="Times New Roman"/>
          <w:color w:val="auto"/>
          <w:kern w:val="0"/>
          <w:sz w:val="24"/>
          <w:szCs w:val="24"/>
          <w:highlight w:val="none"/>
        </w:rPr>
        <w:t>。根据事故类型进行选取。</w:t>
      </w:r>
    </w:p>
    <w:p w14:paraId="74FE8152">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2、废气监测内容包括：烟尘、CO</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lang w:val="en-US" w:eastAsia="zh-CN"/>
        </w:rPr>
        <w:t>氨气、SO</w:t>
      </w:r>
      <w:r>
        <w:rPr>
          <w:rFonts w:hint="default" w:ascii="Times New Roman" w:hAnsi="Times New Roman" w:cs="Times New Roman"/>
          <w:color w:val="auto"/>
          <w:kern w:val="0"/>
          <w:sz w:val="24"/>
          <w:szCs w:val="24"/>
          <w:highlight w:val="none"/>
          <w:vertAlign w:val="subscript"/>
          <w:lang w:val="en-US" w:eastAsia="zh-CN"/>
        </w:rPr>
        <w:t>2</w:t>
      </w:r>
      <w:r>
        <w:rPr>
          <w:rFonts w:hint="default" w:ascii="Times New Roman" w:hAnsi="Times New Roman" w:eastAsia="宋体" w:cs="Times New Roman"/>
          <w:color w:val="auto"/>
          <w:kern w:val="0"/>
          <w:sz w:val="24"/>
          <w:szCs w:val="24"/>
          <w:highlight w:val="none"/>
        </w:rPr>
        <w:t>等。</w:t>
      </w:r>
    </w:p>
    <w:p w14:paraId="2986A03E">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rPr>
        <w:t>3、土壤检测内容包括：</w:t>
      </w:r>
      <w:r>
        <w:rPr>
          <w:rFonts w:hint="default" w:ascii="Times New Roman" w:hAnsi="Times New Roman" w:eastAsia="宋体" w:cs="Times New Roman"/>
          <w:color w:val="auto"/>
          <w:kern w:val="0"/>
          <w:sz w:val="24"/>
          <w:szCs w:val="24"/>
          <w:highlight w:val="none"/>
          <w:lang w:val="en-US" w:eastAsia="zh-CN"/>
        </w:rPr>
        <w:t>pH</w:t>
      </w:r>
      <w:r>
        <w:rPr>
          <w:rFonts w:hint="default" w:ascii="Times New Roman" w:hAnsi="Times New Roman" w:cs="Times New Roman"/>
          <w:color w:val="auto"/>
          <w:lang w:val="en-US" w:eastAsia="zh-CN"/>
        </w:rPr>
        <w:t>+</w:t>
      </w:r>
      <w:r>
        <w:rPr>
          <w:rFonts w:hint="default" w:ascii="Times New Roman" w:hAnsi="Times New Roman" w:cs="Times New Roman"/>
          <w:color w:val="auto"/>
          <w:kern w:val="0"/>
          <w:sz w:val="24"/>
          <w:szCs w:val="24"/>
          <w:highlight w:val="none"/>
          <w:lang w:val="en-US" w:eastAsia="zh-CN"/>
        </w:rPr>
        <w:t>石油烃</w:t>
      </w:r>
    </w:p>
    <w:p w14:paraId="3884F4DC">
      <w:pPr>
        <w:pStyle w:val="104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lang w:val="en-US" w:eastAsia="zh-CN"/>
        </w:rPr>
      </w:pPr>
      <w:bookmarkStart w:id="82" w:name="_Toc6953"/>
      <w:r>
        <w:rPr>
          <w:rFonts w:hint="default" w:ascii="Times New Roman" w:hAnsi="Times New Roman" w:eastAsia="宋体" w:cs="Times New Roman"/>
          <w:b/>
          <w:color w:val="auto"/>
          <w:sz w:val="28"/>
          <w:szCs w:val="28"/>
          <w:lang w:val="en-US" w:eastAsia="zh-CN"/>
        </w:rPr>
        <w:t>7.4.5 监测频次</w:t>
      </w:r>
      <w:bookmarkEnd w:id="82"/>
    </w:p>
    <w:p w14:paraId="0441C0F8">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kern w:val="0"/>
          <w:sz w:val="24"/>
          <w:szCs w:val="24"/>
          <w:highlight w:val="none"/>
        </w:rPr>
        <w:t>根据污染物泄漏未经收集进入附近河流持续的时间决定监测时间，根据事故严重性决定监测频次。一般情况下每</w:t>
      </w:r>
      <w:r>
        <w:rPr>
          <w:rFonts w:hint="default" w:ascii="Times New Roman" w:hAnsi="Times New Roman" w:cs="Times New Roman"/>
          <w:color w:val="auto"/>
          <w:kern w:val="0"/>
          <w:sz w:val="24"/>
          <w:szCs w:val="24"/>
          <w:highlight w:val="none"/>
          <w:lang w:val="en-US" w:eastAsia="zh-CN"/>
        </w:rPr>
        <w:t>15min</w:t>
      </w:r>
      <w:r>
        <w:rPr>
          <w:rFonts w:hint="default" w:ascii="Times New Roman" w:hAnsi="Times New Roman" w:eastAsia="宋体" w:cs="Times New Roman"/>
          <w:color w:val="auto"/>
          <w:kern w:val="0"/>
          <w:sz w:val="24"/>
          <w:szCs w:val="24"/>
          <w:highlight w:val="none"/>
        </w:rPr>
        <w:t>取样一次。随事故控制减弱，适当减少监测频次</w:t>
      </w:r>
      <w:r>
        <w:rPr>
          <w:rFonts w:hint="default" w:ascii="Times New Roman" w:hAnsi="Times New Roman" w:eastAsia="宋体" w:cs="Times New Roman"/>
          <w:color w:val="auto"/>
          <w:kern w:val="0"/>
          <w:sz w:val="24"/>
          <w:szCs w:val="24"/>
          <w:highlight w:val="none"/>
          <w:lang w:eastAsia="zh-CN"/>
        </w:rPr>
        <w:t>。</w:t>
      </w:r>
    </w:p>
    <w:p w14:paraId="5B0AF526">
      <w:pPr>
        <w:pStyle w:val="104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lang w:val="en-US" w:eastAsia="zh-CN"/>
        </w:rPr>
      </w:pPr>
      <w:bookmarkStart w:id="83" w:name="_Toc6107"/>
      <w:r>
        <w:rPr>
          <w:rFonts w:hint="default" w:ascii="Times New Roman" w:hAnsi="Times New Roman" w:eastAsia="宋体" w:cs="Times New Roman"/>
          <w:b/>
          <w:color w:val="auto"/>
          <w:sz w:val="28"/>
          <w:szCs w:val="28"/>
          <w:lang w:val="en-US" w:eastAsia="zh-CN"/>
        </w:rPr>
        <w:t>7.4.6污染物现场应急监测方法</w:t>
      </w:r>
      <w:bookmarkEnd w:id="83"/>
    </w:p>
    <w:p w14:paraId="42D5029E">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kern w:val="0"/>
          <w:sz w:val="24"/>
          <w:szCs w:val="24"/>
          <w:highlight w:val="none"/>
        </w:rPr>
        <w:t>现场应急监测方法要求包括</w:t>
      </w:r>
      <w:r>
        <w:rPr>
          <w:rFonts w:hint="default" w:ascii="Times New Roman" w:hAnsi="Times New Roman" w:eastAsia="宋体" w:cs="Times New Roman"/>
          <w:color w:val="auto"/>
          <w:kern w:val="0"/>
          <w:sz w:val="24"/>
          <w:szCs w:val="24"/>
          <w:highlight w:val="none"/>
          <w:lang w:eastAsia="zh-CN"/>
        </w:rPr>
        <w:t>：</w:t>
      </w:r>
    </w:p>
    <w:p w14:paraId="39F8B68C">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a</w:t>
      </w:r>
      <w:r>
        <w:rPr>
          <w:rFonts w:hint="default" w:ascii="Times New Roman" w:hAnsi="Times New Roman"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样品不易保存或对于污染追踪阶段，优先选用现场快速测定的方法，并在监测报告中注明，现场监测的项目，应首选对样品前处理要求低，可直接选数，能给出定性，半定最或定量检测结果的快速标准分析方法，无标准分析方法的项目，优先选择检测结果准确程度高的快速检测方法和检测仪器。现场无法测定的项目，应迅速送至实验室分析；</w:t>
      </w:r>
    </w:p>
    <w:p w14:paraId="222BE1AA">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b</w:t>
      </w:r>
      <w:r>
        <w:rPr>
          <w:rFonts w:hint="default" w:ascii="Times New Roman" w:hAnsi="Times New Roman"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可根据实际情况，利用事件现场周围的环境质量自动监测站和污染源在线监测系统等作为补充监测手段，也可采用生物监测、无人机监测、激光雷达探测等新型监测技术手段辅助监测；</w:t>
      </w:r>
    </w:p>
    <w:p w14:paraId="357AA551">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c</w:t>
      </w:r>
      <w:r>
        <w:rPr>
          <w:rFonts w:hint="default" w:ascii="Times New Roman" w:hAnsi="Times New Roman"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对于影响事件处置、司法鉴定或损害评估判定结果的关键样品，应优先采用国家标准或行业标准方法测定；</w:t>
      </w:r>
    </w:p>
    <w:p w14:paraId="68D5098C">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d</w:t>
      </w:r>
      <w:r>
        <w:rPr>
          <w:rFonts w:hint="default" w:ascii="Times New Roman" w:hAnsi="Times New Roman"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当需要开展跨界联合监测或多地、多部门联动监测时，各监测方应统一采用应急监测现场指挥部确定的应急监测方法。不能统一监测方法的，应做好方法间的比对验证。</w:t>
      </w:r>
    </w:p>
    <w:p w14:paraId="13D2AFA1">
      <w:pPr>
        <w:pStyle w:val="104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lang w:val="en-US" w:eastAsia="zh-CN"/>
        </w:rPr>
      </w:pPr>
      <w:bookmarkStart w:id="84" w:name="_Toc16757"/>
      <w:r>
        <w:rPr>
          <w:rFonts w:hint="default" w:ascii="Times New Roman" w:hAnsi="Times New Roman" w:eastAsia="宋体" w:cs="Times New Roman"/>
          <w:b/>
          <w:color w:val="auto"/>
          <w:sz w:val="28"/>
          <w:szCs w:val="28"/>
          <w:lang w:val="en-US" w:eastAsia="zh-CN"/>
        </w:rPr>
        <w:t>7.4.7现场采样与监测</w:t>
      </w:r>
      <w:bookmarkEnd w:id="84"/>
    </w:p>
    <w:p w14:paraId="0BB928D3">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采样人员应配备少量空气瓶等及现场气体采样器、采样袋，通讯联络器材、交通车辆等，配合并协助当地环保局进行监测。凡是具备现场测定条件的监测项目，应现场进行测定。需误实验室进行分析的样品，应按《突发环境事件应急监测技术规范》相关要求进行保存和运输。对于应急监测人员难以进入的污染核心区或其他监测点位，可采用无人机监测等监测手段进行。</w:t>
      </w:r>
    </w:p>
    <w:p w14:paraId="4F9AF16F">
      <w:pPr>
        <w:pStyle w:val="104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lang w:val="en-US" w:eastAsia="zh-CN"/>
        </w:rPr>
      </w:pPr>
      <w:bookmarkStart w:id="85" w:name="_Toc14283"/>
      <w:r>
        <w:rPr>
          <w:rFonts w:hint="default" w:ascii="Times New Roman" w:hAnsi="Times New Roman" w:eastAsia="宋体" w:cs="Times New Roman"/>
          <w:b/>
          <w:color w:val="auto"/>
          <w:sz w:val="28"/>
          <w:szCs w:val="28"/>
          <w:lang w:val="en-US" w:eastAsia="zh-CN"/>
        </w:rPr>
        <w:t>7.4.8监测人员的防护措施</w:t>
      </w:r>
      <w:bookmarkEnd w:id="85"/>
    </w:p>
    <w:p w14:paraId="6726BF0D">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进入事件现场的应急监测人员，应注意自身安全防护，至少2人同行。现场应急采样、监测人员应根据事故的工况，配齐防护用具，要求</w:t>
      </w:r>
      <w:r>
        <w:rPr>
          <w:rFonts w:hint="default" w:ascii="Times New Roman" w:hAnsi="Times New Roman" w:cs="Times New Roman"/>
          <w:color w:val="auto"/>
          <w:kern w:val="0"/>
          <w:sz w:val="24"/>
          <w:szCs w:val="24"/>
          <w:highlight w:val="none"/>
          <w:lang w:eastAsia="zh-CN"/>
        </w:rPr>
        <w:t>穿戴</w:t>
      </w:r>
      <w:r>
        <w:rPr>
          <w:rFonts w:hint="default" w:ascii="Times New Roman" w:hAnsi="Times New Roman" w:eastAsia="宋体" w:cs="Times New Roman"/>
          <w:color w:val="auto"/>
          <w:kern w:val="0"/>
          <w:sz w:val="24"/>
          <w:szCs w:val="24"/>
          <w:highlight w:val="none"/>
        </w:rPr>
        <w:t>防护服、防毒面具、安全报警装置等防护器材，未经现场指挥或警戒人员许可，不应随意进入事件现场进行采样监测。</w:t>
      </w:r>
    </w:p>
    <w:p w14:paraId="6EE6CB1D">
      <w:pPr>
        <w:pStyle w:val="104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lang w:val="en-US" w:eastAsia="zh-CN"/>
        </w:rPr>
      </w:pPr>
      <w:bookmarkStart w:id="86" w:name="_Toc17614"/>
      <w:r>
        <w:rPr>
          <w:rFonts w:hint="default" w:ascii="Times New Roman" w:hAnsi="Times New Roman" w:eastAsia="宋体" w:cs="Times New Roman"/>
          <w:b/>
          <w:color w:val="auto"/>
          <w:sz w:val="28"/>
          <w:szCs w:val="28"/>
          <w:lang w:val="en-US" w:eastAsia="zh-CN"/>
        </w:rPr>
        <w:t>7.4.9应急监测终止</w:t>
      </w:r>
      <w:bookmarkEnd w:id="86"/>
    </w:p>
    <w:p w14:paraId="4D1D5DF4">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当应急指挥机构终止应急响应或批准应急监测终止建议时，方可终止应急监测。</w:t>
      </w:r>
    </w:p>
    <w:p w14:paraId="64428B82">
      <w:pPr>
        <w:pStyle w:val="104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highlight w:val="none"/>
          <w:lang w:val="en-US" w:eastAsia="zh-CN"/>
        </w:rPr>
      </w:pPr>
      <w:bookmarkStart w:id="87" w:name="_Toc12645"/>
      <w:r>
        <w:rPr>
          <w:rFonts w:hint="default" w:ascii="Times New Roman" w:hAnsi="Times New Roman" w:eastAsia="宋体" w:cs="Times New Roman"/>
          <w:b/>
          <w:color w:val="auto"/>
          <w:sz w:val="28"/>
          <w:szCs w:val="28"/>
          <w:highlight w:val="none"/>
          <w:lang w:val="en-US" w:eastAsia="zh-CN"/>
        </w:rPr>
        <w:t>7.4.10 区域环境风险防范措施</w:t>
      </w:r>
      <w:bookmarkEnd w:id="87"/>
    </w:p>
    <w:p w14:paraId="7736AC73">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lang w:val="en-US" w:eastAsia="zh-CN"/>
        </w:rPr>
        <w:t>区域应建设水环境风险防范三级风险防控体系：第一级风险防控体系——企业设置围堰、防火堤、雨污切换阀等防范设施，确保事故废水在企业界区内得到有效收集、处理。第二级风险防控体系——</w:t>
      </w:r>
      <w:r>
        <w:rPr>
          <w:rFonts w:hint="default" w:ascii="Times New Roman" w:hAnsi="Times New Roman" w:cs="Times New Roman"/>
          <w:color w:val="auto"/>
          <w:kern w:val="0"/>
          <w:sz w:val="24"/>
          <w:szCs w:val="24"/>
          <w:highlight w:val="none"/>
          <w:lang w:val="en-US" w:eastAsia="zh-CN"/>
        </w:rPr>
        <w:t>区域</w:t>
      </w:r>
      <w:r>
        <w:rPr>
          <w:rFonts w:hint="default" w:ascii="Times New Roman" w:hAnsi="Times New Roman" w:eastAsia="宋体" w:cs="Times New Roman"/>
          <w:color w:val="auto"/>
          <w:kern w:val="0"/>
          <w:sz w:val="24"/>
          <w:szCs w:val="24"/>
          <w:highlight w:val="none"/>
          <w:lang w:val="en-US" w:eastAsia="zh-CN"/>
        </w:rPr>
        <w:t>雨水管网排放口设置截止阀，</w:t>
      </w:r>
      <w:r>
        <w:rPr>
          <w:rFonts w:hint="default" w:ascii="Times New Roman" w:hAnsi="Times New Roman" w:cs="Times New Roman"/>
          <w:color w:val="auto"/>
          <w:kern w:val="0"/>
          <w:sz w:val="24"/>
          <w:szCs w:val="24"/>
          <w:highlight w:val="none"/>
          <w:lang w:val="en-US" w:eastAsia="zh-CN"/>
        </w:rPr>
        <w:t>区域</w:t>
      </w:r>
      <w:r>
        <w:rPr>
          <w:rFonts w:hint="default" w:ascii="Times New Roman" w:hAnsi="Times New Roman" w:eastAsia="宋体" w:cs="Times New Roman"/>
          <w:color w:val="auto"/>
          <w:kern w:val="0"/>
          <w:sz w:val="24"/>
          <w:szCs w:val="24"/>
          <w:highlight w:val="none"/>
          <w:lang w:val="en-US" w:eastAsia="zh-CN"/>
        </w:rPr>
        <w:t>建立多个事故泄漏物料和消防液的收集池，确保事故废水在</w:t>
      </w:r>
      <w:r>
        <w:rPr>
          <w:rFonts w:hint="default" w:ascii="Times New Roman" w:hAnsi="Times New Roman" w:cs="Times New Roman"/>
          <w:color w:val="auto"/>
          <w:kern w:val="0"/>
          <w:sz w:val="24"/>
          <w:szCs w:val="24"/>
          <w:highlight w:val="none"/>
          <w:lang w:val="en-US" w:eastAsia="zh-CN"/>
        </w:rPr>
        <w:t>区域</w:t>
      </w:r>
      <w:r>
        <w:rPr>
          <w:rFonts w:hint="default" w:ascii="Times New Roman" w:hAnsi="Times New Roman" w:eastAsia="宋体" w:cs="Times New Roman"/>
          <w:color w:val="auto"/>
          <w:kern w:val="0"/>
          <w:sz w:val="24"/>
          <w:szCs w:val="24"/>
          <w:highlight w:val="none"/>
          <w:lang w:val="en-US" w:eastAsia="zh-CN"/>
        </w:rPr>
        <w:t>内得到有效收集。第三级风险防控体系——</w:t>
      </w:r>
      <w:r>
        <w:rPr>
          <w:rFonts w:hint="default" w:ascii="Times New Roman" w:hAnsi="Times New Roman" w:cs="Times New Roman"/>
          <w:color w:val="auto"/>
          <w:kern w:val="0"/>
          <w:sz w:val="24"/>
          <w:szCs w:val="24"/>
          <w:highlight w:val="none"/>
          <w:lang w:val="en-US" w:eastAsia="zh-CN"/>
        </w:rPr>
        <w:t>所在区域</w:t>
      </w:r>
      <w:r>
        <w:rPr>
          <w:rFonts w:hint="default" w:ascii="Times New Roman" w:hAnsi="Times New Roman" w:eastAsia="宋体" w:cs="Times New Roman"/>
          <w:color w:val="auto"/>
          <w:kern w:val="0"/>
          <w:sz w:val="24"/>
          <w:szCs w:val="24"/>
          <w:highlight w:val="none"/>
          <w:lang w:val="en-US" w:eastAsia="zh-CN"/>
        </w:rPr>
        <w:t xml:space="preserve">污水处理厂应急处置，包括设置事故应急池、集水池等事故废水暂存设施，采取分批处置的方式实现达标排放，确保事故废水的有效收集及处置。 </w:t>
      </w:r>
    </w:p>
    <w:p w14:paraId="6EF2843A">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lang w:val="en-US" w:eastAsia="zh-CN"/>
        </w:rPr>
        <w:t>企业严格按设计规范进行生产装置、雨、污分流管道及厂区应急池的建设，发生泄漏事故或火灾爆炸事故时，封堵可能被污染的厂区雨水收集口，将事故消防废水引入厂区应急池；企业风险事故时收集的废液和消防废水，</w:t>
      </w:r>
      <w:r>
        <w:rPr>
          <w:rFonts w:hint="default" w:ascii="Times New Roman" w:hAnsi="Times New Roman" w:cs="Times New Roman"/>
          <w:color w:val="auto"/>
          <w:kern w:val="0"/>
          <w:sz w:val="24"/>
          <w:szCs w:val="24"/>
          <w:highlight w:val="none"/>
          <w:lang w:val="en-US" w:eastAsia="zh-CN"/>
        </w:rPr>
        <w:t>可委托资质单位进行处理</w:t>
      </w:r>
      <w:r>
        <w:rPr>
          <w:rFonts w:hint="default" w:ascii="Times New Roman" w:hAnsi="Times New Roman" w:eastAsia="宋体" w:cs="Times New Roman"/>
          <w:color w:val="auto"/>
          <w:kern w:val="0"/>
          <w:sz w:val="24"/>
          <w:szCs w:val="24"/>
          <w:highlight w:val="none"/>
          <w:lang w:val="en-US" w:eastAsia="zh-CN"/>
        </w:rPr>
        <w:t>。</w:t>
      </w:r>
    </w:p>
    <w:p w14:paraId="6D5CC29B">
      <w:pPr>
        <w:pStyle w:val="104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textAlignment w:val="auto"/>
        <w:outlineLvl w:val="2"/>
        <w:rPr>
          <w:rFonts w:hint="default" w:ascii="Times New Roman" w:hAnsi="Times New Roman" w:eastAsia="宋体" w:cs="Times New Roman"/>
          <w:b/>
          <w:color w:val="auto"/>
          <w:sz w:val="28"/>
          <w:szCs w:val="28"/>
          <w:lang w:val="en-US" w:eastAsia="zh-CN"/>
        </w:rPr>
      </w:pPr>
      <w:bookmarkStart w:id="88" w:name="_Toc17838"/>
      <w:r>
        <w:rPr>
          <w:rFonts w:hint="default" w:ascii="Times New Roman" w:hAnsi="Times New Roman" w:eastAsia="宋体" w:cs="Times New Roman"/>
          <w:b/>
          <w:color w:val="auto"/>
          <w:sz w:val="28"/>
          <w:szCs w:val="28"/>
          <w:lang w:val="en-US" w:eastAsia="zh-CN"/>
        </w:rPr>
        <w:t>7.4.11其他风险防范措施</w:t>
      </w:r>
      <w:bookmarkEnd w:id="88"/>
      <w:r>
        <w:rPr>
          <w:rFonts w:hint="default" w:ascii="Times New Roman" w:hAnsi="Times New Roman" w:eastAsia="宋体" w:cs="Times New Roman"/>
          <w:b/>
          <w:color w:val="auto"/>
          <w:sz w:val="28"/>
          <w:szCs w:val="28"/>
          <w:lang w:val="en-US" w:eastAsia="zh-CN"/>
        </w:rPr>
        <w:t xml:space="preserve"> </w:t>
      </w:r>
    </w:p>
    <w:p w14:paraId="0F8FD096">
      <w:pPr>
        <w:keepNext w:val="0"/>
        <w:keepLines w:val="0"/>
        <w:pageBreakBefore w:val="0"/>
        <w:widowControl/>
        <w:suppressLineNumbers w:val="0"/>
        <w:kinsoku/>
        <w:wordWrap/>
        <w:overflowPunct/>
        <w:topLinePunct w:val="0"/>
        <w:bidi w:val="0"/>
        <w:adjustRightInd w:val="0"/>
        <w:snapToGrid w:val="0"/>
        <w:spacing w:line="360" w:lineRule="auto"/>
        <w:ind w:left="0" w:leftChars="0" w:right="0" w:firstLine="480" w:firstLineChars="200"/>
        <w:jc w:val="left"/>
        <w:textAlignment w:val="auto"/>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highlight w:val="none"/>
          <w:lang w:val="en-US" w:eastAsia="zh-CN" w:bidi="ar"/>
        </w:rPr>
        <w:t>项目采取</w:t>
      </w:r>
      <w:r>
        <w:rPr>
          <w:rFonts w:hint="default" w:ascii="Times New Roman" w:hAnsi="Times New Roman" w:cs="Times New Roman"/>
          <w:color w:val="auto"/>
          <w:kern w:val="0"/>
          <w:sz w:val="24"/>
          <w:szCs w:val="24"/>
          <w:highlight w:val="none"/>
          <w:lang w:val="en-US" w:eastAsia="zh-CN" w:bidi="ar"/>
        </w:rPr>
        <w:t>的其他</w:t>
      </w:r>
      <w:r>
        <w:rPr>
          <w:rFonts w:hint="default" w:ascii="Times New Roman" w:hAnsi="Times New Roman" w:eastAsia="宋体" w:cs="Times New Roman"/>
          <w:color w:val="auto"/>
          <w:kern w:val="0"/>
          <w:sz w:val="24"/>
          <w:szCs w:val="24"/>
          <w:highlight w:val="none"/>
          <w:lang w:val="en-US" w:eastAsia="zh-CN" w:bidi="ar"/>
        </w:rPr>
        <w:t>风险防范措施见</w:t>
      </w:r>
      <w:r>
        <w:rPr>
          <w:rFonts w:hint="default" w:ascii="Times New Roman" w:hAnsi="Times New Roman" w:eastAsia="宋体" w:cs="Times New Roman"/>
          <w:color w:val="auto"/>
          <w:kern w:val="0"/>
          <w:sz w:val="24"/>
          <w:szCs w:val="24"/>
          <w:lang w:val="en-US" w:eastAsia="zh-CN" w:bidi="ar"/>
        </w:rPr>
        <w:t xml:space="preserve">表7.4-1。 </w:t>
      </w:r>
    </w:p>
    <w:p w14:paraId="49D4E371">
      <w:pPr>
        <w:keepNext w:val="0"/>
        <w:keepLines w:val="0"/>
        <w:pageBreakBefore w:val="0"/>
        <w:kinsoku/>
        <w:wordWrap/>
        <w:overflowPunct/>
        <w:topLinePunct w:val="0"/>
        <w:bidi w:val="0"/>
        <w:adjustRightInd w:val="0"/>
        <w:snapToGrid w:val="0"/>
        <w:spacing w:line="360" w:lineRule="auto"/>
        <w:ind w:left="0" w:leftChars="0" w:right="0" w:firstLine="482" w:firstLineChars="200"/>
        <w:jc w:val="center"/>
        <w:textAlignment w:val="auto"/>
        <w:outlineLvl w:val="9"/>
        <w:rPr>
          <w:rFonts w:hint="default" w:ascii="Times New Roman" w:hAnsi="Times New Roman" w:eastAsia="宋体" w:cs="Times New Roman"/>
          <w:b/>
          <w:bCs/>
          <w:color w:val="auto"/>
          <w:kern w:val="0"/>
          <w:sz w:val="24"/>
          <w:szCs w:val="24"/>
          <w:lang w:val="en-US" w:eastAsia="zh-CN"/>
        </w:rPr>
      </w:pPr>
    </w:p>
    <w:p w14:paraId="14B80162">
      <w:pPr>
        <w:keepNext w:val="0"/>
        <w:keepLines w:val="0"/>
        <w:pageBreakBefore w:val="0"/>
        <w:kinsoku/>
        <w:wordWrap/>
        <w:overflowPunct/>
        <w:topLinePunct w:val="0"/>
        <w:bidi w:val="0"/>
        <w:adjustRightInd w:val="0"/>
        <w:snapToGrid w:val="0"/>
        <w:spacing w:line="360" w:lineRule="auto"/>
        <w:ind w:left="0" w:leftChars="0" w:right="0" w:firstLine="482" w:firstLineChars="200"/>
        <w:jc w:val="center"/>
        <w:textAlignment w:val="auto"/>
        <w:outlineLvl w:val="9"/>
        <w:rPr>
          <w:rFonts w:hint="default" w:ascii="Times New Roman" w:hAnsi="Times New Roman" w:eastAsia="宋体" w:cs="Times New Roman"/>
          <w:b/>
          <w:bCs/>
          <w:color w:val="auto"/>
          <w:kern w:val="0"/>
          <w:szCs w:val="24"/>
        </w:rPr>
      </w:pPr>
      <w:r>
        <w:rPr>
          <w:rFonts w:hint="default" w:ascii="Times New Roman" w:hAnsi="Times New Roman" w:eastAsia="宋体" w:cs="Times New Roman"/>
          <w:b/>
          <w:bCs/>
          <w:color w:val="auto"/>
          <w:kern w:val="0"/>
          <w:sz w:val="24"/>
          <w:szCs w:val="24"/>
          <w:lang w:val="en-US" w:eastAsia="zh-CN"/>
        </w:rPr>
        <w:t>表7.4-1其它风险防范措施</w:t>
      </w:r>
    </w:p>
    <w:tbl>
      <w:tblPr>
        <w:tblStyle w:val="1390"/>
        <w:tblW w:w="500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696"/>
        <w:gridCol w:w="6635"/>
      </w:tblGrid>
      <w:tr w14:paraId="566852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018" w:type="pct"/>
            <w:tcBorders>
              <w:top w:val="single" w:color="000000" w:sz="2" w:space="0"/>
              <w:bottom w:val="single" w:color="000000" w:sz="2" w:space="0"/>
            </w:tcBorders>
            <w:noWrap w:val="0"/>
            <w:vAlign w:val="center"/>
          </w:tcPr>
          <w:p w14:paraId="3901CB4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总图布置</w:t>
            </w:r>
          </w:p>
        </w:tc>
        <w:tc>
          <w:tcPr>
            <w:tcW w:w="3981" w:type="pct"/>
            <w:tcBorders>
              <w:top w:val="single" w:color="000000" w:sz="2" w:space="0"/>
              <w:bottom w:val="single" w:color="000000" w:sz="2" w:space="0"/>
            </w:tcBorders>
            <w:noWrap w:val="0"/>
            <w:vAlign w:val="center"/>
          </w:tcPr>
          <w:p w14:paraId="644F2FF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项目由有资质单位</w:t>
            </w:r>
            <w:r>
              <w:rPr>
                <w:rFonts w:hint="default" w:ascii="Times New Roman" w:hAnsi="Times New Roman" w:eastAsia="宋体" w:cs="Times New Roman"/>
                <w:color w:val="auto"/>
                <w:spacing w:val="-2"/>
                <w:sz w:val="21"/>
                <w:szCs w:val="21"/>
              </w:rPr>
              <w:t>设计，厂内厂外卫生防护距离、安全防护距离和防火间距应满足相应要求</w:t>
            </w:r>
          </w:p>
        </w:tc>
      </w:tr>
      <w:tr w14:paraId="1A96A8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1018" w:type="pct"/>
            <w:vMerge w:val="restart"/>
            <w:tcBorders>
              <w:top w:val="single" w:color="000000" w:sz="2" w:space="0"/>
              <w:bottom w:val="nil"/>
            </w:tcBorders>
            <w:noWrap w:val="0"/>
            <w:vAlign w:val="center"/>
          </w:tcPr>
          <w:p w14:paraId="4899A0A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color w:val="auto"/>
                <w:sz w:val="21"/>
              </w:rPr>
            </w:pPr>
          </w:p>
          <w:p w14:paraId="0EC1B00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color w:val="auto"/>
                <w:sz w:val="21"/>
              </w:rPr>
            </w:pPr>
          </w:p>
          <w:p w14:paraId="0054B45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建筑安全</w:t>
            </w:r>
          </w:p>
        </w:tc>
        <w:tc>
          <w:tcPr>
            <w:tcW w:w="3981" w:type="pct"/>
            <w:tcBorders>
              <w:top w:val="single" w:color="000000" w:sz="2" w:space="0"/>
              <w:bottom w:val="single" w:color="000000" w:sz="2" w:space="0"/>
            </w:tcBorders>
            <w:noWrap w:val="0"/>
            <w:vAlign w:val="center"/>
          </w:tcPr>
          <w:p w14:paraId="1069358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所有建筑物均按《建筑设计防火规范》设置足够的安全疏散通道并满足其它防火疏散要求</w:t>
            </w:r>
          </w:p>
        </w:tc>
      </w:tr>
      <w:tr w14:paraId="78FCF0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9" w:hRule="atLeast"/>
        </w:trPr>
        <w:tc>
          <w:tcPr>
            <w:tcW w:w="1018" w:type="pct"/>
            <w:vMerge w:val="continue"/>
            <w:tcBorders>
              <w:top w:val="nil"/>
              <w:bottom w:val="nil"/>
            </w:tcBorders>
            <w:noWrap w:val="0"/>
            <w:vAlign w:val="center"/>
          </w:tcPr>
          <w:p w14:paraId="6F972F5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color w:val="auto"/>
                <w:sz w:val="21"/>
              </w:rPr>
            </w:pPr>
          </w:p>
        </w:tc>
        <w:tc>
          <w:tcPr>
            <w:tcW w:w="3981" w:type="pct"/>
            <w:tcBorders>
              <w:top w:val="single" w:color="000000" w:sz="2" w:space="0"/>
              <w:bottom w:val="single" w:color="000000" w:sz="2" w:space="0"/>
            </w:tcBorders>
            <w:noWrap w:val="0"/>
            <w:vAlign w:val="center"/>
          </w:tcPr>
          <w:p w14:paraId="5968531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hanging="5"/>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遵照《工业建筑</w:t>
            </w:r>
            <w:r>
              <w:rPr>
                <w:rFonts w:hint="default" w:ascii="Times New Roman" w:hAnsi="Times New Roman" w:eastAsia="宋体" w:cs="Times New Roman"/>
                <w:color w:val="auto"/>
                <w:spacing w:val="-4"/>
                <w:sz w:val="21"/>
                <w:szCs w:val="21"/>
              </w:rPr>
              <w:t>防</w:t>
            </w:r>
            <w:r>
              <w:rPr>
                <w:rFonts w:hint="default" w:ascii="Times New Roman" w:hAnsi="Times New Roman" w:eastAsia="宋体" w:cs="Times New Roman"/>
                <w:color w:val="auto"/>
                <w:spacing w:val="-3"/>
                <w:sz w:val="21"/>
                <w:szCs w:val="21"/>
              </w:rPr>
              <w:t>腐蚀设计规范》，防腐蚀材料的选择应根据腐蚀介质的性质和作用条件，</w:t>
            </w:r>
            <w:r>
              <w:rPr>
                <w:rFonts w:hint="default" w:ascii="Times New Roman" w:hAnsi="Times New Roman" w:eastAsia="宋体" w:cs="Times New Roman"/>
                <w:color w:val="auto"/>
                <w:spacing w:val="-1"/>
                <w:sz w:val="21"/>
                <w:szCs w:val="21"/>
              </w:rPr>
              <w:t>结合材料的耐腐</w:t>
            </w:r>
            <w:r>
              <w:rPr>
                <w:rFonts w:hint="default" w:ascii="Times New Roman" w:hAnsi="Times New Roman" w:eastAsia="宋体" w:cs="Times New Roman"/>
                <w:color w:val="auto"/>
                <w:sz w:val="21"/>
                <w:szCs w:val="21"/>
              </w:rPr>
              <w:t>蚀性能和物理力学性能、使用位置的重要性等</w:t>
            </w:r>
          </w:p>
        </w:tc>
      </w:tr>
      <w:tr w14:paraId="23B094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51" w:hRule="atLeast"/>
        </w:trPr>
        <w:tc>
          <w:tcPr>
            <w:tcW w:w="1018" w:type="pct"/>
            <w:vMerge w:val="restart"/>
            <w:tcBorders>
              <w:top w:val="single" w:color="000000" w:sz="2" w:space="0"/>
              <w:bottom w:val="nil"/>
            </w:tcBorders>
            <w:noWrap w:val="0"/>
            <w:vAlign w:val="center"/>
          </w:tcPr>
          <w:p w14:paraId="4E459E0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color w:val="auto"/>
                <w:sz w:val="21"/>
              </w:rPr>
            </w:pPr>
          </w:p>
          <w:p w14:paraId="7FA4CDD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color w:val="auto"/>
                <w:sz w:val="21"/>
              </w:rPr>
            </w:pPr>
          </w:p>
          <w:p w14:paraId="34022BE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color w:val="auto"/>
                <w:sz w:val="21"/>
              </w:rPr>
            </w:pPr>
          </w:p>
          <w:p w14:paraId="13D76D8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2"/>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0"/>
                <w:sz w:val="21"/>
                <w:szCs w:val="21"/>
              </w:rPr>
              <w:t>危</w:t>
            </w:r>
            <w:r>
              <w:rPr>
                <w:rFonts w:hint="default" w:ascii="Times New Roman" w:hAnsi="Times New Roman" w:eastAsia="宋体" w:cs="Times New Roman"/>
                <w:color w:val="auto"/>
                <w:spacing w:val="9"/>
                <w:sz w:val="21"/>
                <w:szCs w:val="21"/>
              </w:rPr>
              <w:t>险化学</w:t>
            </w:r>
            <w:r>
              <w:rPr>
                <w:rFonts w:hint="default" w:ascii="Times New Roman" w:hAnsi="Times New Roman" w:eastAsia="宋体" w:cs="Times New Roman"/>
                <w:color w:val="auto"/>
                <w:spacing w:val="10"/>
                <w:sz w:val="21"/>
                <w:szCs w:val="21"/>
              </w:rPr>
              <w:t>品储运</w:t>
            </w:r>
            <w:r>
              <w:rPr>
                <w:rFonts w:hint="default" w:ascii="Times New Roman" w:hAnsi="Times New Roman" w:eastAsia="宋体" w:cs="Times New Roman"/>
                <w:color w:val="auto"/>
                <w:spacing w:val="9"/>
                <w:sz w:val="21"/>
                <w:szCs w:val="21"/>
              </w:rPr>
              <w:t>安</w:t>
            </w:r>
            <w:r>
              <w:rPr>
                <w:rFonts w:hint="default" w:ascii="Times New Roman" w:hAnsi="Times New Roman" w:eastAsia="宋体" w:cs="Times New Roman"/>
                <w:color w:val="auto"/>
                <w:sz w:val="21"/>
                <w:szCs w:val="21"/>
              </w:rPr>
              <w:t xml:space="preserve"> 全</w:t>
            </w:r>
          </w:p>
        </w:tc>
        <w:tc>
          <w:tcPr>
            <w:tcW w:w="3981" w:type="pct"/>
            <w:tcBorders>
              <w:top w:val="single" w:color="000000" w:sz="2" w:space="0"/>
              <w:bottom w:val="single" w:color="000000" w:sz="2" w:space="0"/>
            </w:tcBorders>
            <w:noWrap w:val="0"/>
            <w:vAlign w:val="center"/>
          </w:tcPr>
          <w:p w14:paraId="3DE9CB4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1、危险化学品贮存</w:t>
            </w:r>
            <w:r>
              <w:rPr>
                <w:rFonts w:hint="default" w:ascii="Times New Roman" w:hAnsi="Times New Roman" w:eastAsia="宋体" w:cs="Times New Roman"/>
                <w:color w:val="auto"/>
                <w:spacing w:val="-1"/>
                <w:sz w:val="21"/>
                <w:szCs w:val="21"/>
              </w:rPr>
              <w:t>系统：</w:t>
            </w:r>
          </w:p>
          <w:p w14:paraId="5405A41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5"/>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项目的设计从原</w:t>
            </w:r>
            <w:r>
              <w:rPr>
                <w:rFonts w:hint="default" w:ascii="Times New Roman" w:hAnsi="Times New Roman" w:eastAsia="宋体" w:cs="Times New Roman"/>
                <w:color w:val="auto"/>
                <w:spacing w:val="-3"/>
                <w:sz w:val="21"/>
                <w:szCs w:val="21"/>
              </w:rPr>
              <w:t>料</w:t>
            </w:r>
            <w:r>
              <w:rPr>
                <w:rFonts w:hint="default" w:ascii="Times New Roman" w:hAnsi="Times New Roman" w:eastAsia="宋体" w:cs="Times New Roman"/>
                <w:color w:val="auto"/>
                <w:spacing w:val="-2"/>
                <w:sz w:val="21"/>
                <w:szCs w:val="21"/>
              </w:rPr>
              <w:t>的输入、加工直至产品的输出，所有</w:t>
            </w:r>
            <w:r>
              <w:rPr>
                <w:rFonts w:hint="default" w:ascii="Times New Roman" w:hAnsi="Times New Roman" w:eastAsia="宋体" w:cs="Times New Roman"/>
                <w:color w:val="auto"/>
                <w:spacing w:val="-2"/>
                <w:sz w:val="21"/>
                <w:szCs w:val="21"/>
                <w:lang w:val="en-US" w:eastAsia="zh-CN"/>
              </w:rPr>
              <w:t>有毒</w:t>
            </w:r>
            <w:r>
              <w:rPr>
                <w:rFonts w:hint="default" w:ascii="Times New Roman" w:hAnsi="Times New Roman" w:eastAsia="宋体" w:cs="Times New Roman"/>
                <w:color w:val="auto"/>
                <w:spacing w:val="-2"/>
                <w:sz w:val="21"/>
                <w:szCs w:val="21"/>
              </w:rPr>
              <w:t>物料始终密闭在各类设备和管道</w:t>
            </w:r>
            <w:r>
              <w:rPr>
                <w:rFonts w:hint="default" w:ascii="Times New Roman" w:hAnsi="Times New Roman" w:eastAsia="宋体" w:cs="Times New Roman"/>
                <w:color w:val="auto"/>
                <w:spacing w:val="-5"/>
                <w:sz w:val="21"/>
                <w:szCs w:val="21"/>
              </w:rPr>
              <w:t>中， 各个连接处采用可靠的密封措施。大型压缩机组也设有安全联锁系统。在各危险区</w:t>
            </w:r>
            <w:r>
              <w:rPr>
                <w:rFonts w:hint="default" w:ascii="Times New Roman" w:hAnsi="Times New Roman" w:eastAsia="宋体" w:cs="Times New Roman"/>
                <w:color w:val="auto"/>
                <w:spacing w:val="-2"/>
                <w:sz w:val="21"/>
                <w:szCs w:val="21"/>
              </w:rPr>
              <w:t>域</w:t>
            </w:r>
            <w:r>
              <w:rPr>
                <w:rFonts w:hint="default" w:ascii="Times New Roman" w:hAnsi="Times New Roman" w:eastAsia="宋体" w:cs="Times New Roman"/>
                <w:color w:val="auto"/>
                <w:sz w:val="21"/>
                <w:szCs w:val="21"/>
              </w:rPr>
              <w:t>设</w:t>
            </w:r>
            <w:r>
              <w:rPr>
                <w:rFonts w:hint="default" w:ascii="Times New Roman" w:hAnsi="Times New Roman" w:eastAsia="宋体" w:cs="Times New Roman"/>
                <w:color w:val="auto"/>
                <w:spacing w:val="-1"/>
                <w:sz w:val="21"/>
                <w:szCs w:val="21"/>
              </w:rPr>
              <w:t>置</w:t>
            </w:r>
            <w:r>
              <w:rPr>
                <w:rFonts w:hint="default" w:ascii="Times New Roman" w:hAnsi="Times New Roman" w:eastAsia="宋体" w:cs="Times New Roman"/>
                <w:color w:val="auto"/>
                <w:sz w:val="21"/>
                <w:szCs w:val="21"/>
              </w:rPr>
              <w:t>有毒气体浓度报警器，进行监测和报警</w:t>
            </w:r>
          </w:p>
        </w:tc>
      </w:tr>
      <w:tr w14:paraId="7C8884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48" w:hRule="atLeast"/>
        </w:trPr>
        <w:tc>
          <w:tcPr>
            <w:tcW w:w="1018" w:type="pct"/>
            <w:vMerge w:val="continue"/>
            <w:tcBorders>
              <w:top w:val="nil"/>
              <w:bottom w:val="single" w:color="000000" w:sz="2" w:space="0"/>
            </w:tcBorders>
            <w:noWrap w:val="0"/>
            <w:vAlign w:val="center"/>
          </w:tcPr>
          <w:p w14:paraId="24B8031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color w:val="auto"/>
                <w:sz w:val="21"/>
              </w:rPr>
            </w:pPr>
          </w:p>
        </w:tc>
        <w:tc>
          <w:tcPr>
            <w:tcW w:w="3981" w:type="pct"/>
            <w:tcBorders>
              <w:top w:val="single" w:color="000000" w:sz="2" w:space="0"/>
              <w:bottom w:val="single" w:color="000000" w:sz="2" w:space="0"/>
            </w:tcBorders>
            <w:noWrap w:val="0"/>
            <w:vAlign w:val="center"/>
          </w:tcPr>
          <w:p w14:paraId="56ECD9A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2、危</w:t>
            </w:r>
            <w:r>
              <w:rPr>
                <w:rFonts w:hint="default" w:ascii="Times New Roman" w:hAnsi="Times New Roman" w:eastAsia="宋体" w:cs="Times New Roman"/>
                <w:color w:val="auto"/>
                <w:spacing w:val="-2"/>
                <w:sz w:val="21"/>
                <w:szCs w:val="21"/>
              </w:rPr>
              <w:t>险化学品运输防范措施：</w:t>
            </w:r>
          </w:p>
          <w:p w14:paraId="4D6677B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2"/>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项目各危险化学</w:t>
            </w:r>
            <w:r>
              <w:rPr>
                <w:rFonts w:hint="default" w:ascii="Times New Roman" w:hAnsi="Times New Roman" w:eastAsia="宋体" w:cs="Times New Roman"/>
                <w:color w:val="auto"/>
                <w:spacing w:val="-3"/>
                <w:sz w:val="21"/>
                <w:szCs w:val="21"/>
              </w:rPr>
              <w:t>品</w:t>
            </w:r>
            <w:r>
              <w:rPr>
                <w:rFonts w:hint="default" w:ascii="Times New Roman" w:hAnsi="Times New Roman" w:eastAsia="宋体" w:cs="Times New Roman"/>
                <w:color w:val="auto"/>
                <w:spacing w:val="-2"/>
                <w:sz w:val="21"/>
                <w:szCs w:val="21"/>
              </w:rPr>
              <w:t>运出及运入多为汽车输送，汽运管理应严格按照国家有关危险化学品运输</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pacing w:val="-4"/>
                <w:sz w:val="21"/>
                <w:szCs w:val="21"/>
              </w:rPr>
              <w:t>的规定进行管理</w:t>
            </w:r>
            <w:r>
              <w:rPr>
                <w:rFonts w:hint="default" w:ascii="Times New Roman" w:hAnsi="Times New Roman" w:eastAsia="宋体" w:cs="Times New Roman"/>
                <w:color w:val="auto"/>
                <w:spacing w:val="-3"/>
                <w:sz w:val="21"/>
                <w:szCs w:val="21"/>
              </w:rPr>
              <w:t>，</w:t>
            </w:r>
            <w:r>
              <w:rPr>
                <w:rFonts w:hint="default" w:ascii="Times New Roman" w:hAnsi="Times New Roman" w:eastAsia="宋体" w:cs="Times New Roman"/>
                <w:color w:val="auto"/>
                <w:spacing w:val="-2"/>
                <w:sz w:val="21"/>
                <w:szCs w:val="21"/>
              </w:rPr>
              <w:t>对承运单位资质、运输人员资质、货物装载、运输路线等严格把关，减少</w:t>
            </w:r>
            <w:r>
              <w:rPr>
                <w:rFonts w:hint="default" w:ascii="Times New Roman" w:hAnsi="Times New Roman" w:eastAsia="宋体" w:cs="Times New Roman"/>
                <w:color w:val="auto"/>
                <w:spacing w:val="-1"/>
                <w:sz w:val="21"/>
                <w:szCs w:val="21"/>
              </w:rPr>
              <w:t>风险发生的因</w:t>
            </w:r>
            <w:r>
              <w:rPr>
                <w:rFonts w:hint="default" w:ascii="Times New Roman" w:hAnsi="Times New Roman" w:eastAsia="宋体" w:cs="Times New Roman"/>
                <w:color w:val="auto"/>
                <w:sz w:val="21"/>
                <w:szCs w:val="21"/>
              </w:rPr>
              <w:t>素</w:t>
            </w:r>
          </w:p>
        </w:tc>
      </w:tr>
      <w:tr w14:paraId="47BDC5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55" w:hRule="atLeast"/>
        </w:trPr>
        <w:tc>
          <w:tcPr>
            <w:tcW w:w="1018" w:type="pct"/>
            <w:tcBorders>
              <w:top w:val="single" w:color="000000" w:sz="2" w:space="0"/>
              <w:bottom w:val="single" w:color="000000" w:sz="2" w:space="0"/>
            </w:tcBorders>
            <w:noWrap w:val="0"/>
            <w:vAlign w:val="center"/>
          </w:tcPr>
          <w:p w14:paraId="4AB7B00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1"/>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1"/>
                <w:sz w:val="21"/>
                <w:szCs w:val="21"/>
              </w:rPr>
              <w:t>有</w:t>
            </w:r>
            <w:r>
              <w:rPr>
                <w:rFonts w:hint="default" w:ascii="Times New Roman" w:hAnsi="Times New Roman" w:eastAsia="宋体" w:cs="Times New Roman"/>
                <w:color w:val="auto"/>
                <w:spacing w:val="9"/>
                <w:sz w:val="21"/>
                <w:szCs w:val="21"/>
              </w:rPr>
              <w:t>毒物质</w:t>
            </w:r>
            <w:r>
              <w:rPr>
                <w:rFonts w:hint="default" w:ascii="Times New Roman" w:hAnsi="Times New Roman" w:eastAsia="宋体" w:cs="Times New Roman"/>
                <w:color w:val="auto"/>
                <w:spacing w:val="10"/>
                <w:sz w:val="21"/>
                <w:szCs w:val="21"/>
              </w:rPr>
              <w:t>防护和紧</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pacing w:val="10"/>
                <w:sz w:val="21"/>
                <w:szCs w:val="21"/>
              </w:rPr>
              <w:t>急救援措</w:t>
            </w:r>
            <w:r>
              <w:rPr>
                <w:rFonts w:hint="default" w:ascii="Times New Roman" w:hAnsi="Times New Roman" w:eastAsia="宋体" w:cs="Times New Roman"/>
                <w:color w:val="auto"/>
                <w:sz w:val="21"/>
                <w:szCs w:val="21"/>
              </w:rPr>
              <w:t>施</w:t>
            </w:r>
          </w:p>
        </w:tc>
        <w:tc>
          <w:tcPr>
            <w:tcW w:w="3981" w:type="pct"/>
            <w:tcBorders>
              <w:top w:val="single" w:color="000000" w:sz="2" w:space="0"/>
              <w:bottom w:val="single" w:color="000000" w:sz="2" w:space="0"/>
            </w:tcBorders>
            <w:noWrap w:val="0"/>
            <w:vAlign w:val="center"/>
          </w:tcPr>
          <w:p w14:paraId="02D177F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在所有人身可能接</w:t>
            </w:r>
            <w:r>
              <w:rPr>
                <w:rFonts w:hint="default" w:ascii="Times New Roman" w:hAnsi="Times New Roman" w:eastAsia="宋体" w:cs="Times New Roman"/>
                <w:color w:val="auto"/>
                <w:spacing w:val="-4"/>
                <w:sz w:val="21"/>
                <w:szCs w:val="21"/>
              </w:rPr>
              <w:t>触到有害物质而引起烧伤、刺激或伤害皮肤的区域内， 均设紧急淋浴器和洗眼器；除防</w:t>
            </w:r>
            <w:r>
              <w:rPr>
                <w:rFonts w:hint="default" w:ascii="Times New Roman" w:hAnsi="Times New Roman" w:eastAsia="宋体" w:cs="Times New Roman"/>
                <w:color w:val="auto"/>
                <w:spacing w:val="-3"/>
                <w:sz w:val="21"/>
                <w:szCs w:val="21"/>
              </w:rPr>
              <w:t>护</w:t>
            </w:r>
            <w:r>
              <w:rPr>
                <w:rFonts w:hint="default" w:ascii="Times New Roman" w:hAnsi="Times New Roman" w:eastAsia="宋体" w:cs="Times New Roman"/>
                <w:color w:val="auto"/>
                <w:spacing w:val="-2"/>
                <w:sz w:val="21"/>
                <w:szCs w:val="21"/>
              </w:rPr>
              <w:t>眼镜、手套、洗眼淋浴器等一般防护外，还应设有专用的防毒面具；对关键</w:t>
            </w:r>
            <w:r>
              <w:rPr>
                <w:rFonts w:hint="default" w:ascii="Times New Roman" w:hAnsi="Times New Roman" w:eastAsia="宋体" w:cs="Times New Roman"/>
                <w:color w:val="auto"/>
                <w:spacing w:val="-4"/>
                <w:sz w:val="21"/>
                <w:szCs w:val="21"/>
              </w:rPr>
              <w:t>操作强制使用</w:t>
            </w:r>
            <w:r>
              <w:rPr>
                <w:rFonts w:hint="default" w:ascii="Times New Roman" w:hAnsi="Times New Roman" w:eastAsia="宋体" w:cs="Times New Roman"/>
                <w:color w:val="auto"/>
                <w:spacing w:val="-3"/>
                <w:sz w:val="21"/>
                <w:szCs w:val="21"/>
              </w:rPr>
              <w:t>人</w:t>
            </w:r>
            <w:r>
              <w:rPr>
                <w:rFonts w:hint="default" w:ascii="Times New Roman" w:hAnsi="Times New Roman" w:eastAsia="宋体" w:cs="Times New Roman"/>
                <w:color w:val="auto"/>
                <w:spacing w:val="-2"/>
                <w:sz w:val="21"/>
                <w:szCs w:val="21"/>
              </w:rPr>
              <w:t>员配备防护设备，例如空气呼吸面具、全身聚氯乙烯防护服、手套和防护镜</w:t>
            </w:r>
            <w:r>
              <w:rPr>
                <w:rFonts w:hint="default" w:ascii="Times New Roman" w:hAnsi="Times New Roman" w:eastAsia="宋体" w:cs="Times New Roman"/>
                <w:color w:val="auto"/>
                <w:sz w:val="21"/>
                <w:szCs w:val="21"/>
              </w:rPr>
              <w:t>等</w:t>
            </w:r>
          </w:p>
        </w:tc>
      </w:tr>
    </w:tbl>
    <w:p w14:paraId="522830BF">
      <w:pPr>
        <w:pStyle w:val="80"/>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textAlignment w:val="auto"/>
        <w:outlineLvl w:val="1"/>
        <w:rPr>
          <w:rFonts w:hint="default" w:ascii="Times New Roman" w:hAnsi="Times New Roman" w:eastAsia="宋体" w:cs="Times New Roman"/>
          <w:b/>
          <w:color w:val="auto"/>
          <w:sz w:val="30"/>
          <w:szCs w:val="30"/>
          <w:lang w:val="en-US" w:eastAsia="zh-CN"/>
        </w:rPr>
      </w:pPr>
      <w:bookmarkStart w:id="89" w:name="_Toc31704"/>
      <w:r>
        <w:rPr>
          <w:rFonts w:hint="default" w:ascii="Times New Roman" w:hAnsi="Times New Roman" w:eastAsia="宋体" w:cs="Times New Roman"/>
          <w:b/>
          <w:color w:val="auto"/>
          <w:sz w:val="30"/>
          <w:szCs w:val="30"/>
          <w:lang w:val="en-US" w:eastAsia="zh-CN"/>
        </w:rPr>
        <w:t>7.</w:t>
      </w:r>
      <w:r>
        <w:rPr>
          <w:rFonts w:hint="default" w:ascii="Times New Roman" w:hAnsi="Times New Roman" w:cs="Times New Roman"/>
          <w:b/>
          <w:color w:val="auto"/>
          <w:sz w:val="30"/>
          <w:szCs w:val="30"/>
          <w:lang w:val="en-US" w:eastAsia="zh-CN"/>
        </w:rPr>
        <w:t>5</w:t>
      </w:r>
      <w:r>
        <w:rPr>
          <w:rFonts w:hint="default" w:ascii="Times New Roman" w:hAnsi="Times New Roman" w:eastAsia="宋体" w:cs="Times New Roman"/>
          <w:b/>
          <w:color w:val="auto"/>
          <w:sz w:val="30"/>
          <w:szCs w:val="30"/>
          <w:lang w:val="en-US" w:eastAsia="zh-CN"/>
        </w:rPr>
        <w:t xml:space="preserve"> 突发环境事件应急预案</w:t>
      </w:r>
      <w:bookmarkEnd w:id="89"/>
      <w:r>
        <w:rPr>
          <w:rFonts w:hint="default" w:ascii="Times New Roman" w:hAnsi="Times New Roman" w:eastAsia="宋体" w:cs="Times New Roman"/>
          <w:b/>
          <w:color w:val="auto"/>
          <w:sz w:val="30"/>
          <w:szCs w:val="30"/>
          <w:lang w:val="en-US" w:eastAsia="zh-CN"/>
        </w:rPr>
        <w:t xml:space="preserve"> </w:t>
      </w:r>
    </w:p>
    <w:p w14:paraId="2552D8F8">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90" w:name="_Toc15549"/>
      <w:bookmarkStart w:id="91" w:name="_Toc24488"/>
      <w:bookmarkStart w:id="92" w:name="_Toc18636"/>
      <w:r>
        <w:rPr>
          <w:rFonts w:hint="default" w:ascii="Times New Roman" w:hAnsi="Times New Roman" w:eastAsia="宋体" w:cs="Times New Roman"/>
          <w:color w:val="auto"/>
          <w:kern w:val="0"/>
          <w:sz w:val="24"/>
          <w:szCs w:val="24"/>
          <w:highlight w:val="none"/>
          <w:lang w:val="en-US" w:eastAsia="zh-CN"/>
        </w:rPr>
        <w:t>项目依据《建设项目环境风险评价技术导则》</w:t>
      </w:r>
      <w:r>
        <w:rPr>
          <w:rFonts w:hint="eastAsia" w:ascii="Times New Roman" w:hAnsi="Times New Roman" w:eastAsia="宋体"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rPr>
        <w:t>HJ169-2018）为指导，结合《突发环境事件应急管理办法》</w:t>
      </w:r>
      <w:r>
        <w:rPr>
          <w:rFonts w:hint="eastAsia" w:ascii="Times New Roman" w:hAnsi="Times New Roman" w:eastAsia="宋体"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rPr>
        <w:t>2015年4月16日，环境保护部令第34号）、《环境污染事故应急预案编制技术指南》、《关于构建全省环境安全防控体系的实施意见》（鲁环发 [2009]80号） 、《山东省突发环境事件应急预案》（鲁政办字[2020]50号） 的规定，对新、改、扩建设项目的环境风险源识别、环境风险预测、选址及敏感目标、防范措施等如实作出评价，提出科学可行的预警监测措施、应急处置措施和应急预案。应急预案是在贯彻预防为主的前提下，针对建设项目可能出现的事故，为及时控制危害源、抢救受害人员、指导居民防护和组织撤离、消除危害后果而组织的救援活动的预想方案。</w:t>
      </w:r>
      <w:bookmarkEnd w:id="90"/>
      <w:bookmarkEnd w:id="91"/>
      <w:bookmarkEnd w:id="92"/>
    </w:p>
    <w:p w14:paraId="20619ECF">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93" w:name="_Toc2831"/>
      <w:bookmarkStart w:id="94" w:name="_Toc23188"/>
      <w:bookmarkStart w:id="95" w:name="_Toc24052"/>
      <w:r>
        <w:rPr>
          <w:rFonts w:hint="default" w:ascii="Times New Roman" w:hAnsi="Times New Roman" w:eastAsia="宋体" w:cs="Times New Roman"/>
          <w:color w:val="auto"/>
          <w:kern w:val="0"/>
          <w:sz w:val="24"/>
          <w:szCs w:val="24"/>
          <w:highlight w:val="none"/>
          <w:lang w:val="en-US" w:eastAsia="zh-CN"/>
        </w:rPr>
        <w:t>基本内容详见下表：</w:t>
      </w:r>
      <w:bookmarkEnd w:id="93"/>
      <w:bookmarkEnd w:id="94"/>
      <w:bookmarkEnd w:id="95"/>
    </w:p>
    <w:p w14:paraId="755C0C29">
      <w:pPr>
        <w:pStyle w:val="1399"/>
        <w:keepNext w:val="0"/>
        <w:keepLines w:val="0"/>
        <w:pageBreakBefore w:val="0"/>
        <w:kinsoku/>
        <w:wordWrap/>
        <w:overflowPunct/>
        <w:topLinePunct w:val="0"/>
        <w:bidi w:val="0"/>
        <w:adjustRightInd w:val="0"/>
        <w:snapToGrid w:val="0"/>
        <w:spacing w:line="360" w:lineRule="auto"/>
        <w:ind w:left="0" w:leftChars="0" w:right="0" w:firstLine="482" w:firstLineChars="200"/>
        <w:jc w:val="center"/>
        <w:textAlignment w:val="auto"/>
        <w:outlineLvl w:val="9"/>
        <w:rPr>
          <w:rFonts w:hint="default" w:ascii="Times New Roman" w:hAnsi="Times New Roman" w:eastAsia="宋体" w:cs="Times New Roman"/>
          <w:b/>
          <w:bCs w:val="0"/>
          <w:color w:val="auto"/>
          <w:kern w:val="0"/>
          <w:sz w:val="24"/>
          <w:szCs w:val="24"/>
          <w:lang w:val="en-US" w:eastAsia="zh-CN" w:bidi="ar"/>
        </w:rPr>
      </w:pPr>
      <w:bookmarkStart w:id="96" w:name="_Toc9337"/>
      <w:bookmarkStart w:id="97" w:name="_Toc20632"/>
      <w:bookmarkStart w:id="98" w:name="_Toc32619"/>
      <w:r>
        <w:rPr>
          <w:rFonts w:hint="default" w:ascii="Times New Roman" w:hAnsi="Times New Roman" w:eastAsia="宋体" w:cs="Times New Roman"/>
          <w:b/>
          <w:bCs w:val="0"/>
          <w:color w:val="auto"/>
          <w:kern w:val="0"/>
          <w:sz w:val="24"/>
          <w:szCs w:val="24"/>
          <w:lang w:val="en-US" w:eastAsia="zh-CN" w:bidi="ar"/>
        </w:rPr>
        <w:t>表 7.5-1   应急预案基本内容</w:t>
      </w:r>
      <w:bookmarkEnd w:id="96"/>
      <w:bookmarkEnd w:id="97"/>
      <w:bookmarkEnd w:id="98"/>
    </w:p>
    <w:tbl>
      <w:tblPr>
        <w:tblStyle w:val="1390"/>
        <w:tblW w:w="4998" w:type="pct"/>
        <w:tblInd w:w="0" w:type="dxa"/>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autofit"/>
        <w:tblCellMar>
          <w:top w:w="0" w:type="dxa"/>
          <w:left w:w="0" w:type="dxa"/>
          <w:bottom w:w="0" w:type="dxa"/>
          <w:right w:w="0" w:type="dxa"/>
        </w:tblCellMar>
      </w:tblPr>
      <w:tblGrid>
        <w:gridCol w:w="606"/>
        <w:gridCol w:w="2277"/>
        <w:gridCol w:w="5430"/>
      </w:tblGrid>
      <w:tr w14:paraId="6017022F">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39" w:hRule="atLeast"/>
        </w:trPr>
        <w:tc>
          <w:tcPr>
            <w:tcW w:w="365" w:type="pct"/>
            <w:tcBorders>
              <w:right w:val="single" w:color="000000" w:sz="4" w:space="0"/>
            </w:tcBorders>
            <w:noWrap w:val="0"/>
            <w:vAlign w:val="center"/>
          </w:tcPr>
          <w:p w14:paraId="0FA2AC4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3"/>
                <w:sz w:val="21"/>
                <w:szCs w:val="21"/>
              </w:rPr>
              <w:t>序</w:t>
            </w:r>
            <w:r>
              <w:rPr>
                <w:rFonts w:hint="default" w:ascii="Times New Roman" w:hAnsi="Times New Roman" w:eastAsia="宋体" w:cs="Times New Roman"/>
                <w:b w:val="0"/>
                <w:bCs w:val="0"/>
                <w:color w:val="auto"/>
                <w:spacing w:val="-2"/>
                <w:sz w:val="21"/>
                <w:szCs w:val="21"/>
              </w:rPr>
              <w:t>号</w:t>
            </w:r>
          </w:p>
        </w:tc>
        <w:tc>
          <w:tcPr>
            <w:tcW w:w="1369" w:type="pct"/>
            <w:tcBorders>
              <w:left w:val="single" w:color="000000" w:sz="4" w:space="0"/>
              <w:right w:val="single" w:color="000000" w:sz="4" w:space="0"/>
            </w:tcBorders>
            <w:noWrap w:val="0"/>
            <w:vAlign w:val="center"/>
          </w:tcPr>
          <w:p w14:paraId="32DC83C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rPr>
              <w:t>项</w:t>
            </w:r>
            <w:r>
              <w:rPr>
                <w:rFonts w:hint="default" w:ascii="Times New Roman" w:hAnsi="Times New Roman" w:eastAsia="宋体" w:cs="Times New Roman"/>
                <w:b w:val="0"/>
                <w:bCs w:val="0"/>
                <w:color w:val="auto"/>
                <w:spacing w:val="-4"/>
                <w:sz w:val="21"/>
                <w:szCs w:val="21"/>
              </w:rPr>
              <w:t>目</w:t>
            </w:r>
          </w:p>
        </w:tc>
        <w:tc>
          <w:tcPr>
            <w:tcW w:w="3265" w:type="pct"/>
            <w:tcBorders>
              <w:left w:val="single" w:color="000000" w:sz="4" w:space="0"/>
            </w:tcBorders>
            <w:noWrap w:val="0"/>
            <w:vAlign w:val="center"/>
          </w:tcPr>
          <w:p w14:paraId="6F4A8A2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rPr>
              <w:t>内容及要求</w:t>
            </w:r>
          </w:p>
        </w:tc>
      </w:tr>
      <w:tr w14:paraId="550DBD2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8" w:hRule="atLeast"/>
        </w:trPr>
        <w:tc>
          <w:tcPr>
            <w:tcW w:w="365" w:type="pct"/>
            <w:tcBorders>
              <w:right w:val="single" w:color="000000" w:sz="4" w:space="0"/>
            </w:tcBorders>
            <w:noWrap w:val="0"/>
            <w:vAlign w:val="center"/>
          </w:tcPr>
          <w:p w14:paraId="27E159E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1</w:t>
            </w:r>
          </w:p>
        </w:tc>
        <w:tc>
          <w:tcPr>
            <w:tcW w:w="1369" w:type="pct"/>
            <w:tcBorders>
              <w:left w:val="single" w:color="000000" w:sz="4" w:space="0"/>
            </w:tcBorders>
            <w:noWrap w:val="0"/>
            <w:vAlign w:val="center"/>
          </w:tcPr>
          <w:p w14:paraId="3DBEFB0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2"/>
                <w:sz w:val="21"/>
                <w:szCs w:val="21"/>
              </w:rPr>
              <w:t>危险</w:t>
            </w:r>
            <w:r>
              <w:rPr>
                <w:rFonts w:hint="default" w:ascii="Times New Roman" w:hAnsi="Times New Roman" w:eastAsia="宋体" w:cs="Times New Roman"/>
                <w:b w:val="0"/>
                <w:bCs w:val="0"/>
                <w:color w:val="auto"/>
                <w:spacing w:val="-1"/>
                <w:sz w:val="21"/>
                <w:szCs w:val="21"/>
              </w:rPr>
              <w:t>源概况</w:t>
            </w:r>
          </w:p>
        </w:tc>
        <w:tc>
          <w:tcPr>
            <w:tcW w:w="3265" w:type="pct"/>
            <w:noWrap w:val="0"/>
            <w:vAlign w:val="center"/>
          </w:tcPr>
          <w:p w14:paraId="0526B13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详述危险源类型</w:t>
            </w:r>
            <w:r>
              <w:rPr>
                <w:rFonts w:hint="default" w:ascii="Times New Roman" w:hAnsi="Times New Roman" w:eastAsia="宋体" w:cs="Times New Roman"/>
                <w:b w:val="0"/>
                <w:bCs w:val="0"/>
                <w:color w:val="auto"/>
                <w:sz w:val="21"/>
                <w:szCs w:val="21"/>
              </w:rPr>
              <w:t>、数量及其分布</w:t>
            </w:r>
          </w:p>
        </w:tc>
      </w:tr>
      <w:tr w14:paraId="44184E32">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5" w:hRule="atLeast"/>
        </w:trPr>
        <w:tc>
          <w:tcPr>
            <w:tcW w:w="365" w:type="pct"/>
            <w:tcBorders>
              <w:right w:val="single" w:color="000000" w:sz="4" w:space="0"/>
            </w:tcBorders>
            <w:noWrap w:val="0"/>
            <w:vAlign w:val="center"/>
          </w:tcPr>
          <w:p w14:paraId="5A22CBD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2</w:t>
            </w:r>
          </w:p>
        </w:tc>
        <w:tc>
          <w:tcPr>
            <w:tcW w:w="1369" w:type="pct"/>
            <w:tcBorders>
              <w:left w:val="single" w:color="000000" w:sz="4" w:space="0"/>
            </w:tcBorders>
            <w:noWrap w:val="0"/>
            <w:vAlign w:val="center"/>
          </w:tcPr>
          <w:p w14:paraId="04094CE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应急计划区</w:t>
            </w:r>
          </w:p>
        </w:tc>
        <w:tc>
          <w:tcPr>
            <w:tcW w:w="3265" w:type="pct"/>
            <w:noWrap w:val="0"/>
            <w:vAlign w:val="center"/>
          </w:tcPr>
          <w:p w14:paraId="0DD9925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危险目标：</w:t>
            </w:r>
            <w:r>
              <w:rPr>
                <w:rFonts w:hint="default" w:ascii="Times New Roman" w:hAnsi="Times New Roman" w:eastAsia="宋体" w:cs="Times New Roman"/>
                <w:b w:val="0"/>
                <w:bCs w:val="0"/>
                <w:color w:val="auto"/>
                <w:sz w:val="21"/>
                <w:szCs w:val="21"/>
              </w:rPr>
              <w:t>环境保护目标</w:t>
            </w:r>
          </w:p>
        </w:tc>
      </w:tr>
      <w:tr w14:paraId="03B617A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1089" w:hRule="atLeast"/>
        </w:trPr>
        <w:tc>
          <w:tcPr>
            <w:tcW w:w="365" w:type="pct"/>
            <w:tcBorders>
              <w:right w:val="single" w:color="000000" w:sz="4" w:space="0"/>
            </w:tcBorders>
            <w:noWrap w:val="0"/>
            <w:vAlign w:val="center"/>
          </w:tcPr>
          <w:p w14:paraId="7E82AEB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p>
          <w:p w14:paraId="58754B6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3</w:t>
            </w:r>
          </w:p>
        </w:tc>
        <w:tc>
          <w:tcPr>
            <w:tcW w:w="1369" w:type="pct"/>
            <w:tcBorders>
              <w:left w:val="single" w:color="000000" w:sz="4" w:space="0"/>
            </w:tcBorders>
            <w:noWrap w:val="0"/>
            <w:vAlign w:val="center"/>
          </w:tcPr>
          <w:p w14:paraId="4A23BE0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p>
          <w:p w14:paraId="6B866E3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应急组织</w:t>
            </w:r>
            <w:r>
              <w:rPr>
                <w:rFonts w:hint="default" w:ascii="Times New Roman" w:hAnsi="Times New Roman" w:eastAsia="宋体" w:cs="Times New Roman"/>
                <w:b w:val="0"/>
                <w:bCs w:val="0"/>
                <w:color w:val="auto"/>
                <w:sz w:val="21"/>
                <w:szCs w:val="21"/>
              </w:rPr>
              <w:t>机构、人员</w:t>
            </w:r>
          </w:p>
        </w:tc>
        <w:tc>
          <w:tcPr>
            <w:tcW w:w="3265" w:type="pct"/>
            <w:noWrap w:val="0"/>
            <w:vAlign w:val="center"/>
          </w:tcPr>
          <w:p w14:paraId="77F16B6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0"/>
                <w:sz w:val="21"/>
                <w:szCs w:val="21"/>
              </w:rPr>
              <w:t>工厂：厂</w:t>
            </w:r>
            <w:r>
              <w:rPr>
                <w:rFonts w:hint="default" w:ascii="Times New Roman" w:hAnsi="Times New Roman" w:eastAsia="宋体" w:cs="Times New Roman"/>
                <w:b w:val="0"/>
                <w:bCs w:val="0"/>
                <w:color w:val="auto"/>
                <w:spacing w:val="-6"/>
                <w:sz w:val="21"/>
                <w:szCs w:val="21"/>
              </w:rPr>
              <w:t>指</w:t>
            </w:r>
            <w:r>
              <w:rPr>
                <w:rFonts w:hint="default" w:ascii="Times New Roman" w:hAnsi="Times New Roman" w:eastAsia="宋体" w:cs="Times New Roman"/>
                <w:b w:val="0"/>
                <w:bCs w:val="0"/>
                <w:color w:val="auto"/>
                <w:spacing w:val="-5"/>
                <w:sz w:val="21"/>
                <w:szCs w:val="21"/>
              </w:rPr>
              <w:t>挥部负责现场全面指挥；专业救援队伍负责事故控制、</w:t>
            </w:r>
            <w:r>
              <w:rPr>
                <w:rFonts w:hint="default" w:ascii="Times New Roman" w:hAnsi="Times New Roman" w:eastAsia="宋体" w:cs="Times New Roman"/>
                <w:b w:val="0"/>
                <w:bCs w:val="0"/>
                <w:color w:val="auto"/>
                <w:sz w:val="21"/>
                <w:szCs w:val="21"/>
              </w:rPr>
              <w:t xml:space="preserve"> </w:t>
            </w:r>
            <w:r>
              <w:rPr>
                <w:rFonts w:hint="default" w:ascii="Times New Roman" w:hAnsi="Times New Roman" w:eastAsia="宋体" w:cs="Times New Roman"/>
                <w:b w:val="0"/>
                <w:bCs w:val="0"/>
                <w:color w:val="auto"/>
                <w:spacing w:val="-1"/>
                <w:sz w:val="21"/>
                <w:szCs w:val="21"/>
              </w:rPr>
              <w:t>救援、善后处</w:t>
            </w:r>
            <w:r>
              <w:rPr>
                <w:rFonts w:hint="default" w:ascii="Times New Roman" w:hAnsi="Times New Roman" w:eastAsia="宋体" w:cs="Times New Roman"/>
                <w:b w:val="0"/>
                <w:bCs w:val="0"/>
                <w:color w:val="auto"/>
                <w:sz w:val="21"/>
                <w:szCs w:val="21"/>
              </w:rPr>
              <w:t>理</w:t>
            </w:r>
          </w:p>
          <w:p w14:paraId="5EC73B7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2"/>
                <w:sz w:val="21"/>
                <w:szCs w:val="21"/>
              </w:rPr>
              <w:t>地区</w:t>
            </w:r>
            <w:r>
              <w:rPr>
                <w:rFonts w:hint="default" w:ascii="Times New Roman" w:hAnsi="Times New Roman" w:eastAsia="宋体" w:cs="Times New Roman"/>
                <w:b w:val="0"/>
                <w:bCs w:val="0"/>
                <w:color w:val="auto"/>
                <w:spacing w:val="-1"/>
                <w:sz w:val="21"/>
                <w:szCs w:val="21"/>
              </w:rPr>
              <w:t>：地区指挥部负责工厂附近地区全面指挥、救援、管制、疏</w:t>
            </w:r>
            <w:r>
              <w:rPr>
                <w:rFonts w:hint="default" w:ascii="Times New Roman" w:hAnsi="Times New Roman" w:eastAsia="宋体" w:cs="Times New Roman"/>
                <w:b w:val="0"/>
                <w:bCs w:val="0"/>
                <w:color w:val="auto"/>
                <w:sz w:val="21"/>
                <w:szCs w:val="21"/>
              </w:rPr>
              <w:t xml:space="preserve"> </w:t>
            </w:r>
            <w:r>
              <w:rPr>
                <w:rFonts w:hint="default" w:ascii="Times New Roman" w:hAnsi="Times New Roman" w:eastAsia="宋体" w:cs="Times New Roman"/>
                <w:b w:val="0"/>
                <w:bCs w:val="0"/>
                <w:color w:val="auto"/>
                <w:spacing w:val="-1"/>
                <w:sz w:val="21"/>
                <w:szCs w:val="21"/>
              </w:rPr>
              <w:t>散；专</w:t>
            </w:r>
            <w:r>
              <w:rPr>
                <w:rFonts w:hint="default" w:ascii="Times New Roman" w:hAnsi="Times New Roman" w:eastAsia="宋体" w:cs="Times New Roman"/>
                <w:b w:val="0"/>
                <w:bCs w:val="0"/>
                <w:color w:val="auto"/>
                <w:sz w:val="21"/>
                <w:szCs w:val="21"/>
              </w:rPr>
              <w:t>业救援队伍负责对厂专业救援队伍的支援</w:t>
            </w:r>
          </w:p>
        </w:tc>
      </w:tr>
      <w:tr w14:paraId="0729A779">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8" w:hRule="atLeast"/>
        </w:trPr>
        <w:tc>
          <w:tcPr>
            <w:tcW w:w="365" w:type="pct"/>
            <w:tcBorders>
              <w:right w:val="single" w:color="000000" w:sz="4" w:space="0"/>
            </w:tcBorders>
            <w:noWrap w:val="0"/>
            <w:vAlign w:val="center"/>
          </w:tcPr>
          <w:p w14:paraId="48F2E90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4</w:t>
            </w:r>
          </w:p>
        </w:tc>
        <w:tc>
          <w:tcPr>
            <w:tcW w:w="1369" w:type="pct"/>
            <w:tcBorders>
              <w:left w:val="single" w:color="000000" w:sz="4" w:space="0"/>
            </w:tcBorders>
            <w:noWrap w:val="0"/>
            <w:vAlign w:val="center"/>
          </w:tcPr>
          <w:p w14:paraId="37C6748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预案分级响应</w:t>
            </w:r>
            <w:r>
              <w:rPr>
                <w:rFonts w:hint="default" w:ascii="Times New Roman" w:hAnsi="Times New Roman" w:eastAsia="宋体" w:cs="Times New Roman"/>
                <w:b w:val="0"/>
                <w:bCs w:val="0"/>
                <w:color w:val="auto"/>
                <w:sz w:val="21"/>
                <w:szCs w:val="21"/>
              </w:rPr>
              <w:t>条件</w:t>
            </w:r>
          </w:p>
        </w:tc>
        <w:tc>
          <w:tcPr>
            <w:tcW w:w="3265" w:type="pct"/>
            <w:noWrap w:val="0"/>
            <w:vAlign w:val="center"/>
          </w:tcPr>
          <w:p w14:paraId="6202094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规定预案的</w:t>
            </w:r>
            <w:r>
              <w:rPr>
                <w:rFonts w:hint="default" w:ascii="Times New Roman" w:hAnsi="Times New Roman" w:eastAsia="宋体" w:cs="Times New Roman"/>
                <w:b w:val="0"/>
                <w:bCs w:val="0"/>
                <w:color w:val="auto"/>
                <w:sz w:val="21"/>
                <w:szCs w:val="21"/>
              </w:rPr>
              <w:t>级别及分级响应程序</w:t>
            </w:r>
          </w:p>
        </w:tc>
      </w:tr>
      <w:tr w14:paraId="654D880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5" w:hRule="atLeast"/>
        </w:trPr>
        <w:tc>
          <w:tcPr>
            <w:tcW w:w="365" w:type="pct"/>
            <w:tcBorders>
              <w:right w:val="single" w:color="000000" w:sz="4" w:space="0"/>
            </w:tcBorders>
            <w:noWrap w:val="0"/>
            <w:vAlign w:val="center"/>
          </w:tcPr>
          <w:p w14:paraId="033B8B7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5</w:t>
            </w:r>
          </w:p>
        </w:tc>
        <w:tc>
          <w:tcPr>
            <w:tcW w:w="1369" w:type="pct"/>
            <w:tcBorders>
              <w:left w:val="single" w:color="000000" w:sz="4" w:space="0"/>
            </w:tcBorders>
            <w:noWrap w:val="0"/>
            <w:vAlign w:val="center"/>
          </w:tcPr>
          <w:p w14:paraId="12B6A5B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应急救援保</w:t>
            </w:r>
            <w:r>
              <w:rPr>
                <w:rFonts w:hint="default" w:ascii="Times New Roman" w:hAnsi="Times New Roman" w:eastAsia="宋体" w:cs="Times New Roman"/>
                <w:b w:val="0"/>
                <w:bCs w:val="0"/>
                <w:color w:val="auto"/>
                <w:sz w:val="21"/>
                <w:szCs w:val="21"/>
              </w:rPr>
              <w:t>障</w:t>
            </w:r>
          </w:p>
        </w:tc>
        <w:tc>
          <w:tcPr>
            <w:tcW w:w="3265" w:type="pct"/>
            <w:noWrap w:val="0"/>
            <w:vAlign w:val="center"/>
          </w:tcPr>
          <w:p w14:paraId="159730B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应急设施，设</w:t>
            </w:r>
            <w:r>
              <w:rPr>
                <w:rFonts w:hint="default" w:ascii="Times New Roman" w:hAnsi="Times New Roman" w:eastAsia="宋体" w:cs="Times New Roman"/>
                <w:b w:val="0"/>
                <w:bCs w:val="0"/>
                <w:color w:val="auto"/>
                <w:sz w:val="21"/>
                <w:szCs w:val="21"/>
              </w:rPr>
              <w:t>备与器材等</w:t>
            </w:r>
          </w:p>
        </w:tc>
      </w:tr>
      <w:tr w14:paraId="79CB77FD">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8" w:hRule="atLeast"/>
        </w:trPr>
        <w:tc>
          <w:tcPr>
            <w:tcW w:w="365" w:type="pct"/>
            <w:tcBorders>
              <w:right w:val="single" w:color="000000" w:sz="4" w:space="0"/>
            </w:tcBorders>
            <w:noWrap w:val="0"/>
            <w:vAlign w:val="center"/>
          </w:tcPr>
          <w:p w14:paraId="150C4E3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6</w:t>
            </w:r>
          </w:p>
        </w:tc>
        <w:tc>
          <w:tcPr>
            <w:tcW w:w="1369" w:type="pct"/>
            <w:tcBorders>
              <w:left w:val="single" w:color="000000" w:sz="4" w:space="0"/>
            </w:tcBorders>
            <w:noWrap w:val="0"/>
            <w:vAlign w:val="center"/>
          </w:tcPr>
          <w:p w14:paraId="7C0E005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报警、</w:t>
            </w:r>
            <w:r>
              <w:rPr>
                <w:rFonts w:hint="default" w:ascii="Times New Roman" w:hAnsi="Times New Roman" w:eastAsia="宋体" w:cs="Times New Roman"/>
                <w:b w:val="0"/>
                <w:bCs w:val="0"/>
                <w:color w:val="auto"/>
                <w:sz w:val="21"/>
                <w:szCs w:val="21"/>
              </w:rPr>
              <w:t>通讯联络方式</w:t>
            </w:r>
          </w:p>
        </w:tc>
        <w:tc>
          <w:tcPr>
            <w:tcW w:w="3265" w:type="pct"/>
            <w:noWrap w:val="0"/>
            <w:vAlign w:val="center"/>
          </w:tcPr>
          <w:p w14:paraId="1E7F500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规定应急状态下</w:t>
            </w:r>
            <w:r>
              <w:rPr>
                <w:rFonts w:hint="default" w:ascii="Times New Roman" w:hAnsi="Times New Roman" w:eastAsia="宋体" w:cs="Times New Roman"/>
                <w:b w:val="0"/>
                <w:bCs w:val="0"/>
                <w:color w:val="auto"/>
                <w:sz w:val="21"/>
                <w:szCs w:val="21"/>
              </w:rPr>
              <w:t>的报警通讯方式、通知方式和交通保障、管制。</w:t>
            </w:r>
          </w:p>
        </w:tc>
      </w:tr>
      <w:tr w14:paraId="7A1A44FB">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365" w:type="pct"/>
            <w:tcBorders>
              <w:right w:val="single" w:color="000000" w:sz="4" w:space="0"/>
            </w:tcBorders>
            <w:noWrap w:val="0"/>
            <w:vAlign w:val="center"/>
          </w:tcPr>
          <w:p w14:paraId="18079E1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7</w:t>
            </w:r>
          </w:p>
        </w:tc>
        <w:tc>
          <w:tcPr>
            <w:tcW w:w="1369" w:type="pct"/>
            <w:tcBorders>
              <w:left w:val="single" w:color="000000" w:sz="4" w:space="0"/>
            </w:tcBorders>
            <w:noWrap w:val="0"/>
            <w:vAlign w:val="center"/>
          </w:tcPr>
          <w:p w14:paraId="65256FF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应急环境监测</w:t>
            </w:r>
            <w:r>
              <w:rPr>
                <w:rFonts w:hint="default" w:ascii="Times New Roman" w:hAnsi="Times New Roman" w:eastAsia="宋体" w:cs="Times New Roman"/>
                <w:b w:val="0"/>
                <w:bCs w:val="0"/>
                <w:color w:val="auto"/>
                <w:sz w:val="21"/>
                <w:szCs w:val="21"/>
              </w:rPr>
              <w:t xml:space="preserve">、抢险、救 </w:t>
            </w:r>
            <w:r>
              <w:rPr>
                <w:rFonts w:hint="default" w:ascii="Times New Roman" w:hAnsi="Times New Roman" w:eastAsia="宋体" w:cs="Times New Roman"/>
                <w:b w:val="0"/>
                <w:bCs w:val="0"/>
                <w:color w:val="auto"/>
                <w:spacing w:val="-1"/>
                <w:sz w:val="21"/>
                <w:szCs w:val="21"/>
              </w:rPr>
              <w:t>援及控制措</w:t>
            </w:r>
            <w:r>
              <w:rPr>
                <w:rFonts w:hint="default" w:ascii="Times New Roman" w:hAnsi="Times New Roman" w:eastAsia="宋体" w:cs="Times New Roman"/>
                <w:b w:val="0"/>
                <w:bCs w:val="0"/>
                <w:color w:val="auto"/>
                <w:sz w:val="21"/>
                <w:szCs w:val="21"/>
              </w:rPr>
              <w:t>施</w:t>
            </w:r>
          </w:p>
        </w:tc>
        <w:tc>
          <w:tcPr>
            <w:tcW w:w="3265" w:type="pct"/>
            <w:noWrap w:val="0"/>
            <w:vAlign w:val="center"/>
          </w:tcPr>
          <w:p w14:paraId="5B75AF1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2"/>
                <w:sz w:val="21"/>
                <w:szCs w:val="21"/>
              </w:rPr>
              <w:t>由专业队伍负责对事故现场进行侦察监测，对事故性质、参</w:t>
            </w:r>
            <w:r>
              <w:rPr>
                <w:rFonts w:hint="default" w:ascii="Times New Roman" w:hAnsi="Times New Roman" w:eastAsia="宋体" w:cs="Times New Roman"/>
                <w:b w:val="0"/>
                <w:bCs w:val="0"/>
                <w:color w:val="auto"/>
                <w:spacing w:val="-1"/>
                <w:sz w:val="21"/>
                <w:szCs w:val="21"/>
              </w:rPr>
              <w:t>数</w:t>
            </w:r>
            <w:r>
              <w:rPr>
                <w:rFonts w:hint="default" w:ascii="Times New Roman" w:hAnsi="Times New Roman" w:eastAsia="宋体" w:cs="Times New Roman"/>
                <w:b w:val="0"/>
                <w:bCs w:val="0"/>
                <w:color w:val="auto"/>
                <w:sz w:val="21"/>
                <w:szCs w:val="21"/>
              </w:rPr>
              <w:t xml:space="preserve">与 </w:t>
            </w:r>
            <w:r>
              <w:rPr>
                <w:rFonts w:hint="default" w:ascii="Times New Roman" w:hAnsi="Times New Roman" w:eastAsia="宋体" w:cs="Times New Roman"/>
                <w:b w:val="0"/>
                <w:bCs w:val="0"/>
                <w:color w:val="auto"/>
                <w:spacing w:val="-1"/>
                <w:sz w:val="21"/>
                <w:szCs w:val="21"/>
              </w:rPr>
              <w:t>后果进行评估</w:t>
            </w:r>
            <w:r>
              <w:rPr>
                <w:rFonts w:hint="default" w:ascii="Times New Roman" w:hAnsi="Times New Roman" w:eastAsia="宋体" w:cs="Times New Roman"/>
                <w:b w:val="0"/>
                <w:bCs w:val="0"/>
                <w:color w:val="auto"/>
                <w:sz w:val="21"/>
                <w:szCs w:val="21"/>
              </w:rPr>
              <w:t>，为指挥部门提供决策依据。</w:t>
            </w:r>
          </w:p>
        </w:tc>
      </w:tr>
      <w:tr w14:paraId="742B8DFC">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815" w:hRule="atLeast"/>
        </w:trPr>
        <w:tc>
          <w:tcPr>
            <w:tcW w:w="365" w:type="pct"/>
            <w:tcBorders>
              <w:right w:val="single" w:color="000000" w:sz="4" w:space="0"/>
            </w:tcBorders>
            <w:noWrap w:val="0"/>
            <w:vAlign w:val="center"/>
          </w:tcPr>
          <w:p w14:paraId="03A3D09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p>
          <w:p w14:paraId="5CDD5AB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8</w:t>
            </w:r>
          </w:p>
        </w:tc>
        <w:tc>
          <w:tcPr>
            <w:tcW w:w="1369" w:type="pct"/>
            <w:tcBorders>
              <w:left w:val="single" w:color="000000" w:sz="4" w:space="0"/>
            </w:tcBorders>
            <w:noWrap w:val="0"/>
            <w:vAlign w:val="center"/>
          </w:tcPr>
          <w:p w14:paraId="13E7A3F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应急检测、防</w:t>
            </w:r>
            <w:r>
              <w:rPr>
                <w:rFonts w:hint="default" w:ascii="Times New Roman" w:hAnsi="Times New Roman" w:eastAsia="宋体" w:cs="Times New Roman"/>
                <w:b w:val="0"/>
                <w:bCs w:val="0"/>
                <w:color w:val="auto"/>
                <w:sz w:val="21"/>
                <w:szCs w:val="21"/>
              </w:rPr>
              <w:t xml:space="preserve">护措施、清 </w:t>
            </w:r>
            <w:r>
              <w:rPr>
                <w:rFonts w:hint="default" w:ascii="Times New Roman" w:hAnsi="Times New Roman" w:eastAsia="宋体" w:cs="Times New Roman"/>
                <w:b w:val="0"/>
                <w:bCs w:val="0"/>
                <w:color w:val="auto"/>
                <w:spacing w:val="-3"/>
                <w:sz w:val="21"/>
                <w:szCs w:val="21"/>
              </w:rPr>
              <w:t>除</w:t>
            </w:r>
            <w:r>
              <w:rPr>
                <w:rFonts w:hint="default" w:ascii="Times New Roman" w:hAnsi="Times New Roman" w:eastAsia="宋体" w:cs="Times New Roman"/>
                <w:b w:val="0"/>
                <w:bCs w:val="0"/>
                <w:color w:val="auto"/>
                <w:spacing w:val="-2"/>
                <w:sz w:val="21"/>
                <w:szCs w:val="21"/>
              </w:rPr>
              <w:t>泄漏措施和器材</w:t>
            </w:r>
          </w:p>
        </w:tc>
        <w:tc>
          <w:tcPr>
            <w:tcW w:w="3265" w:type="pct"/>
            <w:noWrap w:val="0"/>
            <w:vAlign w:val="center"/>
          </w:tcPr>
          <w:p w14:paraId="7E992A7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事故现场：控制事故、防止扩大、蔓延及链锁反应；清除现场泄</w:t>
            </w:r>
            <w:r>
              <w:rPr>
                <w:rFonts w:hint="default" w:ascii="Times New Roman" w:hAnsi="Times New Roman" w:eastAsia="宋体" w:cs="Times New Roman"/>
                <w:b w:val="0"/>
                <w:bCs w:val="0"/>
                <w:color w:val="auto"/>
                <w:sz w:val="21"/>
                <w:szCs w:val="21"/>
              </w:rPr>
              <w:t xml:space="preserve"> </w:t>
            </w:r>
            <w:r>
              <w:rPr>
                <w:rFonts w:hint="default" w:ascii="Times New Roman" w:hAnsi="Times New Roman" w:eastAsia="宋体" w:cs="Times New Roman"/>
                <w:b w:val="0"/>
                <w:bCs w:val="0"/>
                <w:color w:val="auto"/>
                <w:spacing w:val="-1"/>
                <w:sz w:val="21"/>
                <w:szCs w:val="21"/>
              </w:rPr>
              <w:t>漏物，降</w:t>
            </w:r>
            <w:r>
              <w:rPr>
                <w:rFonts w:hint="default" w:ascii="Times New Roman" w:hAnsi="Times New Roman" w:eastAsia="宋体" w:cs="Times New Roman"/>
                <w:b w:val="0"/>
                <w:bCs w:val="0"/>
                <w:color w:val="auto"/>
                <w:sz w:val="21"/>
                <w:szCs w:val="21"/>
              </w:rPr>
              <w:t>低危害，相应的设施器材配备</w:t>
            </w:r>
          </w:p>
          <w:p w14:paraId="4235F0B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邻近区</w:t>
            </w:r>
            <w:r>
              <w:rPr>
                <w:rFonts w:hint="default" w:ascii="Times New Roman" w:hAnsi="Times New Roman" w:eastAsia="宋体" w:cs="Times New Roman"/>
                <w:b w:val="0"/>
                <w:bCs w:val="0"/>
                <w:color w:val="auto"/>
                <w:sz w:val="21"/>
                <w:szCs w:val="21"/>
              </w:rPr>
              <w:t>域：控制和清除污染措施及相应设备配备</w:t>
            </w:r>
          </w:p>
        </w:tc>
      </w:tr>
      <w:tr w14:paraId="0BAD75C1">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365" w:type="pct"/>
            <w:tcBorders>
              <w:right w:val="single" w:color="000000" w:sz="4" w:space="0"/>
            </w:tcBorders>
            <w:noWrap w:val="0"/>
            <w:vAlign w:val="center"/>
          </w:tcPr>
          <w:p w14:paraId="509BA44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9</w:t>
            </w:r>
          </w:p>
        </w:tc>
        <w:tc>
          <w:tcPr>
            <w:tcW w:w="1369" w:type="pct"/>
            <w:tcBorders>
              <w:left w:val="single" w:color="000000" w:sz="4" w:space="0"/>
            </w:tcBorders>
            <w:noWrap w:val="0"/>
            <w:vAlign w:val="center"/>
          </w:tcPr>
          <w:p w14:paraId="1778601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人员紧急撤离疏散</w:t>
            </w:r>
            <w:r>
              <w:rPr>
                <w:rFonts w:hint="default" w:ascii="Times New Roman" w:hAnsi="Times New Roman" w:eastAsia="宋体" w:cs="Times New Roman"/>
                <w:b w:val="0"/>
                <w:bCs w:val="0"/>
                <w:color w:val="auto"/>
                <w:sz w:val="21"/>
                <w:szCs w:val="21"/>
              </w:rPr>
              <w:t xml:space="preserve">，应急 </w:t>
            </w:r>
            <w:r>
              <w:rPr>
                <w:rFonts w:hint="default" w:ascii="Times New Roman" w:hAnsi="Times New Roman" w:eastAsia="宋体" w:cs="Times New Roman"/>
                <w:b w:val="0"/>
                <w:bCs w:val="0"/>
                <w:color w:val="auto"/>
                <w:spacing w:val="-1"/>
                <w:sz w:val="21"/>
                <w:szCs w:val="21"/>
              </w:rPr>
              <w:t>剂量控制、撤离</w:t>
            </w:r>
            <w:r>
              <w:rPr>
                <w:rFonts w:hint="default" w:ascii="Times New Roman" w:hAnsi="Times New Roman" w:eastAsia="宋体" w:cs="Times New Roman"/>
                <w:b w:val="0"/>
                <w:bCs w:val="0"/>
                <w:color w:val="auto"/>
                <w:sz w:val="21"/>
                <w:szCs w:val="21"/>
              </w:rPr>
              <w:t>组织计划</w:t>
            </w:r>
          </w:p>
        </w:tc>
        <w:tc>
          <w:tcPr>
            <w:tcW w:w="3265" w:type="pct"/>
            <w:noWrap w:val="0"/>
            <w:vAlign w:val="center"/>
          </w:tcPr>
          <w:p w14:paraId="4626CE6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事故现场、工厂邻近区、受事故影响的区域人员及公众对毒物应</w:t>
            </w:r>
            <w:r>
              <w:rPr>
                <w:rFonts w:hint="default" w:ascii="Times New Roman" w:hAnsi="Times New Roman" w:eastAsia="宋体" w:cs="Times New Roman"/>
                <w:b w:val="0"/>
                <w:bCs w:val="0"/>
                <w:color w:val="auto"/>
                <w:sz w:val="21"/>
                <w:szCs w:val="21"/>
              </w:rPr>
              <w:t xml:space="preserve"> </w:t>
            </w:r>
            <w:r>
              <w:rPr>
                <w:rFonts w:hint="default" w:ascii="Times New Roman" w:hAnsi="Times New Roman" w:eastAsia="宋体" w:cs="Times New Roman"/>
                <w:b w:val="0"/>
                <w:bCs w:val="0"/>
                <w:color w:val="auto"/>
                <w:spacing w:val="-2"/>
                <w:sz w:val="21"/>
                <w:szCs w:val="21"/>
              </w:rPr>
              <w:t>急剂量控制规定，撤离组织计划及救</w:t>
            </w:r>
            <w:r>
              <w:rPr>
                <w:rFonts w:hint="default" w:ascii="Times New Roman" w:hAnsi="Times New Roman" w:eastAsia="宋体" w:cs="Times New Roman"/>
                <w:b w:val="0"/>
                <w:bCs w:val="0"/>
                <w:color w:val="auto"/>
                <w:spacing w:val="-1"/>
                <w:sz w:val="21"/>
                <w:szCs w:val="21"/>
              </w:rPr>
              <w:t>护，医疗救护与公众健康。</w:t>
            </w:r>
          </w:p>
        </w:tc>
      </w:tr>
      <w:tr w14:paraId="310A34A7">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365" w:type="pct"/>
            <w:tcBorders>
              <w:right w:val="single" w:color="000000" w:sz="4" w:space="0"/>
            </w:tcBorders>
            <w:noWrap w:val="0"/>
            <w:vAlign w:val="center"/>
          </w:tcPr>
          <w:p w14:paraId="286B83F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3"/>
                <w:sz w:val="21"/>
                <w:szCs w:val="21"/>
              </w:rPr>
              <w:t>1</w:t>
            </w:r>
            <w:r>
              <w:rPr>
                <w:rFonts w:hint="default" w:ascii="Times New Roman" w:hAnsi="Times New Roman" w:eastAsia="宋体" w:cs="Times New Roman"/>
                <w:b w:val="0"/>
                <w:bCs w:val="0"/>
                <w:color w:val="auto"/>
                <w:spacing w:val="-11"/>
                <w:sz w:val="21"/>
                <w:szCs w:val="21"/>
              </w:rPr>
              <w:t>0</w:t>
            </w:r>
          </w:p>
        </w:tc>
        <w:tc>
          <w:tcPr>
            <w:tcW w:w="1369" w:type="pct"/>
            <w:tcBorders>
              <w:left w:val="single" w:color="000000" w:sz="4" w:space="0"/>
            </w:tcBorders>
            <w:noWrap w:val="0"/>
            <w:vAlign w:val="center"/>
          </w:tcPr>
          <w:p w14:paraId="60F341A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事故应急救援</w:t>
            </w:r>
            <w:r>
              <w:rPr>
                <w:rFonts w:hint="default" w:ascii="Times New Roman" w:hAnsi="Times New Roman" w:eastAsia="宋体" w:cs="Times New Roman"/>
                <w:b w:val="0"/>
                <w:bCs w:val="0"/>
                <w:color w:val="auto"/>
                <w:sz w:val="21"/>
                <w:szCs w:val="21"/>
              </w:rPr>
              <w:t xml:space="preserve">关闭程序与 </w:t>
            </w:r>
            <w:r>
              <w:rPr>
                <w:rFonts w:hint="default" w:ascii="Times New Roman" w:hAnsi="Times New Roman" w:eastAsia="宋体" w:cs="Times New Roman"/>
                <w:b w:val="0"/>
                <w:bCs w:val="0"/>
                <w:color w:val="auto"/>
                <w:spacing w:val="-2"/>
                <w:sz w:val="21"/>
                <w:szCs w:val="21"/>
              </w:rPr>
              <w:t>恢复措</w:t>
            </w:r>
            <w:r>
              <w:rPr>
                <w:rFonts w:hint="default" w:ascii="Times New Roman" w:hAnsi="Times New Roman" w:eastAsia="宋体" w:cs="Times New Roman"/>
                <w:b w:val="0"/>
                <w:bCs w:val="0"/>
                <w:color w:val="auto"/>
                <w:spacing w:val="-1"/>
                <w:sz w:val="21"/>
                <w:szCs w:val="21"/>
              </w:rPr>
              <w:t>施</w:t>
            </w:r>
          </w:p>
        </w:tc>
        <w:tc>
          <w:tcPr>
            <w:tcW w:w="3265" w:type="pct"/>
            <w:noWrap w:val="0"/>
            <w:vAlign w:val="center"/>
          </w:tcPr>
          <w:p w14:paraId="7568A3C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规定应急状态终止程序；事故现场善后处理，恢复措施；邻</w:t>
            </w:r>
            <w:r>
              <w:rPr>
                <w:rFonts w:hint="default" w:ascii="Times New Roman" w:hAnsi="Times New Roman" w:eastAsia="宋体" w:cs="Times New Roman"/>
                <w:b w:val="0"/>
                <w:bCs w:val="0"/>
                <w:color w:val="auto"/>
                <w:sz w:val="21"/>
                <w:szCs w:val="21"/>
              </w:rPr>
              <w:t xml:space="preserve">近区 </w:t>
            </w:r>
            <w:r>
              <w:rPr>
                <w:rFonts w:hint="default" w:ascii="Times New Roman" w:hAnsi="Times New Roman" w:eastAsia="宋体" w:cs="Times New Roman"/>
                <w:b w:val="0"/>
                <w:bCs w:val="0"/>
                <w:color w:val="auto"/>
                <w:spacing w:val="-1"/>
                <w:sz w:val="21"/>
                <w:szCs w:val="21"/>
              </w:rPr>
              <w:t>域解除事故</w:t>
            </w:r>
            <w:r>
              <w:rPr>
                <w:rFonts w:hint="default" w:ascii="Times New Roman" w:hAnsi="Times New Roman" w:eastAsia="宋体" w:cs="Times New Roman"/>
                <w:b w:val="0"/>
                <w:bCs w:val="0"/>
                <w:color w:val="auto"/>
                <w:sz w:val="21"/>
                <w:szCs w:val="21"/>
              </w:rPr>
              <w:t>警戒及善后恢复措施。</w:t>
            </w:r>
          </w:p>
        </w:tc>
      </w:tr>
      <w:tr w14:paraId="65368637">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6" w:hRule="atLeast"/>
        </w:trPr>
        <w:tc>
          <w:tcPr>
            <w:tcW w:w="365" w:type="pct"/>
            <w:tcBorders>
              <w:right w:val="single" w:color="000000" w:sz="4" w:space="0"/>
            </w:tcBorders>
            <w:noWrap w:val="0"/>
            <w:vAlign w:val="center"/>
          </w:tcPr>
          <w:p w14:paraId="1378437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3"/>
                <w:sz w:val="21"/>
                <w:szCs w:val="21"/>
              </w:rPr>
              <w:t>1</w:t>
            </w:r>
            <w:r>
              <w:rPr>
                <w:rFonts w:hint="default" w:ascii="Times New Roman" w:hAnsi="Times New Roman" w:eastAsia="宋体" w:cs="Times New Roman"/>
                <w:b w:val="0"/>
                <w:bCs w:val="0"/>
                <w:color w:val="auto"/>
                <w:spacing w:val="-12"/>
                <w:sz w:val="21"/>
                <w:szCs w:val="21"/>
              </w:rPr>
              <w:t>1</w:t>
            </w:r>
          </w:p>
        </w:tc>
        <w:tc>
          <w:tcPr>
            <w:tcW w:w="1369" w:type="pct"/>
            <w:tcBorders>
              <w:left w:val="single" w:color="000000" w:sz="4" w:space="0"/>
            </w:tcBorders>
            <w:noWrap w:val="0"/>
            <w:vAlign w:val="center"/>
          </w:tcPr>
          <w:p w14:paraId="4F631B9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应急培训计</w:t>
            </w:r>
            <w:r>
              <w:rPr>
                <w:rFonts w:hint="default" w:ascii="Times New Roman" w:hAnsi="Times New Roman" w:eastAsia="宋体" w:cs="Times New Roman"/>
                <w:b w:val="0"/>
                <w:bCs w:val="0"/>
                <w:color w:val="auto"/>
                <w:sz w:val="21"/>
                <w:szCs w:val="21"/>
              </w:rPr>
              <w:t>划</w:t>
            </w:r>
          </w:p>
        </w:tc>
        <w:tc>
          <w:tcPr>
            <w:tcW w:w="3265" w:type="pct"/>
            <w:noWrap w:val="0"/>
            <w:vAlign w:val="center"/>
          </w:tcPr>
          <w:p w14:paraId="7C99A15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应急计划</w:t>
            </w:r>
            <w:r>
              <w:rPr>
                <w:rFonts w:hint="default" w:ascii="Times New Roman" w:hAnsi="Times New Roman" w:eastAsia="宋体" w:cs="Times New Roman"/>
                <w:b w:val="0"/>
                <w:bCs w:val="0"/>
                <w:color w:val="auto"/>
                <w:sz w:val="21"/>
                <w:szCs w:val="21"/>
              </w:rPr>
              <w:t>制定后，平时安排人员培训与演练</w:t>
            </w:r>
          </w:p>
        </w:tc>
      </w:tr>
      <w:tr w14:paraId="374889FF">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8" w:hRule="atLeast"/>
        </w:trPr>
        <w:tc>
          <w:tcPr>
            <w:tcW w:w="365" w:type="pct"/>
            <w:tcBorders>
              <w:right w:val="single" w:color="000000" w:sz="4" w:space="0"/>
            </w:tcBorders>
            <w:noWrap w:val="0"/>
            <w:vAlign w:val="center"/>
          </w:tcPr>
          <w:p w14:paraId="016CEBB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3"/>
                <w:sz w:val="21"/>
                <w:szCs w:val="21"/>
              </w:rPr>
              <w:t>1</w:t>
            </w:r>
            <w:r>
              <w:rPr>
                <w:rFonts w:hint="default" w:ascii="Times New Roman" w:hAnsi="Times New Roman" w:eastAsia="宋体" w:cs="Times New Roman"/>
                <w:b w:val="0"/>
                <w:bCs w:val="0"/>
                <w:color w:val="auto"/>
                <w:spacing w:val="-11"/>
                <w:sz w:val="21"/>
                <w:szCs w:val="21"/>
              </w:rPr>
              <w:t>2</w:t>
            </w:r>
          </w:p>
        </w:tc>
        <w:tc>
          <w:tcPr>
            <w:tcW w:w="1369" w:type="pct"/>
            <w:tcBorders>
              <w:left w:val="single" w:color="000000" w:sz="4" w:space="0"/>
            </w:tcBorders>
            <w:noWrap w:val="0"/>
            <w:vAlign w:val="center"/>
          </w:tcPr>
          <w:p w14:paraId="2F0BAB9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2"/>
                <w:sz w:val="21"/>
                <w:szCs w:val="21"/>
              </w:rPr>
              <w:t>公众教育</w:t>
            </w:r>
            <w:r>
              <w:rPr>
                <w:rFonts w:hint="default" w:ascii="Times New Roman" w:hAnsi="Times New Roman" w:eastAsia="宋体" w:cs="Times New Roman"/>
                <w:b w:val="0"/>
                <w:bCs w:val="0"/>
                <w:color w:val="auto"/>
                <w:spacing w:val="-1"/>
                <w:sz w:val="21"/>
                <w:szCs w:val="21"/>
              </w:rPr>
              <w:t>和信息</w:t>
            </w:r>
          </w:p>
        </w:tc>
        <w:tc>
          <w:tcPr>
            <w:tcW w:w="3265" w:type="pct"/>
            <w:noWrap w:val="0"/>
            <w:vAlign w:val="center"/>
          </w:tcPr>
          <w:p w14:paraId="6C481D0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对工</w:t>
            </w:r>
            <w:r>
              <w:rPr>
                <w:rFonts w:hint="default" w:ascii="Times New Roman" w:hAnsi="Times New Roman" w:eastAsia="宋体" w:cs="Times New Roman"/>
                <w:b w:val="0"/>
                <w:bCs w:val="0"/>
                <w:color w:val="auto"/>
                <w:sz w:val="21"/>
                <w:szCs w:val="21"/>
              </w:rPr>
              <w:t>厂邻近地区开展公众教育、培训和发布有关信息</w:t>
            </w:r>
          </w:p>
        </w:tc>
      </w:tr>
      <w:tr w14:paraId="431C0E24">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365" w:type="pct"/>
            <w:tcBorders>
              <w:right w:val="single" w:color="000000" w:sz="4" w:space="0"/>
            </w:tcBorders>
            <w:noWrap w:val="0"/>
            <w:vAlign w:val="center"/>
          </w:tcPr>
          <w:p w14:paraId="77DE910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3"/>
                <w:sz w:val="21"/>
                <w:szCs w:val="21"/>
              </w:rPr>
              <w:t>1</w:t>
            </w:r>
            <w:r>
              <w:rPr>
                <w:rFonts w:hint="default" w:ascii="Times New Roman" w:hAnsi="Times New Roman" w:eastAsia="宋体" w:cs="Times New Roman"/>
                <w:b w:val="0"/>
                <w:bCs w:val="0"/>
                <w:color w:val="auto"/>
                <w:spacing w:val="-11"/>
                <w:sz w:val="21"/>
                <w:szCs w:val="21"/>
              </w:rPr>
              <w:t>3</w:t>
            </w:r>
          </w:p>
        </w:tc>
        <w:tc>
          <w:tcPr>
            <w:tcW w:w="1369" w:type="pct"/>
            <w:tcBorders>
              <w:left w:val="single" w:color="000000" w:sz="4" w:space="0"/>
            </w:tcBorders>
            <w:noWrap w:val="0"/>
            <w:vAlign w:val="center"/>
          </w:tcPr>
          <w:p w14:paraId="00B1000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记录和报</w:t>
            </w:r>
            <w:r>
              <w:rPr>
                <w:rFonts w:hint="default" w:ascii="Times New Roman" w:hAnsi="Times New Roman" w:eastAsia="宋体" w:cs="Times New Roman"/>
                <w:b w:val="0"/>
                <w:bCs w:val="0"/>
                <w:color w:val="auto"/>
                <w:sz w:val="21"/>
                <w:szCs w:val="21"/>
              </w:rPr>
              <w:t>告</w:t>
            </w:r>
          </w:p>
        </w:tc>
        <w:tc>
          <w:tcPr>
            <w:tcW w:w="3265" w:type="pct"/>
            <w:noWrap w:val="0"/>
            <w:vAlign w:val="center"/>
          </w:tcPr>
          <w:p w14:paraId="4EE437C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2"/>
                <w:sz w:val="21"/>
                <w:szCs w:val="21"/>
              </w:rPr>
              <w:t>设置应</w:t>
            </w:r>
            <w:r>
              <w:rPr>
                <w:rFonts w:hint="default" w:ascii="Times New Roman" w:hAnsi="Times New Roman" w:eastAsia="宋体" w:cs="Times New Roman"/>
                <w:b w:val="0"/>
                <w:bCs w:val="0"/>
                <w:color w:val="auto"/>
                <w:spacing w:val="-1"/>
                <w:sz w:val="21"/>
                <w:szCs w:val="21"/>
              </w:rPr>
              <w:t>急事故专门记录，建档案和专门报告制度，设专门部门和</w:t>
            </w:r>
            <w:r>
              <w:rPr>
                <w:rFonts w:hint="default" w:ascii="Times New Roman" w:hAnsi="Times New Roman" w:eastAsia="宋体" w:cs="Times New Roman"/>
                <w:b w:val="0"/>
                <w:bCs w:val="0"/>
                <w:color w:val="auto"/>
                <w:sz w:val="21"/>
                <w:szCs w:val="21"/>
              </w:rPr>
              <w:t xml:space="preserve"> </w:t>
            </w:r>
            <w:r>
              <w:rPr>
                <w:rFonts w:hint="default" w:ascii="Times New Roman" w:hAnsi="Times New Roman" w:eastAsia="宋体" w:cs="Times New Roman"/>
                <w:b w:val="0"/>
                <w:bCs w:val="0"/>
                <w:color w:val="auto"/>
                <w:spacing w:val="-4"/>
                <w:sz w:val="21"/>
                <w:szCs w:val="21"/>
              </w:rPr>
              <w:t>负</w:t>
            </w:r>
            <w:r>
              <w:rPr>
                <w:rFonts w:hint="default" w:ascii="Times New Roman" w:hAnsi="Times New Roman" w:eastAsia="宋体" w:cs="Times New Roman"/>
                <w:b w:val="0"/>
                <w:bCs w:val="0"/>
                <w:color w:val="auto"/>
                <w:spacing w:val="-3"/>
                <w:sz w:val="21"/>
                <w:szCs w:val="21"/>
              </w:rPr>
              <w:t>责管理</w:t>
            </w:r>
          </w:p>
        </w:tc>
      </w:tr>
      <w:tr w14:paraId="412842CE">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24" w:hRule="atLeast"/>
        </w:trPr>
        <w:tc>
          <w:tcPr>
            <w:tcW w:w="365" w:type="pct"/>
            <w:noWrap w:val="0"/>
            <w:vAlign w:val="center"/>
          </w:tcPr>
          <w:p w14:paraId="546CC2C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3"/>
                <w:sz w:val="21"/>
                <w:szCs w:val="21"/>
              </w:rPr>
              <w:t>1</w:t>
            </w:r>
            <w:r>
              <w:rPr>
                <w:rFonts w:hint="default" w:ascii="Times New Roman" w:hAnsi="Times New Roman" w:eastAsia="宋体" w:cs="Times New Roman"/>
                <w:b w:val="0"/>
                <w:bCs w:val="0"/>
                <w:color w:val="auto"/>
                <w:spacing w:val="-11"/>
                <w:sz w:val="21"/>
                <w:szCs w:val="21"/>
              </w:rPr>
              <w:t>4</w:t>
            </w:r>
          </w:p>
        </w:tc>
        <w:tc>
          <w:tcPr>
            <w:tcW w:w="1369" w:type="pct"/>
            <w:noWrap w:val="0"/>
            <w:vAlign w:val="center"/>
          </w:tcPr>
          <w:p w14:paraId="0831905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2"/>
                <w:sz w:val="21"/>
                <w:szCs w:val="21"/>
              </w:rPr>
              <w:t>附</w:t>
            </w:r>
            <w:r>
              <w:rPr>
                <w:rFonts w:hint="default" w:ascii="Times New Roman" w:hAnsi="Times New Roman" w:eastAsia="宋体" w:cs="Times New Roman"/>
                <w:b w:val="0"/>
                <w:bCs w:val="0"/>
                <w:color w:val="auto"/>
                <w:spacing w:val="-11"/>
                <w:sz w:val="21"/>
                <w:szCs w:val="21"/>
              </w:rPr>
              <w:t>件</w:t>
            </w:r>
          </w:p>
        </w:tc>
        <w:tc>
          <w:tcPr>
            <w:tcW w:w="3265" w:type="pct"/>
            <w:noWrap w:val="0"/>
            <w:vAlign w:val="center"/>
          </w:tcPr>
          <w:p w14:paraId="60F06E0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与应急事故有关的</w:t>
            </w:r>
            <w:r>
              <w:rPr>
                <w:rFonts w:hint="default" w:ascii="Times New Roman" w:hAnsi="Times New Roman" w:eastAsia="宋体" w:cs="Times New Roman"/>
                <w:b w:val="0"/>
                <w:bCs w:val="0"/>
                <w:color w:val="auto"/>
                <w:sz w:val="21"/>
                <w:szCs w:val="21"/>
              </w:rPr>
              <w:t>多种附件材料的准备和形成</w:t>
            </w:r>
          </w:p>
        </w:tc>
      </w:tr>
    </w:tbl>
    <w:p w14:paraId="2F51D514">
      <w:pPr>
        <w:pStyle w:val="1399"/>
        <w:keepNext w:val="0"/>
        <w:keepLines w:val="0"/>
        <w:pageBreakBefore w:val="0"/>
        <w:kinsoku/>
        <w:wordWrap/>
        <w:overflowPunct/>
        <w:topLinePunct w:val="0"/>
        <w:bidi w:val="0"/>
        <w:adjustRightInd w:val="0"/>
        <w:snapToGrid w:val="0"/>
        <w:spacing w:line="360" w:lineRule="auto"/>
        <w:ind w:left="0" w:leftChars="0" w:right="0"/>
        <w:textAlignment w:val="auto"/>
        <w:outlineLvl w:val="9"/>
        <w:rPr>
          <w:rFonts w:hint="default" w:ascii="Times New Roman" w:hAnsi="Times New Roman" w:eastAsia="宋体" w:cs="Times New Roman"/>
          <w:b/>
          <w:bCs w:val="0"/>
          <w:color w:val="auto"/>
          <w:sz w:val="28"/>
          <w:szCs w:val="28"/>
          <w:lang w:val="en-US" w:eastAsia="zh-CN"/>
        </w:rPr>
      </w:pPr>
      <w:bookmarkStart w:id="99" w:name="_Toc30214"/>
      <w:r>
        <w:rPr>
          <w:rFonts w:hint="default" w:ascii="Times New Roman" w:hAnsi="Times New Roman" w:eastAsia="宋体" w:cs="Times New Roman"/>
          <w:b/>
          <w:bCs w:val="0"/>
          <w:color w:val="auto"/>
          <w:sz w:val="28"/>
          <w:szCs w:val="28"/>
          <w:lang w:val="en-US" w:eastAsia="zh-CN"/>
        </w:rPr>
        <w:t>7.5.1 应急计划区</w:t>
      </w:r>
      <w:bookmarkEnd w:id="99"/>
    </w:p>
    <w:p w14:paraId="7B40A612">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00" w:name="_Toc24525"/>
      <w:bookmarkStart w:id="101" w:name="_Toc27787"/>
      <w:bookmarkStart w:id="102" w:name="_Toc577"/>
      <w:r>
        <w:rPr>
          <w:rFonts w:hint="default" w:ascii="Times New Roman" w:hAnsi="Times New Roman" w:eastAsia="宋体" w:cs="Times New Roman"/>
          <w:color w:val="auto"/>
          <w:kern w:val="0"/>
          <w:sz w:val="24"/>
          <w:szCs w:val="24"/>
          <w:highlight w:val="none"/>
          <w:lang w:val="en-US" w:eastAsia="zh-CN"/>
        </w:rPr>
        <w:t>根据项目使用、生产、和储运危险化学品的种类、数量、危险物质以及可能引起的重大事故的特点，通过重大危险源辨识，确定生产区、仓库构成生产场所重大危险源；生产区、仓库等作为公司的主要危险目标即应急计划区。</w:t>
      </w:r>
      <w:bookmarkEnd w:id="100"/>
      <w:bookmarkEnd w:id="101"/>
      <w:bookmarkEnd w:id="102"/>
    </w:p>
    <w:p w14:paraId="1C708DB2">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03" w:name="_Toc8754"/>
      <w:bookmarkStart w:id="104" w:name="_Toc26065"/>
      <w:bookmarkStart w:id="105" w:name="_Toc28443"/>
      <w:r>
        <w:rPr>
          <w:rFonts w:hint="default" w:ascii="Times New Roman" w:hAnsi="Times New Roman" w:eastAsia="宋体" w:cs="Times New Roman"/>
          <w:color w:val="auto"/>
          <w:kern w:val="0"/>
          <w:sz w:val="24"/>
          <w:szCs w:val="24"/>
          <w:highlight w:val="none"/>
          <w:lang w:val="en-US" w:eastAsia="zh-CN"/>
        </w:rPr>
        <w:t>根据发生事故的大小和应急监测的结果，以及发生时的气象条件，确立应急保护目标，应急撤离半径范围内的村庄作为重点应急保护目标，项目周边5km范围内的居民应作为关注目标，将根据事故的处理情况作进一步决定。</w:t>
      </w:r>
      <w:bookmarkEnd w:id="103"/>
      <w:bookmarkEnd w:id="104"/>
      <w:bookmarkEnd w:id="105"/>
    </w:p>
    <w:p w14:paraId="61459CDE">
      <w:pPr>
        <w:pStyle w:val="1399"/>
        <w:keepNext w:val="0"/>
        <w:keepLines w:val="0"/>
        <w:pageBreakBefore w:val="0"/>
        <w:kinsoku/>
        <w:wordWrap/>
        <w:overflowPunct/>
        <w:topLinePunct w:val="0"/>
        <w:bidi w:val="0"/>
        <w:adjustRightInd w:val="0"/>
        <w:snapToGrid w:val="0"/>
        <w:spacing w:line="360" w:lineRule="auto"/>
        <w:ind w:left="0" w:leftChars="0" w:right="0"/>
        <w:textAlignment w:val="auto"/>
        <w:outlineLvl w:val="9"/>
        <w:rPr>
          <w:rFonts w:hint="default" w:ascii="Times New Roman" w:hAnsi="Times New Roman" w:eastAsia="宋体" w:cs="Times New Roman"/>
          <w:b/>
          <w:bCs w:val="0"/>
          <w:color w:val="auto"/>
          <w:sz w:val="28"/>
          <w:szCs w:val="28"/>
          <w:lang w:val="en-US" w:eastAsia="zh-CN"/>
        </w:rPr>
      </w:pPr>
      <w:bookmarkStart w:id="106" w:name="_Toc3806"/>
      <w:r>
        <w:rPr>
          <w:rFonts w:hint="default" w:ascii="Times New Roman" w:hAnsi="Times New Roman" w:eastAsia="宋体" w:cs="Times New Roman"/>
          <w:b/>
          <w:bCs w:val="0"/>
          <w:color w:val="auto"/>
          <w:sz w:val="28"/>
          <w:szCs w:val="28"/>
          <w:lang w:val="en-US" w:eastAsia="zh-CN"/>
        </w:rPr>
        <w:t>7.5.2 应急组织机构、人员</w:t>
      </w:r>
      <w:bookmarkEnd w:id="106"/>
    </w:p>
    <w:p w14:paraId="67B1DC1C">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07" w:name="_Toc12773"/>
      <w:bookmarkStart w:id="108" w:name="_Toc9854"/>
      <w:bookmarkStart w:id="109" w:name="_Toc27600"/>
      <w:r>
        <w:rPr>
          <w:rFonts w:hint="default" w:ascii="Times New Roman" w:hAnsi="Times New Roman" w:eastAsia="宋体" w:cs="Times New Roman"/>
          <w:color w:val="auto"/>
          <w:kern w:val="0"/>
          <w:sz w:val="24"/>
          <w:szCs w:val="24"/>
          <w:highlight w:val="none"/>
          <w:lang w:val="en-US" w:eastAsia="zh-CN"/>
        </w:rPr>
        <w:t>公司设立应急指挥中心，总指挥由公司总经理担任，副总经理任副总指挥。成员由各部门负责人组成。预案本着专业对口，便于领导、集结的原则，明确了各部门的职责和分工。一旦发生事故，即可负责事故控制、救援、善后处理，应急预案机构设置及人员组成见下表。</w:t>
      </w:r>
      <w:bookmarkEnd w:id="107"/>
      <w:bookmarkEnd w:id="108"/>
      <w:bookmarkEnd w:id="109"/>
    </w:p>
    <w:p w14:paraId="778DCDA6">
      <w:pPr>
        <w:pStyle w:val="1399"/>
        <w:keepNext w:val="0"/>
        <w:keepLines w:val="0"/>
        <w:pageBreakBefore w:val="0"/>
        <w:kinsoku/>
        <w:wordWrap/>
        <w:overflowPunct/>
        <w:topLinePunct w:val="0"/>
        <w:bidi w:val="0"/>
        <w:adjustRightInd w:val="0"/>
        <w:snapToGrid w:val="0"/>
        <w:spacing w:line="360" w:lineRule="auto"/>
        <w:ind w:left="0" w:leftChars="0" w:right="0" w:firstLine="482" w:firstLineChars="200"/>
        <w:jc w:val="center"/>
        <w:textAlignment w:val="auto"/>
        <w:outlineLvl w:val="9"/>
        <w:rPr>
          <w:rFonts w:hint="default" w:ascii="Times New Roman" w:hAnsi="Times New Roman" w:eastAsia="宋体" w:cs="Times New Roman"/>
          <w:b/>
          <w:bCs w:val="0"/>
          <w:color w:val="auto"/>
          <w:kern w:val="0"/>
          <w:sz w:val="24"/>
          <w:szCs w:val="24"/>
          <w:lang w:val="en-US" w:eastAsia="zh-CN" w:bidi="ar"/>
        </w:rPr>
      </w:pPr>
      <w:bookmarkStart w:id="110" w:name="_Toc6915"/>
      <w:bookmarkStart w:id="111" w:name="_Toc4607"/>
      <w:bookmarkStart w:id="112" w:name="_Toc4797"/>
      <w:r>
        <w:rPr>
          <w:rFonts w:hint="default" w:ascii="Times New Roman" w:hAnsi="Times New Roman" w:eastAsia="宋体" w:cs="Times New Roman"/>
          <w:b/>
          <w:bCs w:val="0"/>
          <w:color w:val="auto"/>
          <w:kern w:val="0"/>
          <w:sz w:val="24"/>
          <w:szCs w:val="24"/>
          <w:lang w:val="en-US" w:eastAsia="zh-CN" w:bidi="ar"/>
        </w:rPr>
        <w:t>表7.5-2   应急预案机构组成人员一览</w:t>
      </w:r>
      <w:bookmarkEnd w:id="110"/>
      <w:bookmarkEnd w:id="111"/>
      <w:bookmarkEnd w:id="112"/>
    </w:p>
    <w:tbl>
      <w:tblPr>
        <w:tblStyle w:val="1390"/>
        <w:tblW w:w="4998" w:type="pct"/>
        <w:jc w:val="center"/>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autofit"/>
        <w:tblCellMar>
          <w:top w:w="0" w:type="dxa"/>
          <w:left w:w="0" w:type="dxa"/>
          <w:bottom w:w="0" w:type="dxa"/>
          <w:right w:w="0" w:type="dxa"/>
        </w:tblCellMar>
      </w:tblPr>
      <w:tblGrid>
        <w:gridCol w:w="1349"/>
        <w:gridCol w:w="4728"/>
        <w:gridCol w:w="2236"/>
      </w:tblGrid>
      <w:tr w14:paraId="7AA2BC36">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811" w:type="pct"/>
            <w:tcBorders>
              <w:right w:val="single" w:color="000000" w:sz="4" w:space="0"/>
            </w:tcBorders>
            <w:noWrap w:val="0"/>
            <w:vAlign w:val="center"/>
          </w:tcPr>
          <w:p w14:paraId="58FB7CA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预案组成</w:t>
            </w:r>
          </w:p>
        </w:tc>
        <w:tc>
          <w:tcPr>
            <w:tcW w:w="2843" w:type="pct"/>
            <w:tcBorders>
              <w:left w:val="single" w:color="000000" w:sz="4" w:space="0"/>
              <w:right w:val="single" w:color="000000" w:sz="4" w:space="0"/>
            </w:tcBorders>
            <w:noWrap w:val="0"/>
            <w:vAlign w:val="center"/>
          </w:tcPr>
          <w:p w14:paraId="61A1156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预案机构负责人</w:t>
            </w:r>
          </w:p>
        </w:tc>
        <w:tc>
          <w:tcPr>
            <w:tcW w:w="1344" w:type="pct"/>
            <w:tcBorders>
              <w:left w:val="single" w:color="000000" w:sz="4" w:space="0"/>
            </w:tcBorders>
            <w:noWrap w:val="0"/>
            <w:vAlign w:val="center"/>
          </w:tcPr>
          <w:p w14:paraId="30BB939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下属负责人</w:t>
            </w:r>
          </w:p>
        </w:tc>
      </w:tr>
      <w:tr w14:paraId="323EF7D8">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2" w:hRule="atLeast"/>
          <w:jc w:val="center"/>
        </w:trPr>
        <w:tc>
          <w:tcPr>
            <w:tcW w:w="811" w:type="pct"/>
            <w:tcBorders>
              <w:right w:val="single" w:color="000000" w:sz="4" w:space="0"/>
            </w:tcBorders>
            <w:noWrap w:val="0"/>
            <w:vAlign w:val="center"/>
          </w:tcPr>
          <w:p w14:paraId="1240847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应急指挥中心</w:t>
            </w:r>
          </w:p>
        </w:tc>
        <w:tc>
          <w:tcPr>
            <w:tcW w:w="2843" w:type="pct"/>
            <w:tcBorders>
              <w:left w:val="single" w:color="000000" w:sz="4" w:space="0"/>
            </w:tcBorders>
            <w:noWrap w:val="0"/>
            <w:vAlign w:val="center"/>
          </w:tcPr>
          <w:p w14:paraId="0389D9C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总经理任总指挥，主管生产、设备、技术、经营的副总 经理任副总指挥</w:t>
            </w:r>
          </w:p>
        </w:tc>
        <w:tc>
          <w:tcPr>
            <w:tcW w:w="1344" w:type="pct"/>
            <w:noWrap w:val="0"/>
            <w:vAlign w:val="center"/>
          </w:tcPr>
          <w:p w14:paraId="00AFE98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各下属部门负责人</w:t>
            </w:r>
          </w:p>
        </w:tc>
      </w:tr>
      <w:tr w14:paraId="0A41179B">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68" w:hRule="atLeast"/>
          <w:jc w:val="center"/>
        </w:trPr>
        <w:tc>
          <w:tcPr>
            <w:tcW w:w="811" w:type="pct"/>
            <w:noWrap w:val="0"/>
            <w:vAlign w:val="center"/>
          </w:tcPr>
          <w:p w14:paraId="49C6405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分指挥中心</w:t>
            </w:r>
          </w:p>
        </w:tc>
        <w:tc>
          <w:tcPr>
            <w:tcW w:w="2843" w:type="pct"/>
            <w:noWrap w:val="0"/>
            <w:vAlign w:val="center"/>
          </w:tcPr>
          <w:p w14:paraId="08FBC40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各车间主任担任指挥组长，工艺、设备副主任任副组长</w:t>
            </w:r>
          </w:p>
        </w:tc>
        <w:tc>
          <w:tcPr>
            <w:tcW w:w="1344" w:type="pct"/>
            <w:noWrap w:val="0"/>
            <w:vAlign w:val="center"/>
          </w:tcPr>
          <w:p w14:paraId="76A807A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工段长、技术员、安全员、 班组长</w:t>
            </w:r>
          </w:p>
        </w:tc>
      </w:tr>
    </w:tbl>
    <w:p w14:paraId="5231BBA7">
      <w:pPr>
        <w:pStyle w:val="1399"/>
        <w:keepNext w:val="0"/>
        <w:keepLines w:val="0"/>
        <w:pageBreakBefore w:val="0"/>
        <w:kinsoku/>
        <w:wordWrap/>
        <w:overflowPunct/>
        <w:topLinePunct w:val="0"/>
        <w:bidi w:val="0"/>
        <w:adjustRightInd w:val="0"/>
        <w:snapToGrid w:val="0"/>
        <w:spacing w:line="360" w:lineRule="auto"/>
        <w:ind w:left="0" w:leftChars="0" w:right="0"/>
        <w:textAlignment w:val="auto"/>
        <w:outlineLvl w:val="9"/>
        <w:rPr>
          <w:rFonts w:hint="default" w:ascii="Times New Roman" w:hAnsi="Times New Roman" w:eastAsia="宋体" w:cs="Times New Roman"/>
          <w:b/>
          <w:bCs w:val="0"/>
          <w:color w:val="auto"/>
          <w:sz w:val="28"/>
          <w:szCs w:val="28"/>
          <w:lang w:val="en-US" w:eastAsia="zh-CN"/>
        </w:rPr>
      </w:pPr>
      <w:bookmarkStart w:id="113" w:name="_Toc19807"/>
      <w:r>
        <w:rPr>
          <w:rFonts w:hint="default" w:ascii="Times New Roman" w:hAnsi="Times New Roman" w:eastAsia="宋体" w:cs="Times New Roman"/>
          <w:b/>
          <w:bCs w:val="0"/>
          <w:color w:val="auto"/>
          <w:sz w:val="28"/>
          <w:szCs w:val="28"/>
          <w:lang w:val="en-US" w:eastAsia="zh-CN"/>
        </w:rPr>
        <w:t>7.5.3 预案分级响应</w:t>
      </w:r>
      <w:bookmarkEnd w:id="113"/>
    </w:p>
    <w:p w14:paraId="1CC52183">
      <w:pPr>
        <w:pStyle w:val="1399"/>
        <w:keepNext w:val="0"/>
        <w:keepLines w:val="0"/>
        <w:pageBreakBefore w:val="0"/>
        <w:kinsoku/>
        <w:wordWrap/>
        <w:overflowPunct/>
        <w:topLinePunct w:val="0"/>
        <w:bidi w:val="0"/>
        <w:adjustRightInd w:val="0"/>
        <w:snapToGrid w:val="0"/>
        <w:spacing w:line="360" w:lineRule="auto"/>
        <w:ind w:left="0" w:leftChars="0" w:right="0" w:firstLine="482" w:firstLineChars="200"/>
        <w:textAlignment w:val="auto"/>
        <w:outlineLvl w:val="9"/>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ab/>
      </w:r>
      <w:bookmarkStart w:id="114" w:name="_Toc5422"/>
      <w:bookmarkStart w:id="115" w:name="_Toc15657"/>
      <w:bookmarkStart w:id="116" w:name="_Toc31308"/>
      <w:r>
        <w:rPr>
          <w:rFonts w:hint="default" w:ascii="Times New Roman" w:hAnsi="Times New Roman" w:eastAsia="宋体" w:cs="Times New Roman"/>
          <w:color w:val="auto"/>
          <w:kern w:val="0"/>
          <w:sz w:val="24"/>
          <w:szCs w:val="24"/>
          <w:lang w:val="en-US" w:eastAsia="zh-CN" w:bidi="ar"/>
        </w:rPr>
        <w:t>（一）  突发事故应急响应机制</w:t>
      </w:r>
      <w:bookmarkEnd w:id="114"/>
      <w:bookmarkEnd w:id="115"/>
      <w:bookmarkEnd w:id="116"/>
    </w:p>
    <w:p w14:paraId="59C253EB">
      <w:pPr>
        <w:pStyle w:val="1399"/>
        <w:keepNext w:val="0"/>
        <w:keepLines w:val="0"/>
        <w:pageBreakBefore w:val="0"/>
        <w:kinsoku/>
        <w:wordWrap/>
        <w:overflowPunct/>
        <w:topLinePunct w:val="0"/>
        <w:bidi w:val="0"/>
        <w:adjustRightInd w:val="0"/>
        <w:snapToGrid w:val="0"/>
        <w:spacing w:line="360" w:lineRule="auto"/>
        <w:ind w:left="0" w:leftChars="0" w:right="0" w:firstLine="482" w:firstLineChars="200"/>
        <w:jc w:val="center"/>
        <w:textAlignment w:val="auto"/>
        <w:outlineLvl w:val="9"/>
        <w:rPr>
          <w:rFonts w:hint="default" w:ascii="Times New Roman" w:hAnsi="Times New Roman" w:eastAsia="宋体" w:cs="Times New Roman"/>
          <w:b/>
          <w:bCs w:val="0"/>
          <w:color w:val="auto"/>
          <w:kern w:val="0"/>
          <w:sz w:val="24"/>
          <w:szCs w:val="24"/>
          <w:lang w:val="en-US" w:eastAsia="zh-CN" w:bidi="ar"/>
        </w:rPr>
      </w:pPr>
      <w:bookmarkStart w:id="117" w:name="_Toc10989"/>
      <w:bookmarkStart w:id="118" w:name="_Toc1229"/>
      <w:bookmarkStart w:id="119" w:name="_Toc25828"/>
      <w:r>
        <w:rPr>
          <w:rFonts w:hint="default" w:ascii="Times New Roman" w:hAnsi="Times New Roman" w:eastAsia="宋体" w:cs="Times New Roman"/>
          <w:b/>
          <w:bCs w:val="0"/>
          <w:color w:val="auto"/>
          <w:kern w:val="0"/>
          <w:sz w:val="24"/>
          <w:szCs w:val="24"/>
          <w:lang w:val="en-US" w:eastAsia="zh-CN" w:bidi="ar"/>
        </w:rPr>
        <w:t>表 7.5-3   突发事故应急响应机制</w:t>
      </w:r>
      <w:bookmarkEnd w:id="117"/>
      <w:bookmarkEnd w:id="118"/>
      <w:bookmarkEnd w:id="119"/>
    </w:p>
    <w:tbl>
      <w:tblPr>
        <w:tblStyle w:val="1390"/>
        <w:tblW w:w="4998" w:type="pct"/>
        <w:tblInd w:w="0" w:type="dxa"/>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autofit"/>
        <w:tblCellMar>
          <w:top w:w="0" w:type="dxa"/>
          <w:left w:w="0" w:type="dxa"/>
          <w:bottom w:w="0" w:type="dxa"/>
          <w:right w:w="0" w:type="dxa"/>
        </w:tblCellMar>
      </w:tblPr>
      <w:tblGrid>
        <w:gridCol w:w="908"/>
        <w:gridCol w:w="961"/>
        <w:gridCol w:w="2783"/>
        <w:gridCol w:w="3661"/>
      </w:tblGrid>
      <w:tr w14:paraId="6797EE56">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546" w:type="pct"/>
            <w:tcBorders>
              <w:right w:val="single" w:color="000000" w:sz="4" w:space="0"/>
            </w:tcBorders>
            <w:noWrap w:val="0"/>
            <w:vAlign w:val="center"/>
          </w:tcPr>
          <w:p w14:paraId="0DB9ADD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分级类别</w:t>
            </w:r>
          </w:p>
        </w:tc>
        <w:tc>
          <w:tcPr>
            <w:tcW w:w="578" w:type="pct"/>
            <w:tcBorders>
              <w:left w:val="single" w:color="000000" w:sz="4" w:space="0"/>
              <w:right w:val="single" w:color="000000" w:sz="6" w:space="0"/>
            </w:tcBorders>
            <w:noWrap w:val="0"/>
            <w:vAlign w:val="center"/>
          </w:tcPr>
          <w:p w14:paraId="5462ACA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响应级别</w:t>
            </w:r>
          </w:p>
        </w:tc>
        <w:tc>
          <w:tcPr>
            <w:tcW w:w="1673" w:type="pct"/>
            <w:tcBorders>
              <w:left w:val="single" w:color="000000" w:sz="6" w:space="0"/>
              <w:right w:val="single" w:color="000000" w:sz="4" w:space="0"/>
            </w:tcBorders>
            <w:noWrap w:val="0"/>
            <w:vAlign w:val="center"/>
          </w:tcPr>
          <w:p w14:paraId="1EC6E69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分级条件</w:t>
            </w:r>
          </w:p>
        </w:tc>
        <w:tc>
          <w:tcPr>
            <w:tcW w:w="2201" w:type="pct"/>
            <w:tcBorders>
              <w:left w:val="single" w:color="000000" w:sz="4" w:space="0"/>
            </w:tcBorders>
            <w:noWrap w:val="0"/>
            <w:vAlign w:val="center"/>
          </w:tcPr>
          <w:p w14:paraId="64CCDE9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响应内容</w:t>
            </w:r>
          </w:p>
        </w:tc>
      </w:tr>
      <w:tr w14:paraId="45E4732F">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817" w:hRule="atLeast"/>
        </w:trPr>
        <w:tc>
          <w:tcPr>
            <w:tcW w:w="546" w:type="pct"/>
            <w:tcBorders>
              <w:right w:val="single" w:color="000000" w:sz="4" w:space="0"/>
            </w:tcBorders>
            <w:noWrap w:val="0"/>
            <w:vAlign w:val="center"/>
          </w:tcPr>
          <w:p w14:paraId="6F8593F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工段级事故</w:t>
            </w:r>
          </w:p>
        </w:tc>
        <w:tc>
          <w:tcPr>
            <w:tcW w:w="578" w:type="pct"/>
            <w:vMerge w:val="restart"/>
            <w:tcBorders>
              <w:left w:val="single" w:color="000000" w:sz="4" w:space="0"/>
              <w:right w:val="single" w:color="000000" w:sz="6" w:space="0"/>
            </w:tcBorders>
            <w:noWrap w:val="0"/>
            <w:vAlign w:val="center"/>
          </w:tcPr>
          <w:p w14:paraId="4D89595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lang w:val="en-US" w:eastAsia="zh-CN"/>
              </w:rPr>
              <w:t>一</w:t>
            </w:r>
            <w:r>
              <w:rPr>
                <w:rFonts w:hint="default" w:ascii="Times New Roman" w:hAnsi="Times New Roman" w:eastAsia="宋体" w:cs="Times New Roman"/>
                <w:b w:val="0"/>
                <w:bCs w:val="0"/>
                <w:color w:val="auto"/>
                <w:spacing w:val="-1"/>
                <w:sz w:val="21"/>
                <w:szCs w:val="21"/>
              </w:rPr>
              <w:t>级预案响应</w:t>
            </w:r>
          </w:p>
        </w:tc>
        <w:tc>
          <w:tcPr>
            <w:tcW w:w="1673" w:type="pct"/>
            <w:tcBorders>
              <w:left w:val="single" w:color="000000" w:sz="6" w:space="0"/>
            </w:tcBorders>
            <w:noWrap w:val="0"/>
            <w:vAlign w:val="center"/>
          </w:tcPr>
          <w:p w14:paraId="3DC59F0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此类事故可由本工段技术人员简单控制，并能有效阻止危险物质扩散，及时修复并恢复生产。</w:t>
            </w:r>
          </w:p>
        </w:tc>
        <w:tc>
          <w:tcPr>
            <w:tcW w:w="2201" w:type="pct"/>
            <w:noWrap w:val="0"/>
            <w:vAlign w:val="center"/>
          </w:tcPr>
          <w:p w14:paraId="74543F4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此类事故直接上报工段负责人，并由工段技术人员尽快控制事故源。若事故未能有效控制则提升事故响应级别</w:t>
            </w:r>
          </w:p>
        </w:tc>
      </w:tr>
      <w:tr w14:paraId="05932444">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1089" w:hRule="atLeast"/>
        </w:trPr>
        <w:tc>
          <w:tcPr>
            <w:tcW w:w="546" w:type="pct"/>
            <w:tcBorders>
              <w:right w:val="single" w:color="000000" w:sz="4" w:space="0"/>
            </w:tcBorders>
            <w:noWrap w:val="0"/>
            <w:vAlign w:val="center"/>
          </w:tcPr>
          <w:p w14:paraId="021F106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车间级事故</w:t>
            </w:r>
          </w:p>
        </w:tc>
        <w:tc>
          <w:tcPr>
            <w:tcW w:w="578" w:type="pct"/>
            <w:vMerge w:val="continue"/>
            <w:tcBorders>
              <w:left w:val="single" w:color="000000" w:sz="4" w:space="0"/>
              <w:right w:val="single" w:color="000000" w:sz="6" w:space="0"/>
            </w:tcBorders>
            <w:noWrap w:val="0"/>
            <w:vAlign w:val="center"/>
          </w:tcPr>
          <w:p w14:paraId="2211F67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1673" w:type="pct"/>
            <w:tcBorders>
              <w:left w:val="single" w:color="000000" w:sz="6" w:space="0"/>
              <w:right w:val="single" w:color="000000" w:sz="4" w:space="0"/>
            </w:tcBorders>
            <w:noWrap w:val="0"/>
            <w:vAlign w:val="center"/>
          </w:tcPr>
          <w:p w14:paraId="4D38B41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此类事故可</w:t>
            </w:r>
            <w:r>
              <w:rPr>
                <w:rFonts w:hint="eastAsia" w:cs="Times New Roman"/>
                <w:b w:val="0"/>
                <w:bCs w:val="0"/>
                <w:color w:val="auto"/>
                <w:spacing w:val="-1"/>
                <w:sz w:val="21"/>
                <w:szCs w:val="21"/>
                <w:lang w:eastAsia="zh-CN"/>
              </w:rPr>
              <w:t>由</w:t>
            </w:r>
            <w:r>
              <w:rPr>
                <w:rFonts w:hint="default" w:ascii="Times New Roman" w:hAnsi="Times New Roman" w:eastAsia="宋体" w:cs="Times New Roman"/>
                <w:b w:val="0"/>
                <w:bCs w:val="0"/>
                <w:color w:val="auto"/>
                <w:spacing w:val="-1"/>
                <w:sz w:val="21"/>
                <w:szCs w:val="21"/>
              </w:rPr>
              <w:t>本车间技术人员尽快控制，能将危险物质有效控制于车间范围内，可及时修复或短时间恢复生产。</w:t>
            </w:r>
          </w:p>
        </w:tc>
        <w:tc>
          <w:tcPr>
            <w:tcW w:w="2201" w:type="pct"/>
            <w:tcBorders>
              <w:left w:val="single" w:color="000000" w:sz="4" w:space="0"/>
            </w:tcBorders>
            <w:noWrap w:val="0"/>
            <w:vAlign w:val="center"/>
          </w:tcPr>
          <w:p w14:paraId="13628D4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此类事故由当班技术人员向工段负责人汇报，并及时转报车间负责人，由车间技术人员汇总，综合控制事故，将事故影响控制于车间内。若事故未能及时控制则提升事故响应级别</w:t>
            </w:r>
          </w:p>
        </w:tc>
      </w:tr>
      <w:tr w14:paraId="36B212C8">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1632" w:hRule="atLeast"/>
        </w:trPr>
        <w:tc>
          <w:tcPr>
            <w:tcW w:w="546" w:type="pct"/>
            <w:tcBorders>
              <w:right w:val="single" w:color="000000" w:sz="4" w:space="0"/>
            </w:tcBorders>
            <w:noWrap w:val="0"/>
            <w:vAlign w:val="center"/>
          </w:tcPr>
          <w:p w14:paraId="59BA7A7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p w14:paraId="615FF02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p w14:paraId="48943EB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公司级事故</w:t>
            </w:r>
          </w:p>
        </w:tc>
        <w:tc>
          <w:tcPr>
            <w:tcW w:w="578" w:type="pct"/>
            <w:tcBorders>
              <w:left w:val="single" w:color="000000" w:sz="4" w:space="0"/>
              <w:right w:val="single" w:color="000000" w:sz="6" w:space="0"/>
            </w:tcBorders>
            <w:noWrap w:val="0"/>
            <w:vAlign w:val="center"/>
          </w:tcPr>
          <w:p w14:paraId="035AA6F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p w14:paraId="5635E61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p w14:paraId="286D5AB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二级预案响应</w:t>
            </w:r>
          </w:p>
        </w:tc>
        <w:tc>
          <w:tcPr>
            <w:tcW w:w="1673" w:type="pct"/>
            <w:tcBorders>
              <w:left w:val="single" w:color="000000" w:sz="6" w:space="0"/>
            </w:tcBorders>
            <w:noWrap w:val="0"/>
            <w:vAlign w:val="center"/>
          </w:tcPr>
          <w:p w14:paraId="718A4E4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此类事故应可以由公司技术人员控制，将危险物质控制与分厂范围内，并能够将事故影响控制在厂区、公司范围内，能够尽快恢复或在停产的情况下控制事故影响，阻止危险物质进入外环境。</w:t>
            </w:r>
          </w:p>
        </w:tc>
        <w:tc>
          <w:tcPr>
            <w:tcW w:w="2201" w:type="pct"/>
            <w:noWrap w:val="0"/>
            <w:vAlign w:val="center"/>
          </w:tcPr>
          <w:p w14:paraId="331A487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此类事故由当班技术人员向工段负责人汇报，并及时转报车间负责人、分厂负责人、公司负责人，由公司技术人员汇总并对事故进行综合控制，将事故影响控制于公司范围内。若事故未能及时控制则提升事故响应级别</w:t>
            </w:r>
          </w:p>
        </w:tc>
      </w:tr>
      <w:tr w14:paraId="24A71E17">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1114" w:hRule="atLeast"/>
        </w:trPr>
        <w:tc>
          <w:tcPr>
            <w:tcW w:w="546" w:type="pct"/>
            <w:noWrap w:val="0"/>
            <w:vAlign w:val="center"/>
          </w:tcPr>
          <w:p w14:paraId="66A8DBB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区域环境事故</w:t>
            </w:r>
          </w:p>
        </w:tc>
        <w:tc>
          <w:tcPr>
            <w:tcW w:w="578" w:type="pct"/>
            <w:noWrap w:val="0"/>
            <w:vAlign w:val="center"/>
          </w:tcPr>
          <w:p w14:paraId="7A59662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三级预案响应</w:t>
            </w:r>
          </w:p>
        </w:tc>
        <w:tc>
          <w:tcPr>
            <w:tcW w:w="1673" w:type="pct"/>
            <w:noWrap w:val="0"/>
            <w:vAlign w:val="center"/>
          </w:tcPr>
          <w:p w14:paraId="0EBAC99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由项目事故引发的外环境污染事故</w:t>
            </w:r>
          </w:p>
        </w:tc>
        <w:tc>
          <w:tcPr>
            <w:tcW w:w="2201" w:type="pct"/>
            <w:noWrap w:val="0"/>
            <w:vAlign w:val="center"/>
          </w:tcPr>
          <w:p w14:paraId="3747BE0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公司预案执行未能及时控制事故影响，并对外环境产生影响，由公司指挥中心向区域救援中心汇报，区域救援中心负责人上升为事故第一响应人</w:t>
            </w:r>
          </w:p>
        </w:tc>
      </w:tr>
    </w:tbl>
    <w:p w14:paraId="554BE802">
      <w:pPr>
        <w:pStyle w:val="1399"/>
        <w:keepNext w:val="0"/>
        <w:keepLines w:val="0"/>
        <w:pageBreakBefore w:val="0"/>
        <w:kinsoku/>
        <w:wordWrap/>
        <w:overflowPunct/>
        <w:topLinePunct w:val="0"/>
        <w:bidi w:val="0"/>
        <w:adjustRightInd w:val="0"/>
        <w:snapToGrid w:val="0"/>
        <w:spacing w:line="360" w:lineRule="auto"/>
        <w:ind w:left="0" w:leftChars="0" w:right="0" w:firstLine="482" w:firstLineChars="200"/>
        <w:textAlignment w:val="auto"/>
        <w:outlineLvl w:val="9"/>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ab/>
      </w:r>
      <w:bookmarkStart w:id="120" w:name="_Toc5685"/>
      <w:bookmarkStart w:id="121" w:name="_Toc25180"/>
      <w:bookmarkStart w:id="122" w:name="_Toc6616"/>
      <w:r>
        <w:rPr>
          <w:rFonts w:hint="default" w:ascii="Times New Roman" w:hAnsi="Times New Roman" w:eastAsia="宋体" w:cs="Times New Roman"/>
          <w:color w:val="auto"/>
          <w:kern w:val="0"/>
          <w:sz w:val="24"/>
          <w:szCs w:val="24"/>
          <w:lang w:val="en-US" w:eastAsia="zh-CN" w:bidi="ar"/>
        </w:rPr>
        <w:t>（二） 区域应急联动</w:t>
      </w:r>
      <w:bookmarkEnd w:id="120"/>
      <w:bookmarkEnd w:id="121"/>
      <w:bookmarkEnd w:id="122"/>
    </w:p>
    <w:p w14:paraId="45A113E4">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23" w:name="_Toc24803"/>
      <w:bookmarkStart w:id="124" w:name="_Toc6250"/>
      <w:bookmarkStart w:id="125" w:name="_Toc21172"/>
      <w:r>
        <w:rPr>
          <w:rFonts w:hint="default" w:ascii="Times New Roman" w:hAnsi="Times New Roman" w:eastAsia="宋体" w:cs="Times New Roman"/>
          <w:color w:val="auto"/>
          <w:kern w:val="0"/>
          <w:sz w:val="24"/>
          <w:szCs w:val="24"/>
          <w:highlight w:val="none"/>
          <w:lang w:val="en-US" w:eastAsia="zh-CN"/>
        </w:rPr>
        <w:t>当厂区发生突发环境事件时首先启动企业应急预案进行紧急处理，若污染物扩散出厂界、企业应急预案无法应对时应启动区域应急预案，进行区域范围内应急响应，企业应急预案同时保持响应；若污染物扩散出区域边界时应及时通知淄川区人民政府及周边区县政府，启动区域突发环境事件应急预案，进行区县范围内应急响应，区域应急预案和企业应急预案同时保持响应。</w:t>
      </w:r>
      <w:bookmarkEnd w:id="123"/>
      <w:bookmarkEnd w:id="124"/>
      <w:bookmarkEnd w:id="125"/>
    </w:p>
    <w:p w14:paraId="579AA4E0">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26" w:name="_Toc24191"/>
      <w:bookmarkStart w:id="127" w:name="_Toc13479"/>
      <w:bookmarkStart w:id="128" w:name="_Toc25885"/>
      <w:r>
        <w:rPr>
          <w:rFonts w:hint="default" w:ascii="Times New Roman" w:hAnsi="Times New Roman" w:eastAsia="宋体" w:cs="Times New Roman"/>
          <w:color w:val="auto"/>
          <w:kern w:val="0"/>
          <w:sz w:val="24"/>
          <w:szCs w:val="24"/>
          <w:highlight w:val="none"/>
          <w:lang w:val="en-US" w:eastAsia="zh-CN"/>
        </w:rPr>
        <w:t>当发生火灾时，企业安全预案和突发环境事件应急预案同时启动，安全应急预案关注企业内部和外部的生命安全，突发环境事件应急预案关注火灾事故发生后的环境后果及次生污染危害，两预案相互补充、相互配合，能使企业内部和周围生命财产安全及周边环境得到最大程度的保护。随着火灾增大，安全处置更加关注火势的蔓延及控制情况，环境应急处置需要关注灭火过程中产生的消防废水，防止消防废水漫流出厂界造成污染。</w:t>
      </w:r>
      <w:bookmarkEnd w:id="126"/>
      <w:bookmarkEnd w:id="127"/>
      <w:bookmarkEnd w:id="128"/>
    </w:p>
    <w:p w14:paraId="1A51F7BE">
      <w:pPr>
        <w:keepNext w:val="0"/>
        <w:keepLines w:val="0"/>
        <w:pageBreakBefore w:val="0"/>
        <w:kinsoku/>
        <w:wordWrap/>
        <w:overflowPunct/>
        <w:topLinePunct w:val="0"/>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29" w:name="_Toc15126"/>
      <w:bookmarkStart w:id="130" w:name="_Toc32645"/>
      <w:bookmarkStart w:id="131" w:name="_Toc18637"/>
      <w:r>
        <w:rPr>
          <w:rFonts w:hint="default" w:ascii="Times New Roman" w:hAnsi="Times New Roman" w:eastAsia="宋体" w:cs="Times New Roman"/>
          <w:color w:val="auto"/>
          <w:kern w:val="0"/>
          <w:sz w:val="24"/>
          <w:szCs w:val="24"/>
          <w:highlight w:val="none"/>
          <w:lang w:val="en-US" w:eastAsia="zh-CN"/>
        </w:rPr>
        <w:t>区域应急预案联动方案详见下表：</w:t>
      </w:r>
      <w:bookmarkEnd w:id="129"/>
      <w:bookmarkEnd w:id="130"/>
      <w:bookmarkEnd w:id="131"/>
    </w:p>
    <w:p w14:paraId="4F0BA4EF">
      <w:pPr>
        <w:pStyle w:val="1399"/>
        <w:keepNext w:val="0"/>
        <w:keepLines w:val="0"/>
        <w:pageBreakBefore w:val="0"/>
        <w:kinsoku/>
        <w:wordWrap/>
        <w:overflowPunct/>
        <w:topLinePunct w:val="0"/>
        <w:bidi w:val="0"/>
        <w:adjustRightInd w:val="0"/>
        <w:snapToGrid w:val="0"/>
        <w:spacing w:line="360" w:lineRule="auto"/>
        <w:ind w:left="0" w:leftChars="0" w:right="0" w:firstLine="482" w:firstLineChars="200"/>
        <w:jc w:val="center"/>
        <w:textAlignment w:val="auto"/>
        <w:outlineLvl w:val="9"/>
        <w:rPr>
          <w:rFonts w:hint="default" w:ascii="Times New Roman" w:hAnsi="Times New Roman" w:eastAsia="宋体" w:cs="Times New Roman"/>
          <w:b/>
          <w:bCs/>
          <w:color w:val="auto"/>
          <w:kern w:val="2"/>
          <w:sz w:val="24"/>
          <w:szCs w:val="24"/>
          <w:highlight w:val="none"/>
          <w:lang w:val="en-US" w:eastAsia="zh-CN" w:bidi="ar-SA"/>
        </w:rPr>
      </w:pPr>
      <w:bookmarkStart w:id="132" w:name="_bookmark61"/>
      <w:bookmarkEnd w:id="132"/>
      <w:bookmarkStart w:id="133" w:name="_Toc18904"/>
      <w:bookmarkStart w:id="134" w:name="_Toc8731"/>
      <w:bookmarkStart w:id="135" w:name="_Toc13583"/>
      <w:r>
        <w:rPr>
          <w:rFonts w:hint="default" w:ascii="Times New Roman" w:hAnsi="Times New Roman" w:eastAsia="宋体" w:cs="Times New Roman"/>
          <w:b/>
          <w:bCs/>
          <w:color w:val="auto"/>
          <w:kern w:val="2"/>
          <w:sz w:val="24"/>
          <w:szCs w:val="24"/>
          <w:highlight w:val="none"/>
          <w:lang w:val="en-US" w:eastAsia="zh-CN" w:bidi="ar-SA"/>
        </w:rPr>
        <w:t>表 7.5-5  突发环境事故区域应急预案联动方案</w:t>
      </w:r>
      <w:bookmarkEnd w:id="133"/>
      <w:bookmarkEnd w:id="134"/>
      <w:bookmarkEnd w:id="135"/>
    </w:p>
    <w:tbl>
      <w:tblPr>
        <w:tblStyle w:val="1390"/>
        <w:tblW w:w="9384" w:type="dxa"/>
        <w:tblInd w:w="0" w:type="dxa"/>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fixed"/>
        <w:tblCellMar>
          <w:top w:w="0" w:type="dxa"/>
          <w:left w:w="0" w:type="dxa"/>
          <w:bottom w:w="0" w:type="dxa"/>
          <w:right w:w="0" w:type="dxa"/>
        </w:tblCellMar>
      </w:tblPr>
      <w:tblGrid>
        <w:gridCol w:w="1018"/>
        <w:gridCol w:w="8366"/>
      </w:tblGrid>
      <w:tr w14:paraId="633964D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018" w:type="dxa"/>
            <w:noWrap w:val="0"/>
            <w:vAlign w:val="center"/>
          </w:tcPr>
          <w:p w14:paraId="6129531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预案名称</w:t>
            </w:r>
          </w:p>
        </w:tc>
        <w:tc>
          <w:tcPr>
            <w:tcW w:w="8366" w:type="dxa"/>
            <w:noWrap w:val="0"/>
            <w:vAlign w:val="center"/>
          </w:tcPr>
          <w:p w14:paraId="5EA863B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联动方案</w:t>
            </w:r>
          </w:p>
        </w:tc>
      </w:tr>
      <w:tr w14:paraId="7143788C">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1018" w:type="dxa"/>
            <w:vMerge w:val="restart"/>
            <w:tcBorders>
              <w:bottom w:val="nil"/>
            </w:tcBorders>
            <w:noWrap w:val="0"/>
            <w:vAlign w:val="center"/>
          </w:tcPr>
          <w:p w14:paraId="16D2A7F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lang w:val="en-US" w:eastAsia="zh-CN"/>
              </w:rPr>
              <w:t>区域</w:t>
            </w:r>
            <w:r>
              <w:rPr>
                <w:rFonts w:hint="default" w:ascii="Times New Roman" w:hAnsi="Times New Roman" w:eastAsia="宋体" w:cs="Times New Roman"/>
                <w:b w:val="0"/>
                <w:bCs w:val="0"/>
                <w:color w:val="auto"/>
                <w:spacing w:val="-1"/>
                <w:sz w:val="21"/>
                <w:szCs w:val="21"/>
              </w:rPr>
              <w:t>预案</w:t>
            </w:r>
          </w:p>
        </w:tc>
        <w:tc>
          <w:tcPr>
            <w:tcW w:w="8366" w:type="dxa"/>
            <w:noWrap w:val="0"/>
            <w:vAlign w:val="center"/>
          </w:tcPr>
          <w:p w14:paraId="00E955A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明确区域应急预案组成，将项目的预案组成及相关职能部门的负责人进行相互联系，实现事 故状态信息联通“1对 1”</w:t>
            </w:r>
          </w:p>
        </w:tc>
      </w:tr>
      <w:tr w14:paraId="206CEB64">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1018" w:type="dxa"/>
            <w:vMerge w:val="continue"/>
            <w:tcBorders>
              <w:top w:val="nil"/>
              <w:bottom w:val="nil"/>
            </w:tcBorders>
            <w:noWrap w:val="0"/>
            <w:vAlign w:val="center"/>
          </w:tcPr>
          <w:p w14:paraId="51D7DB2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72474B8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事故响应条件下，应根据园区响应分级方式拟定事故上报、响应方案</w:t>
            </w:r>
          </w:p>
        </w:tc>
      </w:tr>
      <w:tr w14:paraId="668E5572">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818" w:hRule="atLeast"/>
        </w:trPr>
        <w:tc>
          <w:tcPr>
            <w:tcW w:w="1018" w:type="dxa"/>
            <w:vMerge w:val="continue"/>
            <w:tcBorders>
              <w:top w:val="nil"/>
              <w:bottom w:val="nil"/>
            </w:tcBorders>
            <w:noWrap w:val="0"/>
            <w:vAlign w:val="center"/>
          </w:tcPr>
          <w:p w14:paraId="22F56B0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4525C5D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事故状态下应拟定事故中心区、波及区、影响区域的划分和控制，将职责分配到人。区域范 围大小的确定应依据园区预案确定的范围</w:t>
            </w:r>
            <w:r>
              <w:rPr>
                <w:rFonts w:hint="default" w:ascii="Times New Roman" w:hAnsi="Times New Roman" w:cs="Times New Roman"/>
                <w:b w:val="0"/>
                <w:bCs w:val="0"/>
                <w:color w:val="auto"/>
                <w:spacing w:val="-1"/>
                <w:sz w:val="21"/>
                <w:szCs w:val="21"/>
                <w:lang w:eastAsia="zh-CN"/>
              </w:rPr>
              <w:t>（</w:t>
            </w:r>
            <w:r>
              <w:rPr>
                <w:rFonts w:hint="default" w:ascii="Times New Roman" w:hAnsi="Times New Roman" w:eastAsia="宋体" w:cs="Times New Roman"/>
                <w:b w:val="0"/>
                <w:bCs w:val="0"/>
                <w:color w:val="auto"/>
                <w:spacing w:val="-1"/>
                <w:sz w:val="21"/>
                <w:szCs w:val="21"/>
              </w:rPr>
              <w:t>≤300m、300</w:t>
            </w:r>
            <w:r>
              <w:rPr>
                <w:rFonts w:hint="default" w:ascii="Times New Roman" w:hAnsi="Times New Roman" w:cs="Times New Roman"/>
                <w:b w:val="0"/>
                <w:bCs w:val="0"/>
                <w:color w:val="auto"/>
                <w:spacing w:val="-1"/>
                <w:sz w:val="21"/>
                <w:szCs w:val="21"/>
                <w:lang w:eastAsia="zh-CN"/>
              </w:rPr>
              <w:t>～</w:t>
            </w:r>
            <w:r>
              <w:rPr>
                <w:rFonts w:hint="default" w:ascii="Times New Roman" w:hAnsi="Times New Roman" w:eastAsia="宋体" w:cs="Times New Roman"/>
                <w:b w:val="0"/>
                <w:bCs w:val="0"/>
                <w:color w:val="auto"/>
                <w:spacing w:val="-1"/>
                <w:sz w:val="21"/>
                <w:szCs w:val="21"/>
              </w:rPr>
              <w:t>500m、500</w:t>
            </w:r>
            <w:r>
              <w:rPr>
                <w:rFonts w:hint="default" w:ascii="Times New Roman" w:hAnsi="Times New Roman" w:cs="Times New Roman"/>
                <w:b w:val="0"/>
                <w:bCs w:val="0"/>
                <w:color w:val="auto"/>
                <w:spacing w:val="-1"/>
                <w:sz w:val="21"/>
                <w:szCs w:val="21"/>
                <w:lang w:eastAsia="zh-CN"/>
              </w:rPr>
              <w:t>～</w:t>
            </w:r>
            <w:r>
              <w:rPr>
                <w:rFonts w:hint="default" w:ascii="Times New Roman" w:hAnsi="Times New Roman" w:eastAsia="宋体" w:cs="Times New Roman"/>
                <w:b w:val="0"/>
                <w:bCs w:val="0"/>
                <w:color w:val="auto"/>
                <w:spacing w:val="-1"/>
                <w:sz w:val="21"/>
                <w:szCs w:val="21"/>
              </w:rPr>
              <w:t>1000m、1000</w:t>
            </w:r>
            <w:r>
              <w:rPr>
                <w:rFonts w:hint="default" w:ascii="Times New Roman" w:hAnsi="Times New Roman" w:cs="Times New Roman"/>
                <w:b w:val="0"/>
                <w:bCs w:val="0"/>
                <w:color w:val="auto"/>
                <w:spacing w:val="-1"/>
                <w:sz w:val="21"/>
                <w:szCs w:val="21"/>
                <w:lang w:eastAsia="zh-CN"/>
              </w:rPr>
              <w:t>～</w:t>
            </w:r>
            <w:r>
              <w:rPr>
                <w:rFonts w:hint="default" w:ascii="Times New Roman" w:hAnsi="Times New Roman" w:eastAsia="宋体" w:cs="Times New Roman"/>
                <w:b w:val="0"/>
                <w:bCs w:val="0"/>
                <w:color w:val="auto"/>
                <w:spacing w:val="-1"/>
                <w:sz w:val="21"/>
                <w:szCs w:val="21"/>
              </w:rPr>
              <w:t>2000m、 ≥2000m</w:t>
            </w:r>
            <w:r>
              <w:rPr>
                <w:rFonts w:hint="eastAsia" w:cs="Times New Roman"/>
                <w:b w:val="0"/>
                <w:bCs w:val="0"/>
                <w:color w:val="auto"/>
                <w:spacing w:val="-1"/>
                <w:sz w:val="21"/>
                <w:szCs w:val="21"/>
                <w:lang w:eastAsia="zh-CN"/>
              </w:rPr>
              <w:t>）</w:t>
            </w:r>
            <w:r>
              <w:rPr>
                <w:rFonts w:hint="default" w:ascii="Times New Roman" w:hAnsi="Times New Roman" w:eastAsia="宋体" w:cs="Times New Roman"/>
                <w:b w:val="0"/>
                <w:bCs w:val="0"/>
                <w:color w:val="auto"/>
                <w:spacing w:val="-1"/>
                <w:sz w:val="21"/>
                <w:szCs w:val="21"/>
              </w:rPr>
              <w:t xml:space="preserve"> 为基础，根据事故大小进行适当调整</w:t>
            </w:r>
          </w:p>
        </w:tc>
      </w:tr>
      <w:tr w14:paraId="04739839">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1018" w:type="dxa"/>
            <w:vMerge w:val="continue"/>
            <w:tcBorders>
              <w:top w:val="nil"/>
              <w:bottom w:val="nil"/>
            </w:tcBorders>
            <w:noWrap w:val="0"/>
            <w:vAlign w:val="center"/>
          </w:tcPr>
          <w:p w14:paraId="055C98F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078AD26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项目事故状态下，可依托</w:t>
            </w:r>
            <w:r>
              <w:rPr>
                <w:rFonts w:hint="default" w:ascii="Times New Roman" w:hAnsi="Times New Roman" w:eastAsia="宋体" w:cs="Times New Roman"/>
                <w:b w:val="0"/>
                <w:bCs w:val="0"/>
                <w:color w:val="auto"/>
                <w:spacing w:val="-1"/>
                <w:sz w:val="21"/>
                <w:szCs w:val="21"/>
                <w:lang w:val="en-US" w:eastAsia="zh-CN"/>
              </w:rPr>
              <w:t>区域</w:t>
            </w:r>
            <w:r>
              <w:rPr>
                <w:rFonts w:hint="default" w:ascii="Times New Roman" w:hAnsi="Times New Roman" w:eastAsia="宋体" w:cs="Times New Roman"/>
                <w:b w:val="0"/>
                <w:bCs w:val="0"/>
                <w:color w:val="auto"/>
                <w:spacing w:val="-1"/>
                <w:sz w:val="21"/>
                <w:szCs w:val="21"/>
              </w:rPr>
              <w:t>应急监测队伍的力量，申请援助</w:t>
            </w:r>
          </w:p>
        </w:tc>
      </w:tr>
      <w:tr w14:paraId="3C4061C2">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1018" w:type="dxa"/>
            <w:vMerge w:val="continue"/>
            <w:tcBorders>
              <w:top w:val="nil"/>
            </w:tcBorders>
            <w:noWrap w:val="0"/>
            <w:vAlign w:val="center"/>
          </w:tcPr>
          <w:p w14:paraId="6CB3702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4491712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根据</w:t>
            </w:r>
            <w:r>
              <w:rPr>
                <w:rFonts w:hint="default" w:ascii="Times New Roman" w:hAnsi="Times New Roman" w:eastAsia="宋体" w:cs="Times New Roman"/>
                <w:b w:val="0"/>
                <w:bCs w:val="0"/>
                <w:color w:val="auto"/>
                <w:spacing w:val="-1"/>
                <w:sz w:val="21"/>
                <w:szCs w:val="21"/>
                <w:lang w:val="en-US" w:eastAsia="zh-CN"/>
              </w:rPr>
              <w:t>区域</w:t>
            </w:r>
            <w:r>
              <w:rPr>
                <w:rFonts w:hint="default" w:ascii="Times New Roman" w:hAnsi="Times New Roman" w:eastAsia="宋体" w:cs="Times New Roman"/>
                <w:b w:val="0"/>
                <w:bCs w:val="0"/>
                <w:color w:val="auto"/>
                <w:spacing w:val="-1"/>
                <w:sz w:val="21"/>
                <w:szCs w:val="21"/>
              </w:rPr>
              <w:t>预案的要求制定事故后评估报告</w:t>
            </w:r>
          </w:p>
        </w:tc>
      </w:tr>
      <w:tr w14:paraId="2DC9A51D">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1018" w:type="dxa"/>
            <w:vMerge w:val="restart"/>
            <w:tcBorders>
              <w:bottom w:val="nil"/>
            </w:tcBorders>
            <w:noWrap w:val="0"/>
            <w:vAlign w:val="center"/>
          </w:tcPr>
          <w:p w14:paraId="0674B75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lang w:eastAsia="zh-CN"/>
              </w:rPr>
              <w:t>淄川</w:t>
            </w:r>
            <w:r>
              <w:rPr>
                <w:rFonts w:hint="default" w:ascii="Times New Roman" w:hAnsi="Times New Roman" w:eastAsia="宋体" w:cs="Times New Roman"/>
                <w:b w:val="0"/>
                <w:bCs w:val="0"/>
                <w:color w:val="auto"/>
                <w:spacing w:val="-1"/>
                <w:sz w:val="21"/>
                <w:szCs w:val="21"/>
              </w:rPr>
              <w:t>区突</w:t>
            </w:r>
          </w:p>
          <w:p w14:paraId="119E884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发环境事</w:t>
            </w:r>
          </w:p>
          <w:p w14:paraId="613ACAD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件预案</w:t>
            </w:r>
          </w:p>
        </w:tc>
        <w:tc>
          <w:tcPr>
            <w:tcW w:w="8366" w:type="dxa"/>
            <w:noWrap w:val="0"/>
            <w:vAlign w:val="center"/>
          </w:tcPr>
          <w:p w14:paraId="390CA08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项目应遵循此预案事故等级划分原则，准确做出应急响应</w:t>
            </w:r>
          </w:p>
        </w:tc>
      </w:tr>
      <w:tr w14:paraId="478FFA49">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1018" w:type="dxa"/>
            <w:vMerge w:val="continue"/>
            <w:tcBorders>
              <w:top w:val="nil"/>
              <w:bottom w:val="nil"/>
            </w:tcBorders>
            <w:noWrap w:val="0"/>
            <w:vAlign w:val="center"/>
          </w:tcPr>
          <w:p w14:paraId="3B7F28B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7C3CA48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在发生突发事故发生后，应依托市级预案成立的应急队伍</w:t>
            </w:r>
            <w:r>
              <w:rPr>
                <w:rFonts w:hint="default" w:ascii="Times New Roman" w:hAnsi="Times New Roman" w:cs="Times New Roman"/>
                <w:b w:val="0"/>
                <w:bCs w:val="0"/>
                <w:color w:val="auto"/>
                <w:spacing w:val="-1"/>
                <w:sz w:val="21"/>
                <w:szCs w:val="21"/>
                <w:lang w:eastAsia="zh-CN"/>
              </w:rPr>
              <w:t>（</w:t>
            </w:r>
            <w:r>
              <w:rPr>
                <w:rFonts w:hint="default" w:ascii="Times New Roman" w:hAnsi="Times New Roman" w:eastAsia="宋体" w:cs="Times New Roman"/>
                <w:b w:val="0"/>
                <w:bCs w:val="0"/>
                <w:color w:val="auto"/>
                <w:spacing w:val="-1"/>
                <w:sz w:val="21"/>
                <w:szCs w:val="21"/>
              </w:rPr>
              <w:t>环境监察支队、市环境监测站</w:t>
            </w:r>
            <w:r>
              <w:rPr>
                <w:rFonts w:hint="default" w:ascii="Times New Roman" w:hAnsi="Times New Roman" w:cs="Times New Roman"/>
                <w:b w:val="0"/>
                <w:bCs w:val="0"/>
                <w:color w:val="auto"/>
                <w:spacing w:val="-1"/>
                <w:sz w:val="21"/>
                <w:szCs w:val="21"/>
                <w:lang w:eastAsia="zh-CN"/>
              </w:rPr>
              <w:t>）</w:t>
            </w:r>
            <w:r>
              <w:rPr>
                <w:rFonts w:hint="default" w:ascii="Times New Roman" w:hAnsi="Times New Roman" w:eastAsia="宋体" w:cs="Times New Roman"/>
                <w:b w:val="0"/>
                <w:bCs w:val="0"/>
                <w:color w:val="auto"/>
                <w:spacing w:val="-1"/>
                <w:sz w:val="21"/>
                <w:szCs w:val="21"/>
              </w:rPr>
              <w:t>， 对突发事故进行环境应急监测</w:t>
            </w:r>
          </w:p>
        </w:tc>
      </w:tr>
      <w:tr w14:paraId="59B19A91">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1018" w:type="dxa"/>
            <w:vMerge w:val="continue"/>
            <w:tcBorders>
              <w:top w:val="nil"/>
              <w:bottom w:val="nil"/>
            </w:tcBorders>
            <w:noWrap w:val="0"/>
            <w:vAlign w:val="center"/>
          </w:tcPr>
          <w:p w14:paraId="1ABA4E9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121B7C1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本预案应纳入</w:t>
            </w:r>
            <w:r>
              <w:rPr>
                <w:rFonts w:hint="default" w:ascii="Times New Roman" w:hAnsi="Times New Roman" w:eastAsia="宋体" w:cs="Times New Roman"/>
                <w:b w:val="0"/>
                <w:bCs w:val="0"/>
                <w:color w:val="auto"/>
                <w:spacing w:val="-1"/>
                <w:sz w:val="21"/>
                <w:szCs w:val="21"/>
                <w:lang w:eastAsia="zh-CN"/>
              </w:rPr>
              <w:t>淄川</w:t>
            </w:r>
            <w:r>
              <w:rPr>
                <w:rFonts w:hint="default" w:ascii="Times New Roman" w:hAnsi="Times New Roman" w:eastAsia="宋体" w:cs="Times New Roman"/>
                <w:b w:val="0"/>
                <w:bCs w:val="0"/>
                <w:color w:val="auto"/>
                <w:spacing w:val="-1"/>
                <w:sz w:val="21"/>
                <w:szCs w:val="21"/>
              </w:rPr>
              <w:t>区应急响应小组联系方式、名单详细等，作为本预案的附件</w:t>
            </w:r>
          </w:p>
        </w:tc>
      </w:tr>
      <w:tr w14:paraId="3FE09AAF">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1018" w:type="dxa"/>
            <w:vMerge w:val="continue"/>
            <w:tcBorders>
              <w:top w:val="nil"/>
              <w:bottom w:val="nil"/>
            </w:tcBorders>
            <w:noWrap w:val="0"/>
            <w:vAlign w:val="center"/>
          </w:tcPr>
          <w:p w14:paraId="78A9043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25FC15B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本预案应遵循</w:t>
            </w:r>
            <w:r>
              <w:rPr>
                <w:rFonts w:hint="default" w:ascii="Times New Roman" w:hAnsi="Times New Roman" w:eastAsia="宋体" w:cs="Times New Roman"/>
                <w:b w:val="0"/>
                <w:bCs w:val="0"/>
                <w:color w:val="auto"/>
                <w:spacing w:val="-1"/>
                <w:sz w:val="21"/>
                <w:szCs w:val="21"/>
                <w:lang w:eastAsia="zh-CN"/>
              </w:rPr>
              <w:t>淄川</w:t>
            </w:r>
            <w:r>
              <w:rPr>
                <w:rFonts w:hint="default" w:ascii="Times New Roman" w:hAnsi="Times New Roman" w:eastAsia="宋体" w:cs="Times New Roman"/>
                <w:b w:val="0"/>
                <w:bCs w:val="0"/>
                <w:color w:val="auto"/>
                <w:spacing w:val="-1"/>
                <w:sz w:val="21"/>
                <w:szCs w:val="21"/>
              </w:rPr>
              <w:t>区应急预案的速报制度，严格按照初报、续报和处理结果报告的程序执行</w:t>
            </w:r>
          </w:p>
        </w:tc>
      </w:tr>
      <w:tr w14:paraId="61899EA0">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1018" w:type="dxa"/>
            <w:vMerge w:val="continue"/>
            <w:tcBorders>
              <w:top w:val="nil"/>
              <w:bottom w:val="nil"/>
            </w:tcBorders>
            <w:noWrap w:val="0"/>
            <w:vAlign w:val="center"/>
          </w:tcPr>
          <w:p w14:paraId="62C6880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7E71110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本预案应将各工段、类型事故信息上报人员进行落实，与</w:t>
            </w:r>
            <w:r>
              <w:rPr>
                <w:rFonts w:hint="default" w:ascii="Times New Roman" w:hAnsi="Times New Roman" w:eastAsia="宋体" w:cs="Times New Roman"/>
                <w:b w:val="0"/>
                <w:bCs w:val="0"/>
                <w:color w:val="auto"/>
                <w:spacing w:val="-1"/>
                <w:sz w:val="21"/>
                <w:szCs w:val="21"/>
                <w:lang w:eastAsia="zh-CN"/>
              </w:rPr>
              <w:t>淄川</w:t>
            </w:r>
            <w:r>
              <w:rPr>
                <w:rFonts w:hint="default" w:ascii="Times New Roman" w:hAnsi="Times New Roman" w:eastAsia="宋体" w:cs="Times New Roman"/>
                <w:b w:val="0"/>
                <w:bCs w:val="0"/>
                <w:color w:val="auto"/>
                <w:spacing w:val="-1"/>
                <w:sz w:val="21"/>
                <w:szCs w:val="21"/>
              </w:rPr>
              <w:t>区应急指挥中心联系</w:t>
            </w:r>
          </w:p>
        </w:tc>
      </w:tr>
      <w:tr w14:paraId="70AF1767">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1018" w:type="dxa"/>
            <w:vMerge w:val="continue"/>
            <w:tcBorders>
              <w:top w:val="nil"/>
            </w:tcBorders>
            <w:noWrap w:val="0"/>
            <w:vAlign w:val="center"/>
          </w:tcPr>
          <w:p w14:paraId="2B29CBA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1C955B5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本预案应将应急防范措施、人力、物力资源进行汇总，并上报淄博市应急指挥中心，以便实 现资源共享和补充</w:t>
            </w:r>
          </w:p>
        </w:tc>
      </w:tr>
      <w:tr w14:paraId="6A9D1310">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1018" w:type="dxa"/>
            <w:vMerge w:val="restart"/>
            <w:tcBorders>
              <w:bottom w:val="nil"/>
            </w:tcBorders>
            <w:noWrap w:val="0"/>
            <w:vAlign w:val="center"/>
          </w:tcPr>
          <w:p w14:paraId="6B32764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p w14:paraId="12DD8F7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p w14:paraId="00B4B41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p w14:paraId="6183E25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淄博市突</w:t>
            </w:r>
          </w:p>
          <w:p w14:paraId="0159EBB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发环境事</w:t>
            </w:r>
          </w:p>
          <w:p w14:paraId="3336136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件预案</w:t>
            </w:r>
          </w:p>
        </w:tc>
        <w:tc>
          <w:tcPr>
            <w:tcW w:w="8366" w:type="dxa"/>
            <w:noWrap w:val="0"/>
            <w:vAlign w:val="center"/>
          </w:tcPr>
          <w:p w14:paraId="052B4FD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项目应遵循此预案事故等级划分原则，准确做出应急响应</w:t>
            </w:r>
          </w:p>
        </w:tc>
      </w:tr>
      <w:tr w14:paraId="6E1E90ED">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1018" w:type="dxa"/>
            <w:vMerge w:val="continue"/>
            <w:tcBorders>
              <w:top w:val="nil"/>
              <w:bottom w:val="nil"/>
            </w:tcBorders>
            <w:noWrap w:val="0"/>
            <w:vAlign w:val="center"/>
          </w:tcPr>
          <w:p w14:paraId="507259A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6EE5F24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在发生突发事故发生后，应依托市级预案成立的应急队伍</w:t>
            </w:r>
            <w:r>
              <w:rPr>
                <w:rFonts w:hint="default" w:ascii="Times New Roman" w:hAnsi="Times New Roman" w:cs="Times New Roman"/>
                <w:b w:val="0"/>
                <w:bCs w:val="0"/>
                <w:color w:val="auto"/>
                <w:spacing w:val="-1"/>
                <w:sz w:val="21"/>
                <w:szCs w:val="21"/>
                <w:lang w:eastAsia="zh-CN"/>
              </w:rPr>
              <w:t>（</w:t>
            </w:r>
            <w:r>
              <w:rPr>
                <w:rFonts w:hint="default" w:ascii="Times New Roman" w:hAnsi="Times New Roman" w:eastAsia="宋体" w:cs="Times New Roman"/>
                <w:b w:val="0"/>
                <w:bCs w:val="0"/>
                <w:color w:val="auto"/>
                <w:spacing w:val="-1"/>
                <w:sz w:val="21"/>
                <w:szCs w:val="21"/>
              </w:rPr>
              <w:t>环境监察支队、市环境监测站</w:t>
            </w:r>
            <w:r>
              <w:rPr>
                <w:rFonts w:hint="default" w:ascii="Times New Roman" w:hAnsi="Times New Roman" w:cs="Times New Roman"/>
                <w:b w:val="0"/>
                <w:bCs w:val="0"/>
                <w:color w:val="auto"/>
                <w:spacing w:val="-1"/>
                <w:sz w:val="21"/>
                <w:szCs w:val="21"/>
                <w:lang w:eastAsia="zh-CN"/>
              </w:rPr>
              <w:t>）</w:t>
            </w:r>
            <w:r>
              <w:rPr>
                <w:rFonts w:hint="default" w:ascii="Times New Roman" w:hAnsi="Times New Roman" w:eastAsia="宋体" w:cs="Times New Roman"/>
                <w:b w:val="0"/>
                <w:bCs w:val="0"/>
                <w:color w:val="auto"/>
                <w:spacing w:val="-1"/>
                <w:sz w:val="21"/>
                <w:szCs w:val="21"/>
              </w:rPr>
              <w:t>， 对突发事故进行环境应急监测</w:t>
            </w:r>
          </w:p>
        </w:tc>
      </w:tr>
      <w:tr w14:paraId="3C87F0F1">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1018" w:type="dxa"/>
            <w:vMerge w:val="continue"/>
            <w:tcBorders>
              <w:top w:val="nil"/>
              <w:bottom w:val="nil"/>
            </w:tcBorders>
            <w:noWrap w:val="0"/>
            <w:vAlign w:val="center"/>
          </w:tcPr>
          <w:p w14:paraId="4F664D5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73A351F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本预案应纳入淄博市应急响应小组联系方式、名单详细等，作为本预案的附件</w:t>
            </w:r>
          </w:p>
        </w:tc>
      </w:tr>
      <w:tr w14:paraId="4970014D">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1018" w:type="dxa"/>
            <w:vMerge w:val="continue"/>
            <w:tcBorders>
              <w:top w:val="nil"/>
              <w:bottom w:val="nil"/>
            </w:tcBorders>
            <w:noWrap w:val="0"/>
            <w:vAlign w:val="center"/>
          </w:tcPr>
          <w:p w14:paraId="3BE9EC4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21464CB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本预案应遵循淄博市应急预案的速报制度，严格按照初报、续报和处理结果报告的程序执行</w:t>
            </w:r>
          </w:p>
        </w:tc>
      </w:tr>
      <w:tr w14:paraId="10673AE2">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1018" w:type="dxa"/>
            <w:vMerge w:val="continue"/>
            <w:tcBorders>
              <w:top w:val="nil"/>
              <w:bottom w:val="nil"/>
            </w:tcBorders>
            <w:noWrap w:val="0"/>
            <w:vAlign w:val="center"/>
          </w:tcPr>
          <w:p w14:paraId="4E19C15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55B7677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本预案应将各工段、类型事故信息上报人员进行落实，与淄博市应急指挥中心联系</w:t>
            </w:r>
          </w:p>
        </w:tc>
      </w:tr>
      <w:tr w14:paraId="7772E676">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1018" w:type="dxa"/>
            <w:vMerge w:val="continue"/>
            <w:tcBorders>
              <w:top w:val="nil"/>
            </w:tcBorders>
            <w:noWrap w:val="0"/>
            <w:vAlign w:val="center"/>
          </w:tcPr>
          <w:p w14:paraId="194BFBF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6FBFF82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本预案应将应急防范措施、人力、物力资源进行汇总，并上报山东省应急指挥中心，以便实 现资源共享和补充</w:t>
            </w:r>
          </w:p>
        </w:tc>
      </w:tr>
      <w:tr w14:paraId="7AF03A8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1018" w:type="dxa"/>
            <w:vMerge w:val="restart"/>
            <w:tcBorders>
              <w:bottom w:val="nil"/>
            </w:tcBorders>
            <w:noWrap w:val="0"/>
            <w:vAlign w:val="center"/>
          </w:tcPr>
          <w:p w14:paraId="51A74DF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p w14:paraId="56286F8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山东省突</w:t>
            </w:r>
          </w:p>
          <w:p w14:paraId="7E79465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发环境事</w:t>
            </w:r>
          </w:p>
          <w:p w14:paraId="1CE870C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件预案</w:t>
            </w:r>
          </w:p>
        </w:tc>
        <w:tc>
          <w:tcPr>
            <w:tcW w:w="8366" w:type="dxa"/>
            <w:noWrap w:val="0"/>
            <w:vAlign w:val="center"/>
          </w:tcPr>
          <w:p w14:paraId="580CB2B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本预案遵循山东省应急预案预警标识设置要求，便于突发事故应急响应</w:t>
            </w:r>
          </w:p>
        </w:tc>
      </w:tr>
      <w:tr w14:paraId="3165F8A8">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1018" w:type="dxa"/>
            <w:vMerge w:val="continue"/>
            <w:tcBorders>
              <w:top w:val="nil"/>
              <w:bottom w:val="nil"/>
            </w:tcBorders>
            <w:noWrap w:val="0"/>
            <w:vAlign w:val="center"/>
          </w:tcPr>
          <w:p w14:paraId="16DD2C2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6A1955B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本预案应按照省级应急预案的响应程序，制定详细的上报响应方式</w:t>
            </w:r>
          </w:p>
        </w:tc>
      </w:tr>
      <w:tr w14:paraId="7B21A4F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1018" w:type="dxa"/>
            <w:vMerge w:val="continue"/>
            <w:tcBorders>
              <w:top w:val="nil"/>
              <w:bottom w:val="nil"/>
            </w:tcBorders>
            <w:noWrap w:val="0"/>
            <w:vAlign w:val="center"/>
          </w:tcPr>
          <w:p w14:paraId="24149AA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4C7035F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本预案应依托省级应急预案的各种应急保障措施，发生突发事故后应立即向预案指挥中心上 报，要求获得交通运输、物资、治安及经费等保障</w:t>
            </w:r>
          </w:p>
        </w:tc>
      </w:tr>
      <w:tr w14:paraId="614DB364">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38" w:hRule="atLeast"/>
        </w:trPr>
        <w:tc>
          <w:tcPr>
            <w:tcW w:w="1018" w:type="dxa"/>
            <w:vMerge w:val="continue"/>
            <w:tcBorders>
              <w:top w:val="nil"/>
            </w:tcBorders>
            <w:noWrap w:val="0"/>
            <w:vAlign w:val="center"/>
          </w:tcPr>
          <w:p w14:paraId="459D73B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p>
        </w:tc>
        <w:tc>
          <w:tcPr>
            <w:tcW w:w="8366" w:type="dxa"/>
            <w:noWrap w:val="0"/>
            <w:vAlign w:val="center"/>
          </w:tcPr>
          <w:p w14:paraId="3177182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hint="default" w:ascii="Times New Roman" w:hAnsi="Times New Roman" w:eastAsia="宋体" w:cs="Times New Roman"/>
                <w:b w:val="0"/>
                <w:bCs w:val="0"/>
                <w:color w:val="auto"/>
                <w:spacing w:val="-1"/>
                <w:sz w:val="21"/>
                <w:szCs w:val="21"/>
              </w:rPr>
            </w:pPr>
            <w:r>
              <w:rPr>
                <w:rFonts w:hint="default" w:ascii="Times New Roman" w:hAnsi="Times New Roman" w:eastAsia="宋体" w:cs="Times New Roman"/>
                <w:b w:val="0"/>
                <w:bCs w:val="0"/>
                <w:color w:val="auto"/>
                <w:spacing w:val="-1"/>
                <w:sz w:val="21"/>
                <w:szCs w:val="21"/>
              </w:rPr>
              <w:t>本预案应详细标识省级应急预案指挥中心的联系电话、联系人等，作为本预案的附件</w:t>
            </w:r>
          </w:p>
        </w:tc>
      </w:tr>
    </w:tbl>
    <w:p w14:paraId="4CC9F879">
      <w:pPr>
        <w:pStyle w:val="1399"/>
        <w:keepNext w:val="0"/>
        <w:keepLines w:val="0"/>
        <w:pageBreakBefore w:val="0"/>
        <w:kinsoku/>
        <w:wordWrap/>
        <w:overflowPunct/>
        <w:topLinePunct w:val="0"/>
        <w:bidi w:val="0"/>
        <w:adjustRightInd w:val="0"/>
        <w:snapToGrid w:val="0"/>
        <w:spacing w:line="360" w:lineRule="auto"/>
        <w:ind w:right="0"/>
        <w:textAlignment w:val="auto"/>
        <w:outlineLvl w:val="9"/>
        <w:rPr>
          <w:rFonts w:hint="default" w:ascii="Times New Roman" w:hAnsi="Times New Roman" w:eastAsia="宋体" w:cs="Times New Roman"/>
          <w:color w:val="auto"/>
          <w:sz w:val="24"/>
          <w:szCs w:val="22"/>
          <w:lang w:val="en-US" w:eastAsia="zh-CN"/>
        </w:rPr>
      </w:pPr>
      <w:bookmarkStart w:id="136" w:name="_Toc16542"/>
      <w:bookmarkStart w:id="137" w:name="_Toc12547"/>
      <w:bookmarkStart w:id="138" w:name="_Toc3338"/>
      <w:r>
        <w:rPr>
          <w:rFonts w:hint="default" w:ascii="Times New Roman" w:hAnsi="Times New Roman" w:eastAsia="宋体" w:cs="Times New Roman"/>
          <w:color w:val="auto"/>
          <w:sz w:val="24"/>
          <w:szCs w:val="22"/>
          <w:lang w:val="en-US" w:eastAsia="zh-CN"/>
        </w:rPr>
        <w:drawing>
          <wp:inline distT="0" distB="0" distL="114300" distR="114300">
            <wp:extent cx="5974080" cy="2497455"/>
            <wp:effectExtent l="0" t="0" r="7620" b="17145"/>
            <wp:docPr id="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5"/>
                    <pic:cNvPicPr>
                      <a:picLocks noChangeAspect="1"/>
                    </pic:cNvPicPr>
                  </pic:nvPicPr>
                  <pic:blipFill>
                    <a:blip r:embed="rId36"/>
                    <a:stretch>
                      <a:fillRect/>
                    </a:stretch>
                  </pic:blipFill>
                  <pic:spPr>
                    <a:xfrm>
                      <a:off x="0" y="0"/>
                      <a:ext cx="5974080" cy="2497455"/>
                    </a:xfrm>
                    <a:prstGeom prst="rect">
                      <a:avLst/>
                    </a:prstGeom>
                    <a:noFill/>
                    <a:ln>
                      <a:noFill/>
                    </a:ln>
                  </pic:spPr>
                </pic:pic>
              </a:graphicData>
            </a:graphic>
          </wp:inline>
        </w:drawing>
      </w:r>
      <w:bookmarkEnd w:id="136"/>
      <w:bookmarkEnd w:id="137"/>
      <w:bookmarkEnd w:id="138"/>
    </w:p>
    <w:p w14:paraId="2A9037F1">
      <w:pPr>
        <w:pStyle w:val="1399"/>
        <w:keepNext w:val="0"/>
        <w:keepLines w:val="0"/>
        <w:pageBreakBefore w:val="0"/>
        <w:kinsoku/>
        <w:wordWrap/>
        <w:overflowPunct/>
        <w:topLinePunct w:val="0"/>
        <w:autoSpaceDE/>
        <w:autoSpaceDN/>
        <w:bidi w:val="0"/>
        <w:adjustRightInd w:val="0"/>
        <w:snapToGrid w:val="0"/>
        <w:spacing w:before="0" w:after="0" w:line="360" w:lineRule="auto"/>
        <w:ind w:left="0" w:leftChars="0" w:right="0" w:firstLine="482" w:firstLineChars="200"/>
        <w:jc w:val="center"/>
        <w:textAlignment w:val="auto"/>
        <w:outlineLvl w:val="9"/>
        <w:rPr>
          <w:rFonts w:hint="default" w:ascii="Times New Roman" w:hAnsi="Times New Roman" w:eastAsia="宋体" w:cs="Times New Roman"/>
          <w:b/>
          <w:bCs w:val="0"/>
          <w:color w:val="auto"/>
          <w:sz w:val="24"/>
          <w:szCs w:val="22"/>
          <w:lang w:val="en-US" w:eastAsia="zh-CN"/>
        </w:rPr>
      </w:pPr>
      <w:bookmarkStart w:id="139" w:name="_Toc19597"/>
      <w:bookmarkStart w:id="140" w:name="_Toc13346"/>
      <w:bookmarkStart w:id="141" w:name="_Toc9961"/>
      <w:r>
        <w:rPr>
          <w:rFonts w:hint="default" w:ascii="Times New Roman" w:hAnsi="Times New Roman" w:eastAsia="宋体" w:cs="Times New Roman"/>
          <w:b/>
          <w:bCs w:val="0"/>
          <w:color w:val="auto"/>
          <w:sz w:val="24"/>
          <w:szCs w:val="22"/>
          <w:lang w:val="en-US" w:eastAsia="zh-CN"/>
        </w:rPr>
        <w:t>图 7.5-2   应急预案响应联动方案</w:t>
      </w:r>
      <w:bookmarkEnd w:id="139"/>
      <w:bookmarkEnd w:id="140"/>
      <w:bookmarkEnd w:id="141"/>
    </w:p>
    <w:p w14:paraId="6936F310">
      <w:pPr>
        <w:pStyle w:val="1399"/>
        <w:keepNext w:val="0"/>
        <w:keepLines w:val="0"/>
        <w:pageBreakBefore w:val="0"/>
        <w:kinsoku/>
        <w:wordWrap/>
        <w:overflowPunct/>
        <w:topLinePunct w:val="0"/>
        <w:autoSpaceDE/>
        <w:autoSpaceDN/>
        <w:bidi w:val="0"/>
        <w:adjustRightInd w:val="0"/>
        <w:snapToGrid w:val="0"/>
        <w:spacing w:before="0" w:after="0" w:line="360" w:lineRule="auto"/>
        <w:ind w:left="0" w:leftChars="0" w:right="0"/>
        <w:textAlignment w:val="auto"/>
        <w:outlineLvl w:val="9"/>
        <w:rPr>
          <w:rFonts w:hint="default" w:ascii="Times New Roman" w:hAnsi="Times New Roman" w:eastAsia="宋体" w:cs="Times New Roman"/>
          <w:b/>
          <w:bCs w:val="0"/>
          <w:color w:val="auto"/>
          <w:sz w:val="28"/>
          <w:szCs w:val="24"/>
          <w:lang w:eastAsia="zh-CN"/>
        </w:rPr>
      </w:pPr>
      <w:bookmarkStart w:id="142" w:name="_Toc17445"/>
      <w:r>
        <w:rPr>
          <w:rFonts w:hint="default" w:ascii="Times New Roman" w:hAnsi="Times New Roman" w:eastAsia="宋体" w:cs="Times New Roman"/>
          <w:b/>
          <w:bCs w:val="0"/>
          <w:color w:val="auto"/>
          <w:sz w:val="28"/>
          <w:szCs w:val="24"/>
          <w:lang w:val="en-US" w:eastAsia="zh-CN"/>
        </w:rPr>
        <w:t>7.5.4 应急救援保障</w:t>
      </w:r>
      <w:bookmarkEnd w:id="142"/>
      <w:r>
        <w:rPr>
          <w:rFonts w:hint="default" w:ascii="Times New Roman" w:hAnsi="Times New Roman" w:eastAsia="宋体" w:cs="Times New Roman"/>
          <w:b/>
          <w:bCs w:val="0"/>
          <w:color w:val="auto"/>
          <w:sz w:val="28"/>
          <w:szCs w:val="24"/>
          <w:lang w:val="en-US" w:eastAsia="zh-CN"/>
        </w:rPr>
        <w:t xml:space="preserve"> </w:t>
      </w:r>
    </w:p>
    <w:p w14:paraId="697C1745">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43" w:name="_Toc31515"/>
      <w:bookmarkStart w:id="144" w:name="_Toc9543"/>
      <w:bookmarkStart w:id="145" w:name="_Toc6313"/>
      <w:r>
        <w:rPr>
          <w:rFonts w:hint="default" w:ascii="Times New Roman" w:hAnsi="Times New Roman" w:eastAsia="宋体" w:cs="Times New Roman"/>
          <w:color w:val="auto"/>
          <w:kern w:val="0"/>
          <w:sz w:val="24"/>
          <w:szCs w:val="24"/>
          <w:highlight w:val="none"/>
          <w:lang w:val="en-US" w:eastAsia="zh-CN"/>
        </w:rPr>
        <w:t>（一）通信与信息保障</w:t>
      </w:r>
      <w:bookmarkEnd w:id="143"/>
      <w:bookmarkEnd w:id="144"/>
      <w:bookmarkEnd w:id="145"/>
    </w:p>
    <w:p w14:paraId="553BF816">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46" w:name="_Toc13041"/>
      <w:bookmarkStart w:id="147" w:name="_Toc18406"/>
      <w:bookmarkStart w:id="148" w:name="_Toc30525"/>
      <w:r>
        <w:rPr>
          <w:rFonts w:hint="default" w:ascii="Times New Roman" w:hAnsi="Times New Roman" w:eastAsia="宋体" w:cs="Times New Roman"/>
          <w:color w:val="auto"/>
          <w:kern w:val="0"/>
          <w:sz w:val="24"/>
          <w:szCs w:val="24"/>
          <w:highlight w:val="none"/>
          <w:lang w:val="en-US" w:eastAsia="zh-CN"/>
        </w:rPr>
        <w:t>为保障信息通畅，采用公司内部电话、车间固定电话及涉及本预案人员办公室电话、手机等多种渠道进行相互之间的联系，应急救援指挥部人员的手机必须24小时开机，确保能够及时沟通信息。事故发生时，动力部电话线路维护人员随时待命，一旦出现线路故障，及时修理，确保应急期间信息通畅。</w:t>
      </w:r>
      <w:bookmarkEnd w:id="146"/>
      <w:bookmarkEnd w:id="147"/>
      <w:bookmarkEnd w:id="148"/>
    </w:p>
    <w:p w14:paraId="7975DE35">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49" w:name="_Toc29551"/>
      <w:bookmarkStart w:id="150" w:name="_Toc2322"/>
      <w:bookmarkStart w:id="151" w:name="_Toc23835"/>
      <w:r>
        <w:rPr>
          <w:rFonts w:hint="default" w:ascii="Times New Roman" w:hAnsi="Times New Roman" w:eastAsia="宋体" w:cs="Times New Roman"/>
          <w:color w:val="auto"/>
          <w:kern w:val="0"/>
          <w:sz w:val="24"/>
          <w:szCs w:val="24"/>
          <w:highlight w:val="none"/>
          <w:lang w:val="en-US" w:eastAsia="zh-CN"/>
        </w:rPr>
        <w:t>事故发生较大，无法控制时，需要外部支援，要求员工熟知常用的救援电话。</w:t>
      </w:r>
      <w:bookmarkEnd w:id="149"/>
      <w:bookmarkEnd w:id="150"/>
      <w:bookmarkEnd w:id="151"/>
    </w:p>
    <w:p w14:paraId="2F44DF7B">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52" w:name="_Toc1727"/>
      <w:bookmarkStart w:id="153" w:name="_Toc17991"/>
      <w:bookmarkStart w:id="154" w:name="_Toc13095"/>
      <w:r>
        <w:rPr>
          <w:rFonts w:hint="default" w:ascii="Times New Roman" w:hAnsi="Times New Roman" w:eastAsia="宋体" w:cs="Times New Roman"/>
          <w:color w:val="auto"/>
          <w:kern w:val="0"/>
          <w:sz w:val="24"/>
          <w:szCs w:val="24"/>
          <w:highlight w:val="none"/>
          <w:lang w:val="en-US" w:eastAsia="zh-CN"/>
        </w:rPr>
        <w:t>遇到紧急事故及时采取应对措施，所有信息上报安全科并建立严密的联系网络。</w:t>
      </w:r>
      <w:bookmarkEnd w:id="152"/>
      <w:bookmarkEnd w:id="153"/>
      <w:bookmarkEnd w:id="154"/>
    </w:p>
    <w:p w14:paraId="7EDC5068">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ab/>
      </w:r>
      <w:bookmarkStart w:id="155" w:name="_Toc21822"/>
      <w:bookmarkStart w:id="156" w:name="_Toc27602"/>
      <w:bookmarkStart w:id="157" w:name="_Toc13500"/>
      <w:r>
        <w:rPr>
          <w:rFonts w:hint="default" w:ascii="Times New Roman" w:hAnsi="Times New Roman" w:eastAsia="宋体" w:cs="Times New Roman"/>
          <w:color w:val="auto"/>
          <w:kern w:val="0"/>
          <w:sz w:val="24"/>
          <w:szCs w:val="24"/>
          <w:highlight w:val="none"/>
          <w:lang w:val="en-US" w:eastAsia="zh-CN"/>
        </w:rPr>
        <w:t>（二）应急物资装备保障</w:t>
      </w:r>
      <w:bookmarkEnd w:id="155"/>
      <w:bookmarkEnd w:id="156"/>
      <w:bookmarkEnd w:id="157"/>
    </w:p>
    <w:p w14:paraId="7D2D1795">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58" w:name="_Toc31776"/>
      <w:bookmarkStart w:id="159" w:name="_Toc1454"/>
      <w:bookmarkStart w:id="160" w:name="_Toc5308"/>
      <w:r>
        <w:rPr>
          <w:rFonts w:hint="default" w:ascii="Times New Roman" w:hAnsi="Times New Roman" w:eastAsia="宋体" w:cs="Times New Roman"/>
          <w:color w:val="auto"/>
          <w:kern w:val="0"/>
          <w:sz w:val="24"/>
          <w:szCs w:val="24"/>
          <w:highlight w:val="none"/>
          <w:lang w:val="en-US" w:eastAsia="zh-CN"/>
        </w:rPr>
        <w:t>本项目在充分依托现有应急物资的前提下，可根据项目实际情况进行增加补充（如有毒气体报警仪、灭火器、消防栓、消防管网、个体防护装备等）。发生事故时，可以立即调度公司应急抢险专用工具、设备，进行抢险救援。</w:t>
      </w:r>
      <w:bookmarkEnd w:id="158"/>
      <w:bookmarkEnd w:id="159"/>
      <w:bookmarkEnd w:id="160"/>
    </w:p>
    <w:p w14:paraId="26A643FA">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ab/>
      </w:r>
      <w:bookmarkStart w:id="161" w:name="_Toc21899"/>
      <w:bookmarkStart w:id="162" w:name="_Toc14000"/>
      <w:bookmarkStart w:id="163" w:name="_Toc10902"/>
      <w:r>
        <w:rPr>
          <w:rFonts w:hint="default" w:ascii="Times New Roman" w:hAnsi="Times New Roman" w:eastAsia="宋体" w:cs="Times New Roman"/>
          <w:color w:val="auto"/>
          <w:kern w:val="0"/>
          <w:sz w:val="24"/>
          <w:szCs w:val="24"/>
          <w:highlight w:val="none"/>
          <w:lang w:val="en-US" w:eastAsia="zh-CN"/>
        </w:rPr>
        <w:t>（三）其它保障</w:t>
      </w:r>
      <w:bookmarkEnd w:id="161"/>
      <w:bookmarkEnd w:id="162"/>
      <w:bookmarkEnd w:id="163"/>
    </w:p>
    <w:p w14:paraId="2119CD9A">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64" w:name="_Toc28310"/>
      <w:bookmarkStart w:id="165" w:name="_Toc3975"/>
      <w:bookmarkStart w:id="166" w:name="_Toc31333"/>
      <w:r>
        <w:rPr>
          <w:rFonts w:hint="default" w:ascii="Times New Roman" w:hAnsi="Times New Roman" w:eastAsia="宋体" w:cs="Times New Roman"/>
          <w:color w:val="auto"/>
          <w:kern w:val="0"/>
          <w:sz w:val="24"/>
          <w:szCs w:val="24"/>
          <w:highlight w:val="none"/>
          <w:lang w:val="en-US" w:eastAsia="zh-CN"/>
        </w:rPr>
        <w:t>1、责任制：同应急救援组织机构组成人员的职责。</w:t>
      </w:r>
      <w:bookmarkEnd w:id="164"/>
      <w:bookmarkEnd w:id="165"/>
      <w:bookmarkEnd w:id="166"/>
    </w:p>
    <w:p w14:paraId="386A74D5">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67" w:name="_Toc15759"/>
      <w:bookmarkStart w:id="168" w:name="_Toc11227"/>
      <w:bookmarkStart w:id="169" w:name="_Toc9285"/>
      <w:r>
        <w:rPr>
          <w:rFonts w:hint="default" w:ascii="Times New Roman" w:hAnsi="Times New Roman" w:eastAsia="宋体" w:cs="Times New Roman"/>
          <w:color w:val="auto"/>
          <w:kern w:val="0"/>
          <w:sz w:val="24"/>
          <w:szCs w:val="24"/>
          <w:highlight w:val="none"/>
          <w:lang w:val="en-US" w:eastAsia="zh-CN"/>
        </w:rPr>
        <w:t>2、值班制度：值班时间24小时，值班人员由后勤值班人员组成，遇有问题及时处理，并及时报指挥部。</w:t>
      </w:r>
      <w:bookmarkEnd w:id="167"/>
      <w:bookmarkEnd w:id="168"/>
      <w:bookmarkEnd w:id="169"/>
    </w:p>
    <w:p w14:paraId="6F513D75">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70" w:name="_Toc12956"/>
      <w:bookmarkStart w:id="171" w:name="_Toc13297"/>
      <w:bookmarkStart w:id="172" w:name="_Toc21361"/>
      <w:r>
        <w:rPr>
          <w:rFonts w:hint="default" w:ascii="Times New Roman" w:hAnsi="Times New Roman" w:eastAsia="宋体" w:cs="Times New Roman"/>
          <w:color w:val="auto"/>
          <w:kern w:val="0"/>
          <w:sz w:val="24"/>
          <w:szCs w:val="24"/>
          <w:highlight w:val="none"/>
          <w:lang w:val="en-US" w:eastAsia="zh-CN"/>
        </w:rPr>
        <w:t>3、培训制度：每年进行一次公司内职工安全培训，针对危险化学品的危险特性及防护措施重点培训，努力提高全员的安全防范能力。</w:t>
      </w:r>
      <w:bookmarkEnd w:id="170"/>
      <w:bookmarkEnd w:id="171"/>
      <w:bookmarkEnd w:id="172"/>
    </w:p>
    <w:p w14:paraId="38EB0905">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73" w:name="_Toc25316"/>
      <w:bookmarkStart w:id="174" w:name="_Toc2283"/>
      <w:bookmarkStart w:id="175" w:name="_Toc22024"/>
      <w:r>
        <w:rPr>
          <w:rFonts w:hint="default" w:ascii="Times New Roman" w:hAnsi="Times New Roman" w:eastAsia="宋体" w:cs="Times New Roman"/>
          <w:color w:val="auto"/>
          <w:kern w:val="0"/>
          <w:sz w:val="24"/>
          <w:szCs w:val="24"/>
          <w:highlight w:val="none"/>
          <w:lang w:val="en-US" w:eastAsia="zh-CN"/>
        </w:rPr>
        <w:t>4、每年对危险化学品运输单位的车辆行驶时间、路线，停车地点等内容进行一次统计，发现问题及时通知该运输车辆单位。</w:t>
      </w:r>
      <w:bookmarkEnd w:id="173"/>
      <w:bookmarkEnd w:id="174"/>
      <w:bookmarkEnd w:id="175"/>
    </w:p>
    <w:p w14:paraId="65E27D5E">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76" w:name="_Toc31608"/>
      <w:bookmarkStart w:id="177" w:name="_Toc21753"/>
      <w:bookmarkStart w:id="178" w:name="_Toc659"/>
      <w:r>
        <w:rPr>
          <w:rFonts w:hint="default" w:ascii="Times New Roman" w:hAnsi="Times New Roman" w:eastAsia="宋体" w:cs="Times New Roman"/>
          <w:color w:val="auto"/>
          <w:kern w:val="0"/>
          <w:sz w:val="24"/>
          <w:szCs w:val="24"/>
          <w:highlight w:val="none"/>
          <w:lang w:val="en-US" w:eastAsia="zh-CN"/>
        </w:rPr>
        <w:t>5、检查制度：每月由应急指挥部组织结合安全生产工作对应急救援组织、材料、装备情况检查一次，发现问题及时整改。</w:t>
      </w:r>
      <w:bookmarkEnd w:id="176"/>
      <w:bookmarkEnd w:id="177"/>
      <w:bookmarkEnd w:id="178"/>
    </w:p>
    <w:p w14:paraId="076CCAD9">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79" w:name="_Toc25556"/>
      <w:bookmarkStart w:id="180" w:name="_Toc2722"/>
      <w:bookmarkStart w:id="181" w:name="_Toc2486"/>
      <w:r>
        <w:rPr>
          <w:rFonts w:hint="default" w:ascii="Times New Roman" w:hAnsi="Times New Roman" w:eastAsia="宋体" w:cs="Times New Roman"/>
          <w:color w:val="auto"/>
          <w:kern w:val="0"/>
          <w:sz w:val="24"/>
          <w:szCs w:val="24"/>
          <w:highlight w:val="none"/>
          <w:lang w:val="en-US" w:eastAsia="zh-CN"/>
        </w:rPr>
        <w:t>6、演练制度：每年组织2次公司级的应急预案演练。</w:t>
      </w:r>
      <w:bookmarkEnd w:id="179"/>
      <w:bookmarkEnd w:id="180"/>
      <w:bookmarkEnd w:id="181"/>
    </w:p>
    <w:p w14:paraId="152E739B">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82" w:name="_Toc28013"/>
      <w:bookmarkStart w:id="183" w:name="_Toc17859"/>
      <w:bookmarkStart w:id="184" w:name="_Toc4879"/>
      <w:r>
        <w:rPr>
          <w:rFonts w:hint="default" w:ascii="Times New Roman" w:hAnsi="Times New Roman" w:eastAsia="宋体" w:cs="Times New Roman"/>
          <w:color w:val="auto"/>
          <w:kern w:val="0"/>
          <w:sz w:val="24"/>
          <w:szCs w:val="24"/>
          <w:highlight w:val="none"/>
          <w:lang w:val="en-US" w:eastAsia="zh-CN"/>
        </w:rPr>
        <w:t>7、交通运输保障：根据事故应积救援需要，调集厂内的救护车。</w:t>
      </w:r>
      <w:bookmarkEnd w:id="182"/>
      <w:bookmarkEnd w:id="183"/>
      <w:bookmarkEnd w:id="184"/>
    </w:p>
    <w:p w14:paraId="203A104A">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85" w:name="_Toc22058"/>
      <w:bookmarkStart w:id="186" w:name="_Toc16521"/>
      <w:bookmarkStart w:id="187" w:name="_Toc30211"/>
      <w:r>
        <w:rPr>
          <w:rFonts w:hint="default" w:ascii="Times New Roman" w:hAnsi="Times New Roman" w:eastAsia="宋体" w:cs="Times New Roman"/>
          <w:color w:val="auto"/>
          <w:kern w:val="0"/>
          <w:sz w:val="24"/>
          <w:szCs w:val="24"/>
          <w:highlight w:val="none"/>
          <w:lang w:val="en-US" w:eastAsia="zh-CN"/>
        </w:rPr>
        <w:t>8、治安保障：根据事故应急救援需要，调集联防人员进行协助管理。</w:t>
      </w:r>
      <w:bookmarkEnd w:id="185"/>
      <w:bookmarkEnd w:id="186"/>
      <w:bookmarkEnd w:id="187"/>
    </w:p>
    <w:p w14:paraId="509336DF">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ab/>
      </w:r>
      <w:bookmarkStart w:id="188" w:name="_Toc4012"/>
      <w:bookmarkStart w:id="189" w:name="_Toc32033"/>
      <w:bookmarkStart w:id="190" w:name="_Toc7805"/>
      <w:r>
        <w:rPr>
          <w:rFonts w:hint="default" w:ascii="Times New Roman" w:hAnsi="Times New Roman" w:eastAsia="宋体" w:cs="Times New Roman"/>
          <w:color w:val="auto"/>
          <w:kern w:val="0"/>
          <w:sz w:val="24"/>
          <w:szCs w:val="24"/>
          <w:highlight w:val="none"/>
          <w:lang w:val="en-US" w:eastAsia="zh-CN"/>
        </w:rPr>
        <w:t>（四）注意事项</w:t>
      </w:r>
      <w:bookmarkEnd w:id="188"/>
      <w:bookmarkEnd w:id="189"/>
      <w:bookmarkEnd w:id="190"/>
    </w:p>
    <w:p w14:paraId="065EF554">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91" w:name="_Toc1548"/>
      <w:bookmarkStart w:id="192" w:name="_Toc26389"/>
      <w:bookmarkStart w:id="193" w:name="_Toc16462"/>
      <w:r>
        <w:rPr>
          <w:rFonts w:hint="default" w:ascii="Times New Roman" w:hAnsi="Times New Roman" w:eastAsia="宋体" w:cs="Times New Roman"/>
          <w:color w:val="auto"/>
          <w:kern w:val="0"/>
          <w:sz w:val="24"/>
          <w:szCs w:val="24"/>
          <w:highlight w:val="none"/>
          <w:lang w:val="en-US" w:eastAsia="zh-CN"/>
        </w:rPr>
        <w:t>1、落实应急救援组织，确保事故发生时能及时集合并开展救援。</w:t>
      </w:r>
      <w:bookmarkEnd w:id="191"/>
      <w:bookmarkEnd w:id="192"/>
      <w:bookmarkEnd w:id="193"/>
    </w:p>
    <w:p w14:paraId="1B9F2CCA">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94" w:name="_Toc15778"/>
      <w:bookmarkStart w:id="195" w:name="_Toc18006"/>
      <w:bookmarkStart w:id="196" w:name="_Toc11767"/>
      <w:r>
        <w:rPr>
          <w:rFonts w:hint="default" w:ascii="Times New Roman" w:hAnsi="Times New Roman" w:eastAsia="宋体" w:cs="Times New Roman"/>
          <w:color w:val="auto"/>
          <w:kern w:val="0"/>
          <w:sz w:val="24"/>
          <w:szCs w:val="24"/>
          <w:highlight w:val="none"/>
          <w:lang w:val="en-US" w:eastAsia="zh-CN"/>
        </w:rPr>
        <w:t>2、各项应急救援器材和资料由专人保管，确保完好可随时调用。应急救援器材包括报警、通讯设备、灭火器材、防护设施等，定期检查、保养，确保处于良好状态。应急救援相关资料包括消防设施配置图、工艺流程图、平面布置图和周边地区图、气象资料、危险化学品安全技术说明书等。</w:t>
      </w:r>
      <w:bookmarkEnd w:id="194"/>
      <w:bookmarkEnd w:id="195"/>
      <w:bookmarkEnd w:id="196"/>
    </w:p>
    <w:p w14:paraId="4DA53469">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197" w:name="_Toc10734"/>
      <w:bookmarkStart w:id="198" w:name="_Toc6460"/>
      <w:bookmarkStart w:id="199" w:name="_Toc4803"/>
      <w:r>
        <w:rPr>
          <w:rFonts w:hint="default" w:ascii="Times New Roman" w:hAnsi="Times New Roman" w:eastAsia="宋体" w:cs="Times New Roman"/>
          <w:color w:val="auto"/>
          <w:kern w:val="0"/>
          <w:sz w:val="24"/>
          <w:szCs w:val="24"/>
          <w:highlight w:val="none"/>
          <w:lang w:val="en-US" w:eastAsia="zh-CN"/>
        </w:rPr>
        <w:t>3、加强应急救援培训和演练。定期组织应急救援训练和学习，对全厂职工进行经 常性的化学救护常识教育。</w:t>
      </w:r>
      <w:bookmarkEnd w:id="197"/>
      <w:bookmarkEnd w:id="198"/>
      <w:bookmarkEnd w:id="199"/>
    </w:p>
    <w:p w14:paraId="2502768E">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00" w:name="_Toc28426"/>
      <w:bookmarkStart w:id="201" w:name="_Toc19873"/>
      <w:bookmarkStart w:id="202" w:name="_Toc25054"/>
      <w:r>
        <w:rPr>
          <w:rFonts w:hint="default" w:ascii="Times New Roman" w:hAnsi="Times New Roman" w:eastAsia="宋体" w:cs="Times New Roman"/>
          <w:color w:val="auto"/>
          <w:kern w:val="0"/>
          <w:sz w:val="24"/>
          <w:szCs w:val="24"/>
          <w:highlight w:val="none"/>
          <w:lang w:val="en-US" w:eastAsia="zh-CN"/>
        </w:rPr>
        <w:t>4、加强安全管理，落实各项安全管理制度，包括值班制度、检查制度等，确保事 故发生后能迅速组织应急救援。</w:t>
      </w:r>
      <w:bookmarkEnd w:id="200"/>
      <w:bookmarkEnd w:id="201"/>
      <w:bookmarkEnd w:id="202"/>
    </w:p>
    <w:p w14:paraId="08765B1A">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03" w:name="_Toc13081"/>
      <w:r>
        <w:rPr>
          <w:rFonts w:hint="default" w:ascii="Times New Roman" w:hAnsi="Times New Roman" w:eastAsia="宋体" w:cs="Times New Roman"/>
          <w:color w:val="auto"/>
          <w:kern w:val="0"/>
          <w:sz w:val="24"/>
          <w:szCs w:val="24"/>
          <w:highlight w:val="none"/>
          <w:lang w:val="en-US" w:eastAsia="zh-CN"/>
        </w:rPr>
        <w:t>7.5.5紧急安全疏散</w:t>
      </w:r>
      <w:bookmarkEnd w:id="203"/>
    </w:p>
    <w:p w14:paraId="231E78DA">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ab/>
      </w:r>
      <w:bookmarkStart w:id="204" w:name="_Toc7861"/>
      <w:bookmarkStart w:id="205" w:name="_Toc20255"/>
      <w:bookmarkStart w:id="206" w:name="_Toc4728"/>
      <w:r>
        <w:rPr>
          <w:rFonts w:hint="default" w:ascii="Times New Roman" w:hAnsi="Times New Roman" w:eastAsia="宋体" w:cs="Times New Roman"/>
          <w:color w:val="auto"/>
          <w:kern w:val="0"/>
          <w:sz w:val="24"/>
          <w:szCs w:val="24"/>
          <w:highlight w:val="none"/>
          <w:lang w:val="en-US" w:eastAsia="zh-CN"/>
        </w:rPr>
        <w:t>（一）  警戒疏散</w:t>
      </w:r>
      <w:bookmarkEnd w:id="204"/>
      <w:bookmarkEnd w:id="205"/>
      <w:bookmarkEnd w:id="206"/>
    </w:p>
    <w:p w14:paraId="241FE33A">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07" w:name="_Toc24694"/>
      <w:bookmarkStart w:id="208" w:name="_Toc23526"/>
      <w:bookmarkStart w:id="209" w:name="_Toc15584"/>
      <w:r>
        <w:rPr>
          <w:rFonts w:hint="default" w:ascii="Times New Roman" w:hAnsi="Times New Roman" w:eastAsia="宋体" w:cs="Times New Roman"/>
          <w:color w:val="auto"/>
          <w:kern w:val="0"/>
          <w:sz w:val="24"/>
          <w:szCs w:val="24"/>
          <w:highlight w:val="none"/>
          <w:lang w:val="en-US" w:eastAsia="zh-CN"/>
        </w:rPr>
        <w:t>当发生火灾、爆炸、危险品泄漏等事故时，警戒组应立即警戒事故现场，并打开最近通道，当消防车辆到达后，引导消防车辆进入事故现场，同时，禁止无关人员进入事故现场，组织与施救无关人员到安全地带。</w:t>
      </w:r>
      <w:bookmarkEnd w:id="207"/>
      <w:bookmarkEnd w:id="208"/>
      <w:bookmarkEnd w:id="209"/>
    </w:p>
    <w:p w14:paraId="4FC3562D">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ab/>
      </w:r>
      <w:bookmarkStart w:id="210" w:name="_Toc9705"/>
      <w:bookmarkStart w:id="211" w:name="_Toc2680"/>
      <w:bookmarkStart w:id="212" w:name="_Toc30926"/>
      <w:r>
        <w:rPr>
          <w:rFonts w:hint="default" w:ascii="Times New Roman" w:hAnsi="Times New Roman" w:eastAsia="宋体" w:cs="Times New Roman"/>
          <w:color w:val="auto"/>
          <w:kern w:val="0"/>
          <w:sz w:val="24"/>
          <w:szCs w:val="24"/>
          <w:highlight w:val="none"/>
          <w:lang w:val="en-US" w:eastAsia="zh-CN"/>
        </w:rPr>
        <w:t>（二）  人员急救措施</w:t>
      </w:r>
      <w:bookmarkEnd w:id="210"/>
      <w:bookmarkEnd w:id="211"/>
      <w:bookmarkEnd w:id="212"/>
    </w:p>
    <w:p w14:paraId="6E18AC51">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13" w:name="_Toc22979"/>
      <w:bookmarkStart w:id="214" w:name="_Toc25379"/>
      <w:bookmarkStart w:id="215" w:name="_Toc29182"/>
      <w:r>
        <w:rPr>
          <w:rFonts w:hint="default" w:ascii="Times New Roman" w:hAnsi="Times New Roman" w:eastAsia="宋体" w:cs="Times New Roman"/>
          <w:color w:val="auto"/>
          <w:kern w:val="0"/>
          <w:sz w:val="24"/>
          <w:szCs w:val="24"/>
          <w:highlight w:val="none"/>
          <w:lang w:val="en-US" w:eastAsia="zh-CN"/>
        </w:rPr>
        <w:t>当发生人员受伤时，现场受伤人员应迅速转移到安全区域，由医护人员实施救护，严重者送到医院抢救。如发生事故时，有员工受伤，首先拨打电话120请求救援，如120急救车不能及时赶到，应由公司指派车辆（人员） 护送伤员到医院进行救治。</w:t>
      </w:r>
      <w:bookmarkEnd w:id="213"/>
      <w:bookmarkEnd w:id="214"/>
      <w:bookmarkEnd w:id="215"/>
    </w:p>
    <w:p w14:paraId="63AB100B">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ab/>
      </w:r>
      <w:bookmarkStart w:id="216" w:name="_Toc30818"/>
      <w:bookmarkStart w:id="217" w:name="_Toc29325"/>
      <w:bookmarkStart w:id="218" w:name="_Toc178"/>
      <w:r>
        <w:rPr>
          <w:rFonts w:hint="default" w:ascii="Times New Roman" w:hAnsi="Times New Roman" w:eastAsia="宋体" w:cs="Times New Roman"/>
          <w:color w:val="auto"/>
          <w:kern w:val="0"/>
          <w:sz w:val="24"/>
          <w:szCs w:val="24"/>
          <w:highlight w:val="none"/>
          <w:lang w:val="en-US" w:eastAsia="zh-CN"/>
        </w:rPr>
        <w:t>（三）  逃生路线</w:t>
      </w:r>
      <w:bookmarkEnd w:id="216"/>
      <w:bookmarkEnd w:id="217"/>
      <w:bookmarkEnd w:id="218"/>
    </w:p>
    <w:p w14:paraId="7A36567D">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19" w:name="_Toc11663"/>
      <w:bookmarkStart w:id="220" w:name="_Toc3361"/>
      <w:bookmarkStart w:id="221" w:name="_Toc9599"/>
      <w:r>
        <w:rPr>
          <w:rFonts w:hint="default" w:ascii="Times New Roman" w:hAnsi="Times New Roman" w:eastAsia="宋体" w:cs="Times New Roman"/>
          <w:color w:val="auto"/>
          <w:kern w:val="0"/>
          <w:sz w:val="24"/>
          <w:szCs w:val="24"/>
          <w:highlight w:val="none"/>
          <w:lang w:val="en-US" w:eastAsia="zh-CN"/>
        </w:rPr>
        <w:t>一旦发生对人危害性较大的重特大事故时，及时逃生将是降低事故损失非常关键的步骤，在应急救援领导小组组长下达撤离事故现场的命令后，撤离人员，应迅速从各岗位向规定区域进行逃生，逃生过程中必须沿消防路逃生，以便在发生意外时，可以进行及时有效的救治，缩短抢救人员的救援时间。</w:t>
      </w:r>
      <w:bookmarkEnd w:id="219"/>
      <w:bookmarkEnd w:id="220"/>
      <w:bookmarkEnd w:id="221"/>
    </w:p>
    <w:p w14:paraId="50F2392F">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ab/>
      </w:r>
      <w:bookmarkStart w:id="222" w:name="_Toc7356"/>
      <w:bookmarkStart w:id="223" w:name="_Toc25532"/>
      <w:bookmarkStart w:id="224" w:name="_Toc1230"/>
      <w:r>
        <w:rPr>
          <w:rFonts w:hint="default" w:ascii="Times New Roman" w:hAnsi="Times New Roman" w:eastAsia="宋体" w:cs="Times New Roman"/>
          <w:color w:val="auto"/>
          <w:kern w:val="0"/>
          <w:sz w:val="24"/>
          <w:szCs w:val="24"/>
          <w:highlight w:val="none"/>
          <w:lang w:val="en-US" w:eastAsia="zh-CN"/>
        </w:rPr>
        <w:t>（四）  社会关注区应急撤离、疏散计划</w:t>
      </w:r>
      <w:bookmarkEnd w:id="222"/>
      <w:bookmarkEnd w:id="223"/>
      <w:bookmarkEnd w:id="224"/>
    </w:p>
    <w:p w14:paraId="14102125">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25" w:name="_Toc15608"/>
      <w:bookmarkStart w:id="226" w:name="_Toc23104"/>
      <w:bookmarkStart w:id="227" w:name="_Toc11611"/>
      <w:r>
        <w:rPr>
          <w:rFonts w:hint="default" w:ascii="Times New Roman" w:hAnsi="Times New Roman" w:eastAsia="宋体" w:cs="Times New Roman"/>
          <w:color w:val="auto"/>
          <w:kern w:val="0"/>
          <w:sz w:val="24"/>
          <w:szCs w:val="24"/>
          <w:highlight w:val="none"/>
          <w:lang w:val="en-US" w:eastAsia="zh-CN"/>
        </w:rPr>
        <w:t>1、应急撤离步骤和指导思想</w:t>
      </w:r>
      <w:bookmarkEnd w:id="225"/>
      <w:bookmarkEnd w:id="226"/>
      <w:bookmarkEnd w:id="227"/>
    </w:p>
    <w:p w14:paraId="357A2B13">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28" w:name="_Toc10826"/>
      <w:bookmarkStart w:id="229" w:name="_Toc26333"/>
      <w:bookmarkStart w:id="230" w:name="_Toc1373"/>
      <w:r>
        <w:rPr>
          <w:rFonts w:hint="default" w:ascii="Times New Roman" w:hAnsi="Times New Roman" w:eastAsia="宋体" w:cs="Times New Roman"/>
          <w:color w:val="auto"/>
          <w:kern w:val="0"/>
          <w:sz w:val="24"/>
          <w:szCs w:val="24"/>
          <w:highlight w:val="none"/>
          <w:lang w:val="en-US" w:eastAsia="zh-CN"/>
        </w:rPr>
        <w:t>当发生有毒有害物质泄漏、火灾、爆炸事故时，应对重点关注区制定详细的应急响应预案及应急撤离、疏散计划，具体如下：</w:t>
      </w:r>
      <w:bookmarkEnd w:id="228"/>
      <w:bookmarkEnd w:id="229"/>
      <w:bookmarkEnd w:id="230"/>
    </w:p>
    <w:p w14:paraId="43CF9790">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31" w:name="_Toc15141"/>
      <w:bookmarkStart w:id="232" w:name="_Toc16401"/>
      <w:bookmarkStart w:id="233" w:name="_Toc25401"/>
      <w:r>
        <w:rPr>
          <w:rFonts w:hint="default" w:ascii="Times New Roman" w:hAnsi="Times New Roman" w:eastAsia="宋体" w:cs="Times New Roman"/>
          <w:color w:val="auto"/>
          <w:kern w:val="0"/>
          <w:sz w:val="24"/>
          <w:szCs w:val="24"/>
          <w:highlight w:val="none"/>
          <w:lang w:val="en-US" w:eastAsia="zh-CN"/>
        </w:rPr>
        <w:t>(1) 根据《突发公共卫生事件应急条例》的要求，坚决贯彻“信息畅通、反应快捷、指挥有力、责任明确”的应急原则分别制定各关注区的“公共安全应急预案”。</w:t>
      </w:r>
      <w:bookmarkEnd w:id="231"/>
      <w:bookmarkEnd w:id="232"/>
      <w:bookmarkEnd w:id="233"/>
    </w:p>
    <w:p w14:paraId="4E7F6EDA">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34" w:name="_Toc11956"/>
      <w:bookmarkStart w:id="235" w:name="_Toc26302"/>
      <w:bookmarkStart w:id="236" w:name="_Toc12304"/>
      <w:r>
        <w:rPr>
          <w:rFonts w:hint="default" w:ascii="Times New Roman" w:hAnsi="Times New Roman" w:eastAsia="宋体" w:cs="Times New Roman"/>
          <w:color w:val="auto"/>
          <w:kern w:val="0"/>
          <w:sz w:val="24"/>
          <w:szCs w:val="24"/>
          <w:highlight w:val="none"/>
          <w:lang w:val="en-US" w:eastAsia="zh-CN"/>
        </w:rPr>
        <w:t>(2) 重点关注区常设专项机构、专人与建设单位调度室保持联系，无事故状态下进行定期信息互换和监督管理，事故状态下则进行事故报警、应急措施指导、通报以及处理结果反馈等紧急信息联络。</w:t>
      </w:r>
      <w:bookmarkEnd w:id="234"/>
      <w:bookmarkEnd w:id="235"/>
      <w:bookmarkEnd w:id="236"/>
    </w:p>
    <w:p w14:paraId="0E650BEE">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37" w:name="_Toc24442"/>
      <w:bookmarkStart w:id="238" w:name="_Toc30472"/>
      <w:bookmarkStart w:id="239" w:name="_Toc21789"/>
      <w:r>
        <w:rPr>
          <w:rFonts w:hint="default" w:ascii="Times New Roman" w:hAnsi="Times New Roman" w:eastAsia="宋体" w:cs="Times New Roman"/>
          <w:color w:val="auto"/>
          <w:kern w:val="0"/>
          <w:sz w:val="24"/>
          <w:szCs w:val="24"/>
          <w:highlight w:val="none"/>
          <w:lang w:val="en-US" w:eastAsia="zh-CN"/>
        </w:rPr>
        <w:t>(3) 在发生特重大有毒有害物质泄漏、火灾、爆炸事故情况下，调度室应立即通知受影响敏感区公共安全应急预案小组，预案指导小组应根据事故通报信息及时通过高音广播或专职信息员向受灾居民报警，杜绝明火，主要路口组织人员发放安全防范用具（防毒面具、口罩等），并按照风向、风速指示器及撤离应急计划安排敏感区内居民有序、快速撤离到远离事故地点的空旷地带，附近地区消防、公安武警、医疗机构及时出调相关人员，确保撤离路线安全、通畅、组织有序、救护及时。对于老弱病残人员，应组织专业人员或车辆进行特殊保护、撤离。并要求启动人员安置及物资供应紧急方案， 同时向相关地方部门和国家有关部门及时通报应急处理情况。</w:t>
      </w:r>
      <w:bookmarkEnd w:id="237"/>
      <w:bookmarkEnd w:id="238"/>
      <w:bookmarkEnd w:id="239"/>
    </w:p>
    <w:p w14:paraId="46B2C243">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40" w:name="_Toc15469"/>
      <w:bookmarkStart w:id="241" w:name="_Toc17474"/>
      <w:bookmarkStart w:id="242" w:name="_Toc24361"/>
      <w:r>
        <w:rPr>
          <w:rFonts w:hint="default" w:ascii="Times New Roman" w:hAnsi="Times New Roman" w:eastAsia="宋体" w:cs="Times New Roman"/>
          <w:color w:val="auto"/>
          <w:kern w:val="0"/>
          <w:sz w:val="24"/>
          <w:szCs w:val="24"/>
          <w:highlight w:val="none"/>
          <w:lang w:val="en-US" w:eastAsia="zh-CN"/>
        </w:rPr>
        <w:t>(4) 突发事故结束后，根据敏感点的实际情况，结合环境监测部门的监测结果，由受害区应急预案小组协同地方政府、建设单位等相关部门，通知、组织安排撤离人员有序返回，必要时应提供相关帮助和支持，做好人员返回后的善后、赔偿、教育工作，并适时宣布关闭事故应急程序。</w:t>
      </w:r>
      <w:bookmarkEnd w:id="240"/>
      <w:bookmarkEnd w:id="241"/>
      <w:bookmarkEnd w:id="242"/>
    </w:p>
    <w:p w14:paraId="17653465">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43" w:name="_Toc6369"/>
      <w:bookmarkStart w:id="244" w:name="_Toc10749"/>
      <w:bookmarkStart w:id="245" w:name="_Toc25325"/>
      <w:r>
        <w:rPr>
          <w:rFonts w:hint="default" w:ascii="Times New Roman" w:hAnsi="Times New Roman" w:eastAsia="宋体" w:cs="Times New Roman"/>
          <w:color w:val="auto"/>
          <w:kern w:val="0"/>
          <w:sz w:val="24"/>
          <w:szCs w:val="24"/>
          <w:highlight w:val="none"/>
          <w:lang w:val="en-US" w:eastAsia="zh-CN"/>
        </w:rPr>
        <w:t>(5) 结合本公司事故应急预案，定期组织敏感点内常驻居民健康、进行安全教育和应急预案演习，提高自我防范意识和自救能力，安排能力较强居民作为安全协防人员，协调敏感区应急指导小组与居民群众的紧急事故处理关系</w:t>
      </w:r>
      <w:bookmarkEnd w:id="243"/>
      <w:bookmarkEnd w:id="244"/>
      <w:bookmarkEnd w:id="245"/>
    </w:p>
    <w:p w14:paraId="5B5A43B0">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46" w:name="_Toc31384"/>
      <w:bookmarkStart w:id="247" w:name="_Toc5452"/>
      <w:bookmarkStart w:id="248" w:name="_Toc6473"/>
      <w:r>
        <w:rPr>
          <w:rFonts w:hint="default" w:ascii="Times New Roman" w:hAnsi="Times New Roman" w:eastAsia="宋体" w:cs="Times New Roman"/>
          <w:color w:val="auto"/>
          <w:kern w:val="0"/>
          <w:sz w:val="24"/>
          <w:szCs w:val="24"/>
          <w:highlight w:val="none"/>
          <w:lang w:val="en-US" w:eastAsia="zh-CN"/>
        </w:rPr>
        <w:t>2、本项目应急撤离方案</w:t>
      </w:r>
      <w:bookmarkEnd w:id="246"/>
      <w:bookmarkEnd w:id="247"/>
      <w:bookmarkEnd w:id="248"/>
    </w:p>
    <w:p w14:paraId="57C88F93">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49" w:name="_Toc2181"/>
      <w:bookmarkStart w:id="250" w:name="_Toc12202"/>
      <w:bookmarkStart w:id="251" w:name="_Toc12275"/>
      <w:r>
        <w:rPr>
          <w:rFonts w:hint="default" w:ascii="Times New Roman" w:hAnsi="Times New Roman" w:eastAsia="宋体" w:cs="Times New Roman"/>
          <w:color w:val="auto"/>
          <w:kern w:val="0"/>
          <w:sz w:val="24"/>
          <w:szCs w:val="24"/>
          <w:highlight w:val="none"/>
          <w:lang w:val="en-US" w:eastAsia="zh-CN"/>
        </w:rPr>
        <w:t>本项目环境风险敏感的重点关注区包括：</w:t>
      </w:r>
      <w:bookmarkEnd w:id="249"/>
      <w:bookmarkEnd w:id="250"/>
      <w:bookmarkEnd w:id="251"/>
    </w:p>
    <w:p w14:paraId="1CC3168E">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52" w:name="_Toc15522"/>
      <w:bookmarkStart w:id="253" w:name="_Toc19614"/>
      <w:bookmarkStart w:id="254" w:name="_Toc11329"/>
      <w:r>
        <w:rPr>
          <w:rFonts w:hint="default" w:ascii="Times New Roman" w:hAnsi="Times New Roman" w:eastAsia="宋体" w:cs="Times New Roman"/>
          <w:color w:val="auto"/>
          <w:kern w:val="0"/>
          <w:sz w:val="24"/>
          <w:szCs w:val="24"/>
          <w:highlight w:val="none"/>
          <w:lang w:val="en-US" w:eastAsia="zh-CN"/>
        </w:rPr>
        <w:t>周边村庄：杨兰村、凤凰村等周边敏感点，并根据事态状况进行调整。</w:t>
      </w:r>
      <w:bookmarkEnd w:id="252"/>
      <w:bookmarkEnd w:id="253"/>
      <w:bookmarkEnd w:id="254"/>
    </w:p>
    <w:p w14:paraId="5878F760">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55" w:name="_Toc28360"/>
      <w:bookmarkStart w:id="256" w:name="_Toc7843"/>
      <w:bookmarkStart w:id="257" w:name="_Toc12437"/>
      <w:r>
        <w:rPr>
          <w:rFonts w:hint="default" w:ascii="Times New Roman" w:hAnsi="Times New Roman" w:eastAsia="宋体" w:cs="Times New Roman"/>
          <w:color w:val="auto"/>
          <w:kern w:val="0"/>
          <w:sz w:val="24"/>
          <w:szCs w:val="24"/>
          <w:highlight w:val="none"/>
          <w:lang w:val="en-US" w:eastAsia="zh-CN"/>
        </w:rPr>
        <w:t>周边企业：山东东瓷科技有限公司等。</w:t>
      </w:r>
      <w:bookmarkEnd w:id="255"/>
      <w:bookmarkEnd w:id="256"/>
      <w:bookmarkEnd w:id="257"/>
    </w:p>
    <w:p w14:paraId="75269926">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58" w:name="_Toc9637"/>
      <w:bookmarkStart w:id="259" w:name="_Toc22796"/>
      <w:bookmarkStart w:id="260" w:name="_Toc26122"/>
      <w:r>
        <w:rPr>
          <w:rFonts w:hint="default" w:ascii="Times New Roman" w:hAnsi="Times New Roman" w:eastAsia="宋体" w:cs="Times New Roman"/>
          <w:color w:val="auto"/>
          <w:kern w:val="0"/>
          <w:sz w:val="24"/>
          <w:szCs w:val="24"/>
          <w:highlight w:val="none"/>
          <w:lang w:val="en-US" w:eastAsia="zh-CN"/>
        </w:rPr>
        <w:t>建设单位需要与周边村庄、企业及行政办公单位等保持联系，事故发生后若有影响， 启动厂区的应急预案，进行联动，并由相关单位组织进行防护，必要时进行撤离。</w:t>
      </w:r>
      <w:bookmarkEnd w:id="258"/>
      <w:bookmarkEnd w:id="259"/>
      <w:bookmarkEnd w:id="260"/>
    </w:p>
    <w:p w14:paraId="7E301E27">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61" w:name="_Toc2860"/>
      <w:bookmarkStart w:id="262" w:name="_Toc20402"/>
      <w:bookmarkStart w:id="263" w:name="_Toc24277"/>
      <w:r>
        <w:rPr>
          <w:rFonts w:hint="default" w:ascii="Times New Roman" w:hAnsi="Times New Roman" w:eastAsia="宋体" w:cs="Times New Roman"/>
          <w:color w:val="auto"/>
          <w:kern w:val="0"/>
          <w:sz w:val="24"/>
          <w:szCs w:val="24"/>
          <w:highlight w:val="none"/>
          <w:lang w:val="en-US" w:eastAsia="zh-CN"/>
        </w:rPr>
        <w:t>受影响区域单位、社区人员疏散方法、方式及集结地点要求如下：</w:t>
      </w:r>
      <w:bookmarkEnd w:id="261"/>
      <w:bookmarkEnd w:id="262"/>
      <w:bookmarkEnd w:id="263"/>
    </w:p>
    <w:p w14:paraId="1A9722B9">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64" w:name="_Toc12639"/>
      <w:bookmarkStart w:id="265" w:name="_Toc12692"/>
      <w:bookmarkStart w:id="266" w:name="_Toc7924"/>
      <w:r>
        <w:rPr>
          <w:rFonts w:hint="default" w:ascii="Times New Roman" w:hAnsi="Times New Roman" w:eastAsia="宋体" w:cs="Times New Roman"/>
          <w:color w:val="auto"/>
          <w:kern w:val="0"/>
          <w:sz w:val="24"/>
          <w:szCs w:val="24"/>
          <w:highlight w:val="none"/>
          <w:lang w:val="en-US" w:eastAsia="zh-CN"/>
        </w:rPr>
        <w:t>(1) 疏散方法：①不要顺风向撤离，应向侧风向和上风方向转移，明确专人引导和护送疏散人员到安全区，并在疏散或撤离的路线上设立哨位，指明方向；②禁止进入污染区，以免引起污染；③如事故物质有毒时，需要佩戴个体防护用品或采用简易有效的防护措施，并有相应的监护措施；④受到污染的人员要经过洗消后才能离开；⑤清理疏散通道上的障碍物，携带应急照明设备指引疏散方向；⑥应急救援人员维持好现场秩序并建立交通管制点。</w:t>
      </w:r>
      <w:bookmarkEnd w:id="264"/>
      <w:bookmarkEnd w:id="265"/>
      <w:bookmarkEnd w:id="266"/>
    </w:p>
    <w:p w14:paraId="1E9DCEF9">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67" w:name="_Toc7943"/>
      <w:bookmarkStart w:id="268" w:name="_Toc17733"/>
      <w:bookmarkStart w:id="269" w:name="_Toc18433"/>
      <w:r>
        <w:rPr>
          <w:rFonts w:hint="default" w:ascii="Times New Roman" w:hAnsi="Times New Roman" w:eastAsia="宋体" w:cs="Times New Roman"/>
          <w:color w:val="auto"/>
          <w:kern w:val="0"/>
          <w:sz w:val="24"/>
          <w:szCs w:val="24"/>
          <w:highlight w:val="none"/>
          <w:lang w:val="en-US" w:eastAsia="zh-CN"/>
        </w:rPr>
        <w:t>(2) 疏散方式：各区域疏散小组成员按照现场总指挥指示的疏散次序引导区域人员有序的从安全出口疏散，对受伤和情绪不稳定的人提供帮助，到达安全地点时要注意清点人数。</w:t>
      </w:r>
      <w:bookmarkEnd w:id="267"/>
      <w:bookmarkEnd w:id="268"/>
      <w:bookmarkEnd w:id="269"/>
    </w:p>
    <w:p w14:paraId="5C8ABE3A">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70" w:name="_Toc23998"/>
      <w:bookmarkStart w:id="271" w:name="_Toc375"/>
      <w:bookmarkStart w:id="272" w:name="_Toc31726"/>
      <w:r>
        <w:rPr>
          <w:rFonts w:hint="default" w:ascii="Times New Roman" w:hAnsi="Times New Roman" w:eastAsia="宋体" w:cs="Times New Roman"/>
          <w:color w:val="auto"/>
          <w:kern w:val="0"/>
          <w:sz w:val="24"/>
          <w:szCs w:val="24"/>
          <w:highlight w:val="none"/>
          <w:lang w:val="en-US" w:eastAsia="zh-CN"/>
        </w:rPr>
        <w:t>(3) 疏散集结地点：根据现场的道路交通条件和人群分布特点，确定紧急疏散路线。同时，选择交通条件便利、可满足疏散人群基本生活条件、处于泄漏点上风处的大面积空地作为集结地点。紧急疏散时应向侧风向和上风方向转移，疏散路线和疏散集结点根据事故时风向及时调整</w:t>
      </w:r>
      <w:bookmarkEnd w:id="270"/>
      <w:bookmarkEnd w:id="271"/>
      <w:bookmarkEnd w:id="272"/>
    </w:p>
    <w:p w14:paraId="0AA20299">
      <w:pPr>
        <w:pStyle w:val="1399"/>
        <w:keepNext w:val="0"/>
        <w:keepLines w:val="0"/>
        <w:pageBreakBefore w:val="0"/>
        <w:kinsoku/>
        <w:wordWrap/>
        <w:overflowPunct/>
        <w:topLinePunct w:val="0"/>
        <w:autoSpaceDE/>
        <w:autoSpaceDN/>
        <w:bidi w:val="0"/>
        <w:adjustRightInd w:val="0"/>
        <w:snapToGrid w:val="0"/>
        <w:spacing w:before="0" w:after="0" w:line="360" w:lineRule="auto"/>
        <w:ind w:left="0" w:leftChars="0" w:right="0"/>
        <w:textAlignment w:val="auto"/>
        <w:outlineLvl w:val="9"/>
        <w:rPr>
          <w:rFonts w:hint="default" w:ascii="Times New Roman" w:hAnsi="Times New Roman" w:eastAsia="宋体" w:cs="Times New Roman"/>
          <w:b/>
          <w:bCs w:val="0"/>
          <w:color w:val="auto"/>
          <w:sz w:val="28"/>
          <w:szCs w:val="28"/>
          <w:lang w:val="en-US" w:eastAsia="zh-CN"/>
        </w:rPr>
      </w:pPr>
      <w:bookmarkStart w:id="273" w:name="_Toc20790"/>
      <w:r>
        <w:rPr>
          <w:rFonts w:hint="default" w:ascii="Times New Roman" w:hAnsi="Times New Roman" w:eastAsia="宋体" w:cs="Times New Roman"/>
          <w:b/>
          <w:bCs w:val="0"/>
          <w:color w:val="auto"/>
          <w:sz w:val="28"/>
          <w:szCs w:val="28"/>
          <w:lang w:val="en-US" w:eastAsia="zh-CN"/>
        </w:rPr>
        <w:t>7.5.6 事故应急终止</w:t>
      </w:r>
      <w:bookmarkEnd w:id="273"/>
    </w:p>
    <w:p w14:paraId="2A8F0A51">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74" w:name="_Toc513"/>
      <w:bookmarkStart w:id="275" w:name="_Toc11145"/>
      <w:bookmarkStart w:id="276" w:name="_Toc25249"/>
      <w:r>
        <w:rPr>
          <w:rFonts w:hint="default" w:ascii="Times New Roman" w:hAnsi="Times New Roman" w:eastAsia="宋体" w:cs="Times New Roman"/>
          <w:color w:val="auto"/>
          <w:kern w:val="0"/>
          <w:sz w:val="24"/>
          <w:szCs w:val="24"/>
          <w:highlight w:val="none"/>
          <w:lang w:val="en-US" w:eastAsia="zh-CN"/>
        </w:rPr>
        <w:t>（1）现场应急救援指挥部确认终止时机（或事件负责单位提出），经现场应急救援指挥部批准应急终止。</w:t>
      </w:r>
      <w:bookmarkEnd w:id="274"/>
      <w:bookmarkEnd w:id="275"/>
      <w:bookmarkEnd w:id="276"/>
    </w:p>
    <w:p w14:paraId="4C97666E">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77" w:name="_Toc21457"/>
      <w:bookmarkStart w:id="278" w:name="_Toc10254"/>
      <w:bookmarkStart w:id="279" w:name="_Toc15062"/>
      <w:r>
        <w:rPr>
          <w:rFonts w:hint="default" w:ascii="Times New Roman" w:hAnsi="Times New Roman" w:eastAsia="宋体" w:cs="Times New Roman"/>
          <w:color w:val="auto"/>
          <w:kern w:val="0"/>
          <w:sz w:val="24"/>
          <w:szCs w:val="24"/>
          <w:highlight w:val="none"/>
          <w:lang w:val="en-US" w:eastAsia="zh-CN"/>
        </w:rPr>
        <w:t>（2）现存应急救援指挥部向所属各专业应急救援队伍下达应急终止命令。</w:t>
      </w:r>
      <w:bookmarkEnd w:id="277"/>
      <w:bookmarkEnd w:id="278"/>
      <w:bookmarkEnd w:id="279"/>
    </w:p>
    <w:p w14:paraId="575DBA7E">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80" w:name="_Toc3961"/>
      <w:bookmarkStart w:id="281" w:name="_Toc23813"/>
      <w:bookmarkStart w:id="282" w:name="_Toc6020"/>
      <w:r>
        <w:rPr>
          <w:rFonts w:hint="default" w:ascii="Times New Roman" w:hAnsi="Times New Roman" w:eastAsia="宋体" w:cs="Times New Roman"/>
          <w:color w:val="auto"/>
          <w:kern w:val="0"/>
          <w:sz w:val="24"/>
          <w:szCs w:val="24"/>
          <w:highlight w:val="none"/>
          <w:lang w:val="en-US" w:eastAsia="zh-CN"/>
        </w:rPr>
        <w:t>（3）应急状态终止后，环境事件应急指挥部应根据实际情况和上级应急指挥机构有关指示，继续进行环境监测和评价工作，直至其他补救措施无需继续进行为止。</w:t>
      </w:r>
      <w:bookmarkEnd w:id="280"/>
      <w:bookmarkEnd w:id="281"/>
      <w:bookmarkEnd w:id="282"/>
    </w:p>
    <w:p w14:paraId="57D16139">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83" w:name="_Toc17793"/>
      <w:bookmarkStart w:id="284" w:name="_Toc19943"/>
      <w:bookmarkStart w:id="285" w:name="_Toc16831"/>
      <w:r>
        <w:rPr>
          <w:rFonts w:hint="default" w:ascii="Times New Roman" w:hAnsi="Times New Roman" w:eastAsia="宋体" w:cs="Times New Roman"/>
          <w:color w:val="auto"/>
          <w:kern w:val="0"/>
          <w:sz w:val="24"/>
          <w:szCs w:val="24"/>
          <w:highlight w:val="none"/>
          <w:lang w:val="en-US" w:eastAsia="zh-CN"/>
        </w:rPr>
        <w:t>（4）应急状态终止后，在生产副总经理指挥下组成由生产、安全环保和发生事故单位参加的事故调查小组；调查是事故发生的原因和研究制定防范措施；保护事故现场，需要移动现场物品时，应当做出标记和书面记录，妥善保管有关证物；对事故过程中造成的人员伤亡和财产损失做收集统计、归纳、形成文件，为进一步处理事故的工作提供资料，并按照国家有关规定及时向有关部门进行事故报告。</w:t>
      </w:r>
      <w:bookmarkEnd w:id="283"/>
      <w:bookmarkEnd w:id="284"/>
      <w:bookmarkEnd w:id="285"/>
    </w:p>
    <w:p w14:paraId="3F3AACF4">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86" w:name="_Toc28835"/>
      <w:bookmarkStart w:id="287" w:name="_Toc8742"/>
      <w:bookmarkStart w:id="288" w:name="_Toc28769"/>
      <w:r>
        <w:rPr>
          <w:rFonts w:hint="default" w:ascii="Times New Roman" w:hAnsi="Times New Roman" w:eastAsia="宋体" w:cs="Times New Roman"/>
          <w:color w:val="auto"/>
          <w:kern w:val="0"/>
          <w:sz w:val="24"/>
          <w:szCs w:val="24"/>
          <w:highlight w:val="none"/>
          <w:lang w:val="en-US" w:eastAsia="zh-CN"/>
        </w:rPr>
        <w:t>（5）应急状态终止后妥善处理好在事故中伤亡人员的善后工作，尽快组织恢复正常的生产和工作。</w:t>
      </w:r>
      <w:bookmarkEnd w:id="286"/>
      <w:bookmarkEnd w:id="287"/>
      <w:bookmarkEnd w:id="288"/>
    </w:p>
    <w:p w14:paraId="4D412DDA">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89" w:name="_Toc6612"/>
      <w:bookmarkStart w:id="290" w:name="_Toc18651"/>
      <w:bookmarkStart w:id="291" w:name="_Toc3178"/>
      <w:r>
        <w:rPr>
          <w:rFonts w:hint="default" w:ascii="Times New Roman" w:hAnsi="Times New Roman" w:eastAsia="宋体" w:cs="Times New Roman"/>
          <w:color w:val="auto"/>
          <w:kern w:val="0"/>
          <w:sz w:val="24"/>
          <w:szCs w:val="24"/>
          <w:highlight w:val="none"/>
          <w:lang w:val="en-US" w:eastAsia="zh-CN"/>
        </w:rPr>
        <w:t>（6）对应急预案在事故发生实施的全过程，认真科学的作出总结，完善预案中的不足和缺陷，为今后的预案建立、制定提供经验和完善的依据。</w:t>
      </w:r>
      <w:bookmarkEnd w:id="289"/>
      <w:bookmarkEnd w:id="290"/>
      <w:bookmarkEnd w:id="291"/>
    </w:p>
    <w:p w14:paraId="01467187">
      <w:pPr>
        <w:pStyle w:val="1399"/>
        <w:keepNext w:val="0"/>
        <w:keepLines w:val="0"/>
        <w:pageBreakBefore w:val="0"/>
        <w:kinsoku/>
        <w:wordWrap/>
        <w:overflowPunct/>
        <w:topLinePunct w:val="0"/>
        <w:autoSpaceDE/>
        <w:autoSpaceDN/>
        <w:bidi w:val="0"/>
        <w:adjustRightInd w:val="0"/>
        <w:snapToGrid w:val="0"/>
        <w:spacing w:before="0" w:after="0" w:line="360" w:lineRule="auto"/>
        <w:ind w:left="0" w:leftChars="0" w:right="0"/>
        <w:textAlignment w:val="auto"/>
        <w:outlineLvl w:val="9"/>
        <w:rPr>
          <w:rFonts w:hint="default" w:ascii="Times New Roman" w:hAnsi="Times New Roman" w:eastAsia="宋体" w:cs="Times New Roman"/>
          <w:b/>
          <w:bCs w:val="0"/>
          <w:color w:val="auto"/>
          <w:sz w:val="28"/>
          <w:szCs w:val="28"/>
          <w:lang w:val="en-US" w:eastAsia="zh-CN"/>
        </w:rPr>
      </w:pPr>
      <w:bookmarkStart w:id="292" w:name="_Toc16572"/>
      <w:r>
        <w:rPr>
          <w:rFonts w:hint="default" w:ascii="Times New Roman" w:hAnsi="Times New Roman" w:eastAsia="宋体" w:cs="Times New Roman"/>
          <w:b/>
          <w:bCs w:val="0"/>
          <w:color w:val="auto"/>
          <w:sz w:val="28"/>
          <w:szCs w:val="28"/>
          <w:lang w:val="en-US" w:eastAsia="zh-CN"/>
        </w:rPr>
        <w:t>7.5.7 预案演练</w:t>
      </w:r>
      <w:bookmarkEnd w:id="292"/>
    </w:p>
    <w:p w14:paraId="151C9365">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93" w:name="_Toc17914"/>
      <w:bookmarkStart w:id="294" w:name="_Toc17470"/>
      <w:bookmarkStart w:id="295" w:name="_Toc12100"/>
      <w:r>
        <w:rPr>
          <w:rFonts w:hint="default" w:ascii="Times New Roman" w:hAnsi="Times New Roman" w:eastAsia="宋体" w:cs="Times New Roman"/>
          <w:color w:val="auto"/>
          <w:kern w:val="0"/>
          <w:sz w:val="24"/>
          <w:szCs w:val="24"/>
          <w:highlight w:val="none"/>
          <w:lang w:val="en-US" w:eastAsia="zh-CN"/>
        </w:rPr>
        <w:t>（1）应急救援人员培训</w:t>
      </w:r>
      <w:bookmarkEnd w:id="293"/>
      <w:bookmarkEnd w:id="294"/>
      <w:bookmarkEnd w:id="295"/>
    </w:p>
    <w:p w14:paraId="32C3BC03">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96" w:name="_Toc6624"/>
      <w:bookmarkStart w:id="297" w:name="_Toc12911"/>
      <w:bookmarkStart w:id="298" w:name="_Toc23387"/>
      <w:r>
        <w:rPr>
          <w:rFonts w:hint="default" w:ascii="Times New Roman" w:hAnsi="Times New Roman" w:eastAsia="宋体" w:cs="Times New Roman"/>
          <w:color w:val="auto"/>
          <w:kern w:val="0"/>
          <w:sz w:val="24"/>
          <w:szCs w:val="24"/>
          <w:highlight w:val="none"/>
          <w:lang w:val="en-US" w:eastAsia="zh-CN"/>
        </w:rPr>
        <w:t>建设单位应定期对应急救援人员进行应急事故处理及紧急救援培训，应急救援人员的培训由领导小组统一安排指定专人进行。</w:t>
      </w:r>
      <w:bookmarkEnd w:id="296"/>
      <w:bookmarkEnd w:id="297"/>
      <w:bookmarkEnd w:id="298"/>
    </w:p>
    <w:p w14:paraId="3BB2E52A">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299" w:name="_Toc27998"/>
      <w:bookmarkStart w:id="300" w:name="_Toc11199"/>
      <w:bookmarkStart w:id="301" w:name="_Toc21031"/>
      <w:r>
        <w:rPr>
          <w:rFonts w:hint="default" w:ascii="Times New Roman" w:hAnsi="Times New Roman" w:eastAsia="宋体" w:cs="Times New Roman"/>
          <w:color w:val="auto"/>
          <w:kern w:val="0"/>
          <w:sz w:val="24"/>
          <w:szCs w:val="24"/>
          <w:highlight w:val="none"/>
          <w:lang w:val="en-US" w:eastAsia="zh-CN"/>
        </w:rPr>
        <w:t>（2）员工应急响应的培训</w:t>
      </w:r>
      <w:bookmarkEnd w:id="299"/>
      <w:bookmarkEnd w:id="300"/>
      <w:bookmarkEnd w:id="301"/>
    </w:p>
    <w:p w14:paraId="12330106">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302" w:name="_Toc28106"/>
      <w:bookmarkStart w:id="303" w:name="_Toc10614"/>
      <w:bookmarkStart w:id="304" w:name="_Toc22305"/>
      <w:r>
        <w:rPr>
          <w:rFonts w:hint="default" w:ascii="Times New Roman" w:hAnsi="Times New Roman" w:eastAsia="宋体" w:cs="Times New Roman"/>
          <w:color w:val="auto"/>
          <w:kern w:val="0"/>
          <w:sz w:val="24"/>
          <w:szCs w:val="24"/>
          <w:highlight w:val="none"/>
          <w:lang w:val="en-US" w:eastAsia="zh-CN"/>
        </w:rPr>
        <w:t>由公司组织应急救援人员定期对员工进行应急事故处理及紧急救援培训，提高员工风险防范意识及自救能力。</w:t>
      </w:r>
      <w:bookmarkEnd w:id="302"/>
      <w:bookmarkEnd w:id="303"/>
      <w:bookmarkEnd w:id="304"/>
    </w:p>
    <w:p w14:paraId="4055C40B">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305" w:name="_Toc16971"/>
      <w:bookmarkStart w:id="306" w:name="_Toc21144"/>
      <w:bookmarkStart w:id="307" w:name="_Toc15735"/>
      <w:r>
        <w:rPr>
          <w:rFonts w:hint="default" w:ascii="Times New Roman" w:hAnsi="Times New Roman" w:eastAsia="宋体" w:cs="Times New Roman"/>
          <w:color w:val="auto"/>
          <w:kern w:val="0"/>
          <w:sz w:val="24"/>
          <w:szCs w:val="24"/>
          <w:highlight w:val="none"/>
          <w:lang w:val="en-US" w:eastAsia="zh-CN"/>
        </w:rPr>
        <w:t>（3）演练计划</w:t>
      </w:r>
      <w:bookmarkEnd w:id="305"/>
      <w:bookmarkEnd w:id="306"/>
      <w:bookmarkEnd w:id="307"/>
    </w:p>
    <w:p w14:paraId="3494ACA1">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308" w:name="_Toc17826"/>
      <w:bookmarkStart w:id="309" w:name="_Toc5387"/>
      <w:bookmarkStart w:id="310" w:name="_Toc16033"/>
      <w:r>
        <w:rPr>
          <w:rFonts w:hint="default" w:ascii="Times New Roman" w:hAnsi="Times New Roman" w:eastAsia="宋体" w:cs="Times New Roman"/>
          <w:color w:val="auto"/>
          <w:kern w:val="0"/>
          <w:sz w:val="24"/>
          <w:szCs w:val="24"/>
          <w:highlight w:val="none"/>
          <w:lang w:val="en-US" w:eastAsia="zh-CN"/>
        </w:rPr>
        <w:t>建设单位需充分重视应急救援和演练，每年对应急救援队伍进行培训，明确分工和职责，掌握应急救援处理方法。制定应急预案的演练计划，定期组织应急预案演练，同时应建立与地方环境应急机构的联系，组织参与地方救援活动，开展相关的交流与合作。通过演练，达到检验预案、锻炼队伍、教育员工和提高能力的目的，也促进公司应急预案与当地政府应急预案的衔接和对应急预案的不断完善。</w:t>
      </w:r>
      <w:bookmarkEnd w:id="308"/>
      <w:bookmarkEnd w:id="309"/>
      <w:bookmarkEnd w:id="310"/>
    </w:p>
    <w:p w14:paraId="1BA35D57">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right="0"/>
        <w:jc w:val="both"/>
        <w:textAlignment w:val="auto"/>
        <w:outlineLvl w:val="1"/>
        <w:rPr>
          <w:rFonts w:hint="default" w:ascii="Times New Roman" w:hAnsi="Times New Roman" w:eastAsia="宋体" w:cs="Times New Roman"/>
          <w:b/>
          <w:bCs w:val="0"/>
          <w:color w:val="auto"/>
          <w:kern w:val="2"/>
          <w:sz w:val="32"/>
          <w:szCs w:val="32"/>
          <w:highlight w:val="none"/>
          <w:lang w:val="en-US" w:eastAsia="zh-CN"/>
        </w:rPr>
      </w:pPr>
      <w:bookmarkStart w:id="311" w:name="_Toc19750"/>
      <w:r>
        <w:rPr>
          <w:rFonts w:hint="default" w:ascii="Times New Roman" w:hAnsi="Times New Roman" w:eastAsia="宋体" w:cs="Times New Roman"/>
          <w:b/>
          <w:bCs w:val="0"/>
          <w:color w:val="auto"/>
          <w:kern w:val="2"/>
          <w:sz w:val="32"/>
          <w:szCs w:val="32"/>
          <w:highlight w:val="none"/>
          <w:lang w:val="en-US" w:eastAsia="zh-CN"/>
        </w:rPr>
        <w:t>8 评价结论及建议</w:t>
      </w:r>
      <w:bookmarkEnd w:id="311"/>
    </w:p>
    <w:p w14:paraId="0536D8C3">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right="0"/>
        <w:jc w:val="both"/>
        <w:textAlignment w:val="auto"/>
        <w:outlineLvl w:val="2"/>
        <w:rPr>
          <w:rFonts w:hint="default" w:ascii="Times New Roman" w:hAnsi="Times New Roman" w:eastAsia="宋体" w:cs="Times New Roman"/>
          <w:b/>
          <w:bCs w:val="0"/>
          <w:color w:val="auto"/>
          <w:kern w:val="2"/>
          <w:sz w:val="32"/>
          <w:szCs w:val="32"/>
          <w:highlight w:val="none"/>
          <w:lang w:val="en-US" w:eastAsia="zh-CN"/>
        </w:rPr>
      </w:pPr>
      <w:bookmarkStart w:id="312" w:name="_Toc8677"/>
      <w:r>
        <w:rPr>
          <w:rFonts w:hint="default" w:ascii="Times New Roman" w:hAnsi="Times New Roman" w:eastAsia="宋体" w:cs="Times New Roman"/>
          <w:b/>
          <w:bCs w:val="0"/>
          <w:color w:val="auto"/>
          <w:kern w:val="2"/>
          <w:sz w:val="32"/>
          <w:szCs w:val="32"/>
          <w:highlight w:val="none"/>
          <w:lang w:val="en-US" w:eastAsia="zh-CN"/>
        </w:rPr>
        <w:t>8.1 项目危险因素</w:t>
      </w:r>
      <w:bookmarkEnd w:id="312"/>
    </w:p>
    <w:p w14:paraId="6DCACA9F">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313" w:name="_Toc31287"/>
      <w:bookmarkStart w:id="314" w:name="_Toc4704"/>
      <w:bookmarkStart w:id="315" w:name="_Toc10563"/>
      <w:r>
        <w:rPr>
          <w:rFonts w:hint="default" w:ascii="Times New Roman" w:hAnsi="Times New Roman" w:eastAsia="宋体" w:cs="Times New Roman"/>
          <w:color w:val="auto"/>
          <w:kern w:val="0"/>
          <w:sz w:val="24"/>
          <w:szCs w:val="24"/>
          <w:highlight w:val="none"/>
          <w:lang w:val="en-US" w:eastAsia="zh-CN"/>
        </w:rPr>
        <w:t>项目涉及危险物料为天然气、硫酸铵、液压油等，项目风险物质存储量超过临界量，Q 值为</w:t>
      </w:r>
      <w:r>
        <w:rPr>
          <w:rFonts w:hint="eastAsia" w:ascii="Times New Roman" w:hAnsi="Times New Roman" w:eastAsia="宋体" w:cs="Times New Roman"/>
          <w:color w:val="auto"/>
          <w:kern w:val="0"/>
          <w:sz w:val="24"/>
          <w:szCs w:val="24"/>
          <w:highlight w:val="none"/>
          <w:lang w:val="en-US" w:eastAsia="zh-CN"/>
        </w:rPr>
        <w:t>402.7778</w:t>
      </w:r>
      <w:r>
        <w:rPr>
          <w:rFonts w:hint="default" w:ascii="Times New Roman" w:hAnsi="Times New Roman" w:eastAsia="宋体" w:cs="Times New Roman"/>
          <w:color w:val="auto"/>
          <w:kern w:val="0"/>
          <w:sz w:val="24"/>
          <w:szCs w:val="24"/>
          <w:highlight w:val="none"/>
          <w:lang w:val="en-US" w:eastAsia="zh-CN"/>
        </w:rPr>
        <w:t>，主要风险事故为硫酸铵泄漏造成对大气环境、地表水环境及地下水环境的影响。</w:t>
      </w:r>
      <w:bookmarkEnd w:id="313"/>
      <w:bookmarkEnd w:id="314"/>
      <w:bookmarkEnd w:id="315"/>
    </w:p>
    <w:p w14:paraId="2B341131">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right="0"/>
        <w:jc w:val="both"/>
        <w:textAlignment w:val="auto"/>
        <w:outlineLvl w:val="2"/>
        <w:rPr>
          <w:rFonts w:hint="default" w:ascii="Times New Roman" w:hAnsi="Times New Roman" w:eastAsia="宋体" w:cs="Times New Roman"/>
          <w:b/>
          <w:bCs w:val="0"/>
          <w:color w:val="auto"/>
          <w:kern w:val="2"/>
          <w:sz w:val="32"/>
          <w:szCs w:val="32"/>
          <w:highlight w:val="none"/>
          <w:lang w:val="en-US" w:eastAsia="zh-CN"/>
        </w:rPr>
      </w:pPr>
      <w:bookmarkStart w:id="316" w:name="_Toc25670"/>
      <w:r>
        <w:rPr>
          <w:rFonts w:hint="default" w:ascii="Times New Roman" w:hAnsi="Times New Roman" w:eastAsia="宋体" w:cs="Times New Roman"/>
          <w:b/>
          <w:bCs w:val="0"/>
          <w:color w:val="auto"/>
          <w:kern w:val="2"/>
          <w:sz w:val="32"/>
          <w:szCs w:val="32"/>
          <w:highlight w:val="none"/>
          <w:lang w:val="en-US" w:eastAsia="zh-CN"/>
        </w:rPr>
        <w:t>8.2 环境敏感性及事故环境影响</w:t>
      </w:r>
      <w:bookmarkEnd w:id="316"/>
    </w:p>
    <w:p w14:paraId="7E61DC45">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317" w:name="_Toc18185"/>
      <w:bookmarkStart w:id="318" w:name="_Toc10485"/>
      <w:bookmarkStart w:id="319" w:name="_Toc1490"/>
      <w:r>
        <w:rPr>
          <w:rFonts w:hint="default" w:ascii="Times New Roman" w:hAnsi="Times New Roman" w:eastAsia="宋体" w:cs="Times New Roman"/>
          <w:color w:val="auto"/>
          <w:kern w:val="0"/>
          <w:sz w:val="24"/>
          <w:szCs w:val="24"/>
          <w:highlight w:val="none"/>
          <w:lang w:val="en-US" w:eastAsia="zh-CN"/>
        </w:rPr>
        <w:t>项目大气环境敏感程度分级为 E2；地表水环境敏感程度分级为 E3；地下水环境敏感程度分级为 E3。</w:t>
      </w:r>
      <w:bookmarkEnd w:id="317"/>
      <w:bookmarkEnd w:id="318"/>
      <w:bookmarkEnd w:id="319"/>
    </w:p>
    <w:p w14:paraId="11483113">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320" w:name="_Toc32386"/>
      <w:bookmarkStart w:id="321" w:name="_Toc1592"/>
      <w:bookmarkStart w:id="322" w:name="_Toc11102"/>
      <w:r>
        <w:rPr>
          <w:rFonts w:hint="default" w:ascii="Times New Roman" w:hAnsi="Times New Roman" w:eastAsia="宋体" w:cs="Times New Roman"/>
          <w:color w:val="auto"/>
          <w:kern w:val="0"/>
          <w:sz w:val="24"/>
          <w:szCs w:val="24"/>
          <w:highlight w:val="none"/>
          <w:lang w:val="en-US" w:eastAsia="zh-CN"/>
        </w:rPr>
        <w:t>项目可能发生的主要风险事故为硫酸铵泄漏事故。项目硫酸铵发生泄漏时，受热分解氨气、SO2，在最不利气象条件下，发生氨气泄漏事故，敏感点未达到毒性终点浓度-1（阈值770mg/m3）和毒性终点浓度-2（阈值79mg/m3），发生SO2泄漏事故，在最不利气象条件下毒性终点浓度最大影响半径为76m，敏感点未达到毒性终点浓度-1（阈值79mg/m3）和毒性终点浓度-2（阈值2mg/m3），SO2对周边人群及企业影响不大。</w:t>
      </w:r>
      <w:bookmarkEnd w:id="320"/>
      <w:bookmarkEnd w:id="321"/>
      <w:bookmarkEnd w:id="322"/>
    </w:p>
    <w:p w14:paraId="716A41EB">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323" w:name="_Toc20099"/>
      <w:bookmarkStart w:id="324" w:name="_Toc2617"/>
      <w:bookmarkStart w:id="325" w:name="_Toc9471"/>
      <w:r>
        <w:rPr>
          <w:rFonts w:hint="default" w:ascii="Times New Roman" w:hAnsi="Times New Roman" w:eastAsia="宋体" w:cs="Times New Roman"/>
          <w:color w:val="auto"/>
          <w:kern w:val="0"/>
          <w:sz w:val="24"/>
          <w:szCs w:val="24"/>
          <w:highlight w:val="none"/>
          <w:lang w:val="en-US" w:eastAsia="zh-CN"/>
        </w:rPr>
        <w:t>正常情况下，本项目原料部分散装在原料仓库，部分贮存在包装袋内，且袋内均有塑料薄膜包裹，水喷淋废水主要存在于水喷淋装置中，更换时直接作为造粒用水用于生产，泄漏风险较小</w:t>
      </w:r>
      <w:r>
        <w:rPr>
          <w:rFonts w:hint="eastAsia" w:ascii="Times New Roman" w:hAnsi="Times New Roman" w:eastAsia="宋体"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rPr>
        <w:t>同时原料仓库地面严格按照相应规范采取硬化防渗处理，房屋四周设置导排水沟，因此在原料使用转运过程若硫酸铵洒落，硫酸铵为固体，一般情况下不会流出厂区，如遇下雨天气，洒落的物料液会随雨水进入厂界的导排水沟，项目在厂区拟建立三级防控系统，设置事故应急池（1座，容积200m3</w:t>
      </w:r>
      <w:r>
        <w:rPr>
          <w:rFonts w:hint="eastAsia" w:ascii="Times New Roman" w:hAnsi="Times New Roman" w:eastAsia="宋体"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rPr>
        <w:t>，能够有效收集初期雨水及事故废水，事故应急池严格做好防渗防腐、防漏等措施，能有效避免事故废水对周围地表水及地下水环境的影响。</w:t>
      </w:r>
      <w:bookmarkEnd w:id="323"/>
    </w:p>
    <w:p w14:paraId="5FDEBD27">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326" w:name="_Toc31288"/>
      <w:r>
        <w:rPr>
          <w:rFonts w:hint="default" w:ascii="Times New Roman" w:hAnsi="Times New Roman" w:eastAsia="宋体" w:cs="Times New Roman"/>
          <w:color w:val="auto"/>
          <w:kern w:val="0"/>
          <w:sz w:val="24"/>
          <w:szCs w:val="24"/>
          <w:highlight w:val="none"/>
          <w:lang w:val="en-US" w:eastAsia="zh-CN"/>
        </w:rPr>
        <w:t>因此，正常情况下，即使发生硫酸铵泄漏，同时恰逢下雨天气，也不会对地表水及地下水造成明显影响；建议企业应加强对相关设施设备的日常检修维护和监测工作，将有毒有害物质进入地表水、地下水环境的影响程度降至最低。</w:t>
      </w:r>
      <w:bookmarkEnd w:id="324"/>
      <w:bookmarkEnd w:id="325"/>
      <w:bookmarkEnd w:id="326"/>
    </w:p>
    <w:p w14:paraId="76C5CDFE">
      <w:pPr>
        <w:keepNext w:val="0"/>
        <w:keepLines w:val="0"/>
        <w:pageBreakBefore w:val="0"/>
        <w:widowControl/>
        <w:suppressLineNumbers w:val="0"/>
        <w:kinsoku/>
        <w:wordWrap/>
        <w:overflowPunct/>
        <w:topLinePunct w:val="0"/>
        <w:autoSpaceDE/>
        <w:autoSpaceDN/>
        <w:bidi w:val="0"/>
        <w:adjustRightInd w:val="0"/>
        <w:snapToGrid w:val="0"/>
        <w:spacing w:line="360" w:lineRule="auto"/>
        <w:ind w:left="0" w:leftChars="0" w:right="0"/>
        <w:jc w:val="both"/>
        <w:textAlignment w:val="auto"/>
        <w:outlineLvl w:val="2"/>
        <w:rPr>
          <w:rFonts w:hint="default" w:ascii="Times New Roman" w:hAnsi="Times New Roman" w:eastAsia="宋体" w:cs="Times New Roman"/>
          <w:b/>
          <w:bCs w:val="0"/>
          <w:color w:val="auto"/>
          <w:kern w:val="2"/>
          <w:sz w:val="32"/>
          <w:szCs w:val="32"/>
          <w:lang w:val="en-US" w:eastAsia="zh-CN"/>
        </w:rPr>
      </w:pPr>
      <w:bookmarkStart w:id="327" w:name="_Toc15069"/>
      <w:r>
        <w:rPr>
          <w:rFonts w:hint="default" w:ascii="Times New Roman" w:hAnsi="Times New Roman" w:eastAsia="宋体" w:cs="Times New Roman"/>
          <w:b/>
          <w:bCs w:val="0"/>
          <w:color w:val="auto"/>
          <w:kern w:val="2"/>
          <w:sz w:val="32"/>
          <w:szCs w:val="32"/>
          <w:lang w:val="en-US" w:eastAsia="zh-CN"/>
        </w:rPr>
        <w:t>8.3 环境风险防范措施和应急预案</w:t>
      </w:r>
      <w:bookmarkEnd w:id="327"/>
    </w:p>
    <w:p w14:paraId="37197F87">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328" w:name="_Toc26806"/>
      <w:bookmarkStart w:id="329" w:name="_Toc10446"/>
      <w:bookmarkStart w:id="330" w:name="_Toc28153"/>
      <w:r>
        <w:rPr>
          <w:rFonts w:hint="default" w:ascii="Times New Roman" w:hAnsi="Times New Roman" w:eastAsia="宋体" w:cs="Times New Roman"/>
          <w:color w:val="auto"/>
          <w:kern w:val="0"/>
          <w:sz w:val="24"/>
          <w:szCs w:val="24"/>
          <w:lang w:val="en-US" w:eastAsia="zh-CN" w:bidi="ar"/>
        </w:rPr>
        <w:t>项目生产装置具有潜在的事故风险，应从建设、生产、贮运等各方面积极采取</w:t>
      </w:r>
      <w:r>
        <w:rPr>
          <w:rFonts w:hint="default" w:ascii="Times New Roman" w:hAnsi="Times New Roman" w:eastAsia="宋体" w:cs="Times New Roman"/>
          <w:color w:val="auto"/>
          <w:kern w:val="0"/>
          <w:sz w:val="24"/>
          <w:szCs w:val="24"/>
          <w:highlight w:val="none"/>
          <w:lang w:val="en-US" w:eastAsia="zh-CN"/>
        </w:rPr>
        <w:t>措施。为了防范事故和减少事故的危害，应加强危险物料管理、完善安全生产制度、系统排查现有工程存在的环境风险，杜绝环境风险事故发生。当出现事故时，要采取紧急的工程应对措施，如有必要，要采取社会应急措施，并根据实时情况和事故种类确定人群疏散范围，以控制事故和减少对环境造成的危害。</w:t>
      </w:r>
      <w:bookmarkEnd w:id="328"/>
      <w:bookmarkEnd w:id="329"/>
      <w:bookmarkEnd w:id="330"/>
    </w:p>
    <w:p w14:paraId="6EB6E2FF">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331" w:name="_Toc27896"/>
      <w:bookmarkStart w:id="332" w:name="_Toc7626"/>
      <w:bookmarkStart w:id="333" w:name="_Toc11109"/>
      <w:r>
        <w:rPr>
          <w:rFonts w:hint="default" w:ascii="Times New Roman" w:hAnsi="Times New Roman" w:eastAsia="宋体" w:cs="Times New Roman"/>
          <w:color w:val="auto"/>
          <w:kern w:val="0"/>
          <w:sz w:val="24"/>
          <w:szCs w:val="24"/>
          <w:highlight w:val="none"/>
          <w:lang w:val="en-US" w:eastAsia="zh-CN"/>
        </w:rPr>
        <w:t>建设单位必须做好风险事故应急预案的编制、组织和实施工作，完善公司风险防范体系。</w:t>
      </w:r>
      <w:bookmarkEnd w:id="331"/>
      <w:bookmarkEnd w:id="332"/>
      <w:bookmarkEnd w:id="333"/>
    </w:p>
    <w:p w14:paraId="38A4556B">
      <w:pPr>
        <w:pStyle w:val="1399"/>
        <w:keepNext w:val="0"/>
        <w:keepLines w:val="0"/>
        <w:pageBreakBefore w:val="0"/>
        <w:kinsoku/>
        <w:wordWrap/>
        <w:overflowPunct/>
        <w:topLinePunct w:val="0"/>
        <w:autoSpaceDE/>
        <w:autoSpaceDN/>
        <w:bidi w:val="0"/>
        <w:adjustRightInd w:val="0"/>
        <w:snapToGrid w:val="0"/>
        <w:spacing w:before="0" w:after="0" w:line="360" w:lineRule="auto"/>
        <w:ind w:left="0" w:leftChars="0" w:right="0"/>
        <w:textAlignment w:val="auto"/>
        <w:outlineLvl w:val="9"/>
        <w:rPr>
          <w:rFonts w:hint="default" w:ascii="Times New Roman" w:hAnsi="Times New Roman" w:eastAsia="宋体" w:cs="Times New Roman"/>
          <w:b/>
          <w:bCs w:val="0"/>
          <w:color w:val="auto"/>
          <w:kern w:val="2"/>
          <w:sz w:val="32"/>
          <w:szCs w:val="32"/>
          <w:lang w:val="en-US" w:eastAsia="zh-CN" w:bidi="ar-SA"/>
        </w:rPr>
      </w:pPr>
      <w:bookmarkStart w:id="334" w:name="_Toc22303"/>
      <w:r>
        <w:rPr>
          <w:rFonts w:hint="default" w:ascii="Times New Roman" w:hAnsi="Times New Roman" w:eastAsia="宋体" w:cs="Times New Roman"/>
          <w:b/>
          <w:bCs w:val="0"/>
          <w:color w:val="auto"/>
          <w:kern w:val="2"/>
          <w:sz w:val="32"/>
          <w:szCs w:val="32"/>
          <w:lang w:val="en-US" w:eastAsia="zh-CN" w:bidi="ar-SA"/>
        </w:rPr>
        <w:t>8.4 环境风险评价结论与建议</w:t>
      </w:r>
      <w:bookmarkEnd w:id="334"/>
    </w:p>
    <w:p w14:paraId="7B04E7FA">
      <w:pPr>
        <w:keepNext w:val="0"/>
        <w:keepLines w:val="0"/>
        <w:pageBreakBefore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kern w:val="0"/>
          <w:sz w:val="24"/>
          <w:szCs w:val="24"/>
          <w:highlight w:val="none"/>
          <w:lang w:val="en-US" w:eastAsia="zh-CN"/>
        </w:rPr>
      </w:pPr>
      <w:bookmarkStart w:id="335" w:name="_Toc8392"/>
      <w:bookmarkStart w:id="336" w:name="_Toc9273"/>
      <w:bookmarkStart w:id="337" w:name="_Toc6264"/>
      <w:r>
        <w:rPr>
          <w:rFonts w:hint="default" w:ascii="Times New Roman" w:hAnsi="Times New Roman" w:eastAsia="宋体" w:cs="Times New Roman"/>
          <w:color w:val="auto"/>
          <w:kern w:val="0"/>
          <w:sz w:val="24"/>
          <w:szCs w:val="24"/>
          <w:highlight w:val="none"/>
          <w:lang w:val="en-US" w:eastAsia="zh-CN"/>
        </w:rPr>
        <w:t>事故发生后要积极开展灾后危险物质及消防废水的处理，认真落实事故风险水池的建设，强化事故水导排系统，防止二次污染发生以及事故废水、废液进入地表水、地下水环境。采取报告中相关防范措施后，项目环境风险可控。</w:t>
      </w:r>
      <w:bookmarkEnd w:id="335"/>
      <w:bookmarkEnd w:id="336"/>
      <w:bookmarkEnd w:id="337"/>
    </w:p>
    <w:p w14:paraId="6E3559E3">
      <w:pPr>
        <w:pStyle w:val="1399"/>
        <w:keepNext w:val="0"/>
        <w:keepLines w:val="0"/>
        <w:pageBreakBefore w:val="0"/>
        <w:kinsoku/>
        <w:wordWrap/>
        <w:overflowPunct/>
        <w:topLinePunct w:val="0"/>
        <w:autoSpaceDE/>
        <w:autoSpaceDN/>
        <w:bidi w:val="0"/>
        <w:adjustRightInd w:val="0"/>
        <w:snapToGrid w:val="0"/>
        <w:spacing w:before="0" w:after="0" w:line="360" w:lineRule="auto"/>
        <w:ind w:left="0" w:leftChars="0" w:right="0"/>
        <w:textAlignment w:val="auto"/>
        <w:outlineLvl w:val="9"/>
        <w:rPr>
          <w:rFonts w:hint="default" w:ascii="Times New Roman" w:hAnsi="Times New Roman" w:eastAsia="宋体" w:cs="Times New Roman"/>
          <w:b/>
          <w:bCs w:val="0"/>
          <w:color w:val="auto"/>
          <w:kern w:val="2"/>
          <w:sz w:val="32"/>
          <w:szCs w:val="32"/>
          <w:lang w:val="en-US" w:eastAsia="zh-CN" w:bidi="ar-SA"/>
        </w:rPr>
      </w:pPr>
      <w:bookmarkStart w:id="338" w:name="_Toc19408"/>
      <w:r>
        <w:rPr>
          <w:rFonts w:hint="default" w:ascii="Times New Roman" w:hAnsi="Times New Roman" w:eastAsia="宋体" w:cs="Times New Roman"/>
          <w:b/>
          <w:bCs w:val="0"/>
          <w:color w:val="auto"/>
          <w:kern w:val="2"/>
          <w:sz w:val="32"/>
          <w:szCs w:val="32"/>
          <w:lang w:val="en-US" w:eastAsia="zh-CN" w:bidi="ar-SA"/>
        </w:rPr>
        <w:t>8.5环境风险评价自查表</w:t>
      </w:r>
      <w:bookmarkEnd w:id="338"/>
    </w:p>
    <w:p w14:paraId="79148E3D">
      <w:pPr>
        <w:pStyle w:val="1398"/>
        <w:keepNext w:val="0"/>
        <w:keepLines w:val="0"/>
        <w:pageBreakBefore w:val="0"/>
        <w:kinsoku/>
        <w:wordWrap/>
        <w:overflowPunct/>
        <w:topLinePunct w:val="0"/>
        <w:autoSpaceDE/>
        <w:autoSpaceDN/>
        <w:bidi w:val="0"/>
        <w:adjustRightInd w:val="0"/>
        <w:snapToGrid w:val="0"/>
        <w:spacing w:line="360" w:lineRule="auto"/>
        <w:textAlignment w:val="auto"/>
        <w:outlineLvl w:val="9"/>
        <w:rPr>
          <w:rFonts w:hint="default" w:ascii="Times New Roman" w:hAnsi="Times New Roman" w:eastAsia="宋体" w:cs="Times New Roman"/>
          <w:b/>
          <w:bCs w:val="0"/>
          <w:color w:val="auto"/>
          <w:sz w:val="24"/>
          <w:szCs w:val="32"/>
        </w:rPr>
      </w:pPr>
      <w:r>
        <w:rPr>
          <w:rFonts w:hint="default" w:ascii="Times New Roman" w:hAnsi="Times New Roman" w:eastAsia="宋体" w:cs="Times New Roman"/>
          <w:b/>
          <w:bCs w:val="0"/>
          <w:color w:val="auto"/>
          <w:sz w:val="24"/>
          <w:szCs w:val="32"/>
        </w:rPr>
        <w:t>表</w:t>
      </w:r>
      <w:r>
        <w:rPr>
          <w:rFonts w:hint="default" w:ascii="Times New Roman" w:hAnsi="Times New Roman" w:eastAsia="宋体" w:cs="Times New Roman"/>
          <w:b/>
          <w:bCs w:val="0"/>
          <w:color w:val="auto"/>
          <w:sz w:val="24"/>
          <w:szCs w:val="32"/>
          <w:lang w:val="en-US" w:eastAsia="zh-CN"/>
        </w:rPr>
        <w:t>8.5-</w:t>
      </w:r>
      <w:r>
        <w:rPr>
          <w:rFonts w:hint="default" w:ascii="Times New Roman" w:hAnsi="Times New Roman" w:eastAsia="宋体" w:cs="Times New Roman"/>
          <w:b/>
          <w:bCs w:val="0"/>
          <w:color w:val="auto"/>
          <w:sz w:val="24"/>
          <w:szCs w:val="32"/>
        </w:rPr>
        <w:t>1  环境风险评价自查表</w:t>
      </w:r>
    </w:p>
    <w:tbl>
      <w:tblPr>
        <w:tblStyle w:val="81"/>
        <w:tblW w:w="49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4"/>
        <w:gridCol w:w="759"/>
        <w:gridCol w:w="765"/>
        <w:gridCol w:w="925"/>
        <w:gridCol w:w="246"/>
        <w:gridCol w:w="186"/>
        <w:gridCol w:w="267"/>
        <w:gridCol w:w="360"/>
        <w:gridCol w:w="314"/>
        <w:gridCol w:w="429"/>
        <w:gridCol w:w="277"/>
        <w:gridCol w:w="244"/>
        <w:gridCol w:w="119"/>
        <w:gridCol w:w="685"/>
        <w:gridCol w:w="415"/>
        <w:gridCol w:w="250"/>
        <w:gridCol w:w="156"/>
        <w:gridCol w:w="47"/>
        <w:gridCol w:w="1580"/>
      </w:tblGrid>
      <w:tr w14:paraId="05C77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noWrap w:val="0"/>
            <w:vAlign w:val="center"/>
          </w:tcPr>
          <w:p w14:paraId="048F78F2">
            <w:pPr>
              <w:pStyle w:val="369"/>
              <w:jc w:val="center"/>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工作内容</w:t>
            </w:r>
          </w:p>
        </w:tc>
        <w:tc>
          <w:tcPr>
            <w:tcW w:w="7917" w:type="dxa"/>
            <w:gridSpan w:val="17"/>
            <w:noWrap w:val="0"/>
            <w:vAlign w:val="center"/>
          </w:tcPr>
          <w:p w14:paraId="5D007032">
            <w:pPr>
              <w:pStyle w:val="369"/>
              <w:jc w:val="center"/>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完成情况</w:t>
            </w:r>
          </w:p>
        </w:tc>
      </w:tr>
      <w:tr w14:paraId="4809F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restart"/>
            <w:noWrap w:val="0"/>
            <w:vAlign w:val="center"/>
          </w:tcPr>
          <w:p w14:paraId="38E69612">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风险调查</w:t>
            </w:r>
          </w:p>
        </w:tc>
        <w:tc>
          <w:tcPr>
            <w:tcW w:w="827" w:type="dxa"/>
            <w:vMerge w:val="restart"/>
            <w:noWrap w:val="0"/>
            <w:vAlign w:val="center"/>
          </w:tcPr>
          <w:p w14:paraId="770EB452">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危险物质</w:t>
            </w:r>
          </w:p>
        </w:tc>
        <w:tc>
          <w:tcPr>
            <w:tcW w:w="834" w:type="dxa"/>
            <w:noWrap w:val="0"/>
            <w:vAlign w:val="center"/>
          </w:tcPr>
          <w:p w14:paraId="404644EA">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名称</w:t>
            </w:r>
          </w:p>
        </w:tc>
        <w:tc>
          <w:tcPr>
            <w:tcW w:w="1770" w:type="dxa"/>
            <w:gridSpan w:val="4"/>
            <w:noWrap w:val="0"/>
            <w:vAlign w:val="center"/>
          </w:tcPr>
          <w:p w14:paraId="55536FAB">
            <w:pPr>
              <w:pStyle w:val="369"/>
              <w:ind w:left="-103" w:leftChars="-49" w:right="-115" w:rightChars="-55"/>
              <w:jc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highlight w:val="none"/>
                <w:lang w:val="en-US" w:eastAsia="zh-CN" w:bidi="ar-SA"/>
              </w:rPr>
              <w:t>天然气</w:t>
            </w:r>
          </w:p>
        </w:tc>
        <w:tc>
          <w:tcPr>
            <w:tcW w:w="1770" w:type="dxa"/>
            <w:gridSpan w:val="5"/>
            <w:noWrap w:val="0"/>
            <w:vAlign w:val="center"/>
          </w:tcPr>
          <w:p w14:paraId="50832A4F">
            <w:pPr>
              <w:pStyle w:val="369"/>
              <w:ind w:left="-103" w:leftChars="-49" w:right="-115" w:rightChars="-55"/>
              <w:jc w:val="center"/>
              <w:outlineLvl w:val="9"/>
              <w:rPr>
                <w:rFonts w:hint="default" w:ascii="Times New Roman" w:hAnsi="Times New Roman" w:eastAsia="宋体" w:cs="Times New Roman"/>
                <w:color w:val="auto"/>
                <w:kern w:val="21"/>
                <w:sz w:val="21"/>
                <w:szCs w:val="20"/>
                <w:lang w:val="en-US" w:eastAsia="zh-CN" w:bidi="ar-SA"/>
              </w:rPr>
            </w:pPr>
            <w:r>
              <w:rPr>
                <w:rFonts w:hint="default" w:ascii="Times New Roman" w:hAnsi="Times New Roman" w:cs="Times New Roman"/>
                <w:color w:val="auto"/>
                <w:sz w:val="21"/>
                <w:szCs w:val="21"/>
                <w:highlight w:val="none"/>
                <w:lang w:eastAsia="zh-CN"/>
              </w:rPr>
              <w:t>硫酸铵</w:t>
            </w:r>
          </w:p>
        </w:tc>
        <w:tc>
          <w:tcPr>
            <w:tcW w:w="1770" w:type="dxa"/>
            <w:gridSpan w:val="5"/>
            <w:noWrap w:val="0"/>
            <w:vAlign w:val="center"/>
          </w:tcPr>
          <w:p w14:paraId="0D6F4D17">
            <w:pPr>
              <w:pStyle w:val="369"/>
              <w:ind w:left="-103" w:leftChars="-49" w:right="-115" w:rightChars="-55"/>
              <w:jc w:val="center"/>
              <w:outlineLvl w:val="9"/>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液压油</w:t>
            </w:r>
          </w:p>
        </w:tc>
        <w:tc>
          <w:tcPr>
            <w:tcW w:w="1773" w:type="dxa"/>
            <w:gridSpan w:val="2"/>
            <w:noWrap w:val="0"/>
            <w:vAlign w:val="center"/>
          </w:tcPr>
          <w:p w14:paraId="24E75312">
            <w:pPr>
              <w:pStyle w:val="369"/>
              <w:ind w:left="-103" w:leftChars="-49" w:right="-115" w:rightChars="-55"/>
              <w:jc w:val="center"/>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水喷淋废水</w:t>
            </w:r>
          </w:p>
        </w:tc>
      </w:tr>
      <w:tr w14:paraId="00496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1116C72B">
            <w:pPr>
              <w:pStyle w:val="369"/>
              <w:outlineLvl w:val="9"/>
              <w:rPr>
                <w:rFonts w:hint="default" w:ascii="Times New Roman" w:hAnsi="Times New Roman" w:eastAsia="宋体" w:cs="Times New Roman"/>
                <w:color w:val="auto"/>
                <w:highlight w:val="none"/>
              </w:rPr>
            </w:pPr>
          </w:p>
        </w:tc>
        <w:tc>
          <w:tcPr>
            <w:tcW w:w="827" w:type="dxa"/>
            <w:vMerge w:val="continue"/>
            <w:noWrap w:val="0"/>
            <w:vAlign w:val="center"/>
          </w:tcPr>
          <w:p w14:paraId="4A64BEDC">
            <w:pPr>
              <w:pStyle w:val="369"/>
              <w:outlineLvl w:val="9"/>
              <w:rPr>
                <w:rFonts w:hint="default" w:ascii="Times New Roman" w:hAnsi="Times New Roman" w:eastAsia="宋体" w:cs="Times New Roman"/>
                <w:color w:val="auto"/>
                <w:highlight w:val="none"/>
              </w:rPr>
            </w:pPr>
          </w:p>
        </w:tc>
        <w:tc>
          <w:tcPr>
            <w:tcW w:w="834" w:type="dxa"/>
            <w:noWrap w:val="0"/>
            <w:vAlign w:val="center"/>
          </w:tcPr>
          <w:p w14:paraId="1113B984">
            <w:pPr>
              <w:pStyle w:val="369"/>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存在总量/t</w:t>
            </w:r>
          </w:p>
        </w:tc>
        <w:tc>
          <w:tcPr>
            <w:tcW w:w="1770" w:type="dxa"/>
            <w:gridSpan w:val="4"/>
            <w:noWrap w:val="0"/>
            <w:vAlign w:val="center"/>
          </w:tcPr>
          <w:p w14:paraId="77715F94">
            <w:pPr>
              <w:pStyle w:val="369"/>
              <w:jc w:val="center"/>
              <w:outlineLvl w:val="9"/>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0.1</w:t>
            </w:r>
          </w:p>
        </w:tc>
        <w:tc>
          <w:tcPr>
            <w:tcW w:w="1770" w:type="dxa"/>
            <w:gridSpan w:val="5"/>
            <w:noWrap w:val="0"/>
            <w:vAlign w:val="center"/>
          </w:tcPr>
          <w:p w14:paraId="1C0E3A7B">
            <w:pPr>
              <w:pStyle w:val="369"/>
              <w:jc w:val="center"/>
              <w:outlineLvl w:val="9"/>
              <w:rPr>
                <w:rFonts w:hint="default" w:ascii="Times New Roman" w:hAnsi="Times New Roman" w:eastAsia="宋体" w:cs="Times New Roman"/>
                <w:color w:val="auto"/>
                <w:highlight w:val="none"/>
                <w:lang w:val="en-US" w:eastAsia="zh-CN"/>
              </w:rPr>
            </w:pP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000</w:t>
            </w:r>
          </w:p>
        </w:tc>
        <w:tc>
          <w:tcPr>
            <w:tcW w:w="1770" w:type="dxa"/>
            <w:gridSpan w:val="5"/>
            <w:noWrap w:val="0"/>
            <w:vAlign w:val="center"/>
          </w:tcPr>
          <w:p w14:paraId="0B68268A">
            <w:pPr>
              <w:pStyle w:val="369"/>
              <w:jc w:val="center"/>
              <w:outlineLvl w:val="9"/>
              <w:rPr>
                <w:rFonts w:hint="default" w:ascii="Times New Roman" w:hAnsi="Times New Roman" w:eastAsia="宋体" w:cs="Times New Roman"/>
                <w:color w:val="auto"/>
                <w:kern w:val="21"/>
                <w:sz w:val="21"/>
                <w:szCs w:val="20"/>
                <w:highlight w:val="none"/>
                <w:lang w:val="en-US" w:eastAsia="zh-CN" w:bidi="ar-SA"/>
              </w:rPr>
            </w:pPr>
            <w:r>
              <w:rPr>
                <w:rFonts w:hint="default" w:ascii="Times New Roman" w:hAnsi="Times New Roman" w:cs="Times New Roman"/>
                <w:color w:val="auto"/>
                <w:kern w:val="21"/>
                <w:sz w:val="21"/>
                <w:szCs w:val="20"/>
                <w:highlight w:val="none"/>
                <w:lang w:val="en-US" w:eastAsia="zh-CN" w:bidi="ar-SA"/>
              </w:rPr>
              <w:t>2</w:t>
            </w:r>
          </w:p>
        </w:tc>
        <w:tc>
          <w:tcPr>
            <w:tcW w:w="1773" w:type="dxa"/>
            <w:gridSpan w:val="2"/>
            <w:noWrap w:val="0"/>
            <w:vAlign w:val="center"/>
          </w:tcPr>
          <w:p w14:paraId="76BB3B13">
            <w:pPr>
              <w:pStyle w:val="369"/>
              <w:jc w:val="center"/>
              <w:outlineLvl w:val="9"/>
              <w:rPr>
                <w:rFonts w:hint="default" w:ascii="Times New Roman" w:hAnsi="Times New Roman" w:cs="Times New Roman"/>
                <w:color w:val="auto"/>
                <w:kern w:val="21"/>
                <w:sz w:val="21"/>
                <w:szCs w:val="20"/>
                <w:highlight w:val="none"/>
                <w:lang w:val="en-US" w:eastAsia="zh-CN" w:bidi="ar-SA"/>
              </w:rPr>
            </w:pPr>
            <w:r>
              <w:rPr>
                <w:rFonts w:hint="eastAsia" w:cs="Times New Roman"/>
                <w:color w:val="auto"/>
                <w:kern w:val="21"/>
                <w:sz w:val="21"/>
                <w:szCs w:val="20"/>
                <w:highlight w:val="none"/>
                <w:lang w:val="en-US" w:eastAsia="zh-CN" w:bidi="ar-SA"/>
              </w:rPr>
              <w:t>18.835</w:t>
            </w:r>
          </w:p>
        </w:tc>
      </w:tr>
      <w:tr w14:paraId="0081B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2DDCDB0B">
            <w:pPr>
              <w:pStyle w:val="369"/>
              <w:outlineLvl w:val="9"/>
              <w:rPr>
                <w:rFonts w:hint="default" w:ascii="Times New Roman" w:hAnsi="Times New Roman" w:eastAsia="宋体" w:cs="Times New Roman"/>
                <w:color w:val="auto"/>
                <w:highlight w:val="none"/>
              </w:rPr>
            </w:pPr>
          </w:p>
        </w:tc>
        <w:tc>
          <w:tcPr>
            <w:tcW w:w="827" w:type="dxa"/>
            <w:vMerge w:val="restart"/>
            <w:noWrap w:val="0"/>
            <w:vAlign w:val="center"/>
          </w:tcPr>
          <w:p w14:paraId="3669B6DF">
            <w:pPr>
              <w:pStyle w:val="369"/>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环境敏感性</w:t>
            </w:r>
          </w:p>
        </w:tc>
        <w:tc>
          <w:tcPr>
            <w:tcW w:w="834" w:type="dxa"/>
            <w:vMerge w:val="restart"/>
            <w:noWrap w:val="0"/>
            <w:vAlign w:val="center"/>
          </w:tcPr>
          <w:p w14:paraId="57155C48">
            <w:pPr>
              <w:pStyle w:val="369"/>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大气</w:t>
            </w:r>
          </w:p>
        </w:tc>
        <w:tc>
          <w:tcPr>
            <w:tcW w:w="3669" w:type="dxa"/>
            <w:gridSpan w:val="10"/>
            <w:noWrap w:val="0"/>
            <w:vAlign w:val="center"/>
          </w:tcPr>
          <w:p w14:paraId="15ED8FAC">
            <w:pPr>
              <w:pStyle w:val="369"/>
              <w:outlineLvl w:val="9"/>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rPr>
              <w:t>500m范围内人口</w:t>
            </w:r>
            <w:r>
              <w:rPr>
                <w:rFonts w:hint="default" w:ascii="Times New Roman" w:hAnsi="Times New Roman" w:cs="Times New Roman"/>
                <w:color w:val="auto"/>
                <w:highlight w:val="none"/>
                <w:u w:val="single"/>
                <w:lang w:val="en-US" w:eastAsia="zh-CN"/>
              </w:rPr>
              <w:t>30</w:t>
            </w:r>
            <w:r>
              <w:rPr>
                <w:rFonts w:hint="default" w:ascii="Times New Roman" w:hAnsi="Times New Roman" w:eastAsia="宋体" w:cs="Times New Roman"/>
                <w:color w:val="auto"/>
                <w:highlight w:val="none"/>
                <w:u w:val="none"/>
                <w:lang w:val="en-US" w:eastAsia="zh-CN"/>
              </w:rPr>
              <w:t>人</w:t>
            </w:r>
          </w:p>
        </w:tc>
        <w:tc>
          <w:tcPr>
            <w:tcW w:w="3414" w:type="dxa"/>
            <w:gridSpan w:val="6"/>
            <w:noWrap w:val="0"/>
            <w:vAlign w:val="center"/>
          </w:tcPr>
          <w:p w14:paraId="27419F91">
            <w:pPr>
              <w:pStyle w:val="369"/>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5km范围内人口数</w:t>
            </w:r>
            <w:r>
              <w:rPr>
                <w:rFonts w:hint="default" w:ascii="Times New Roman" w:hAnsi="Times New Roman" w:cs="Times New Roman"/>
                <w:color w:val="auto"/>
                <w:highlight w:val="none"/>
                <w:u w:val="single"/>
                <w:lang w:val="en-US" w:eastAsia="zh-CN"/>
              </w:rPr>
              <w:t>45190</w:t>
            </w:r>
            <w:r>
              <w:rPr>
                <w:rFonts w:hint="default" w:ascii="Times New Roman" w:hAnsi="Times New Roman" w:eastAsia="宋体" w:cs="Times New Roman"/>
                <w:color w:val="auto"/>
                <w:highlight w:val="none"/>
              </w:rPr>
              <w:t>人</w:t>
            </w:r>
          </w:p>
        </w:tc>
      </w:tr>
      <w:tr w14:paraId="52E17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55A82651">
            <w:pPr>
              <w:pStyle w:val="369"/>
              <w:outlineLvl w:val="9"/>
              <w:rPr>
                <w:rFonts w:hint="default" w:ascii="Times New Roman" w:hAnsi="Times New Roman" w:eastAsia="宋体" w:cs="Times New Roman"/>
                <w:color w:val="auto"/>
              </w:rPr>
            </w:pPr>
          </w:p>
        </w:tc>
        <w:tc>
          <w:tcPr>
            <w:tcW w:w="827" w:type="dxa"/>
            <w:vMerge w:val="continue"/>
            <w:noWrap w:val="0"/>
            <w:vAlign w:val="center"/>
          </w:tcPr>
          <w:p w14:paraId="37EE7161">
            <w:pPr>
              <w:pStyle w:val="369"/>
              <w:outlineLvl w:val="9"/>
              <w:rPr>
                <w:rFonts w:hint="default" w:ascii="Times New Roman" w:hAnsi="Times New Roman" w:eastAsia="宋体" w:cs="Times New Roman"/>
                <w:color w:val="auto"/>
              </w:rPr>
            </w:pPr>
          </w:p>
        </w:tc>
        <w:tc>
          <w:tcPr>
            <w:tcW w:w="834" w:type="dxa"/>
            <w:vMerge w:val="continue"/>
            <w:noWrap w:val="0"/>
            <w:vAlign w:val="center"/>
          </w:tcPr>
          <w:p w14:paraId="4F5F4645">
            <w:pPr>
              <w:pStyle w:val="369"/>
              <w:outlineLvl w:val="9"/>
              <w:rPr>
                <w:rFonts w:hint="default" w:ascii="Times New Roman" w:hAnsi="Times New Roman" w:eastAsia="宋体" w:cs="Times New Roman"/>
                <w:color w:val="auto"/>
              </w:rPr>
            </w:pPr>
          </w:p>
        </w:tc>
        <w:tc>
          <w:tcPr>
            <w:tcW w:w="5361" w:type="dxa"/>
            <w:gridSpan w:val="15"/>
            <w:noWrap w:val="0"/>
            <w:vAlign w:val="center"/>
          </w:tcPr>
          <w:p w14:paraId="2453C44B">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每公里管段周边200m范围内人口数（最大）</w:t>
            </w:r>
          </w:p>
        </w:tc>
        <w:tc>
          <w:tcPr>
            <w:tcW w:w="1722" w:type="dxa"/>
            <w:noWrap w:val="0"/>
            <w:vAlign w:val="center"/>
          </w:tcPr>
          <w:p w14:paraId="1E217357">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 xml:space="preserve">    人</w:t>
            </w:r>
          </w:p>
        </w:tc>
      </w:tr>
      <w:tr w14:paraId="02547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688237CA">
            <w:pPr>
              <w:pStyle w:val="369"/>
              <w:outlineLvl w:val="9"/>
              <w:rPr>
                <w:rFonts w:hint="default" w:ascii="Times New Roman" w:hAnsi="Times New Roman" w:eastAsia="宋体" w:cs="Times New Roman"/>
                <w:color w:val="auto"/>
              </w:rPr>
            </w:pPr>
          </w:p>
        </w:tc>
        <w:tc>
          <w:tcPr>
            <w:tcW w:w="827" w:type="dxa"/>
            <w:vMerge w:val="continue"/>
            <w:noWrap w:val="0"/>
            <w:vAlign w:val="center"/>
          </w:tcPr>
          <w:p w14:paraId="6C32DF92">
            <w:pPr>
              <w:pStyle w:val="369"/>
              <w:outlineLvl w:val="9"/>
              <w:rPr>
                <w:rFonts w:hint="default" w:ascii="Times New Roman" w:hAnsi="Times New Roman" w:eastAsia="宋体" w:cs="Times New Roman"/>
                <w:color w:val="auto"/>
              </w:rPr>
            </w:pPr>
          </w:p>
        </w:tc>
        <w:tc>
          <w:tcPr>
            <w:tcW w:w="834" w:type="dxa"/>
            <w:vMerge w:val="restart"/>
            <w:noWrap w:val="0"/>
            <w:vAlign w:val="center"/>
          </w:tcPr>
          <w:p w14:paraId="66920A6E">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地表水</w:t>
            </w:r>
          </w:p>
        </w:tc>
        <w:tc>
          <w:tcPr>
            <w:tcW w:w="2163" w:type="dxa"/>
            <w:gridSpan w:val="5"/>
            <w:noWrap w:val="0"/>
            <w:vAlign w:val="center"/>
          </w:tcPr>
          <w:p w14:paraId="5F61F3CA">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地表水功能敏感性</w:t>
            </w:r>
          </w:p>
        </w:tc>
        <w:tc>
          <w:tcPr>
            <w:tcW w:w="1506" w:type="dxa"/>
            <w:gridSpan w:val="5"/>
            <w:noWrap w:val="0"/>
            <w:vAlign w:val="center"/>
          </w:tcPr>
          <w:p w14:paraId="5BA75C33">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F1⎕</w:t>
            </w:r>
          </w:p>
        </w:tc>
        <w:tc>
          <w:tcPr>
            <w:tcW w:w="1692" w:type="dxa"/>
            <w:gridSpan w:val="5"/>
            <w:noWrap w:val="0"/>
            <w:vAlign w:val="center"/>
          </w:tcPr>
          <w:p w14:paraId="36299403">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F2⎕</w:t>
            </w:r>
          </w:p>
        </w:tc>
        <w:tc>
          <w:tcPr>
            <w:tcW w:w="1722" w:type="dxa"/>
            <w:noWrap w:val="0"/>
            <w:vAlign w:val="center"/>
          </w:tcPr>
          <w:p w14:paraId="20CCED2B">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F3√</w:t>
            </w:r>
          </w:p>
        </w:tc>
      </w:tr>
      <w:tr w14:paraId="49B65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0B2DDFAD">
            <w:pPr>
              <w:pStyle w:val="369"/>
              <w:outlineLvl w:val="9"/>
              <w:rPr>
                <w:rFonts w:hint="default" w:ascii="Times New Roman" w:hAnsi="Times New Roman" w:eastAsia="宋体" w:cs="Times New Roman"/>
                <w:color w:val="auto"/>
              </w:rPr>
            </w:pPr>
          </w:p>
        </w:tc>
        <w:tc>
          <w:tcPr>
            <w:tcW w:w="827" w:type="dxa"/>
            <w:vMerge w:val="continue"/>
            <w:noWrap w:val="0"/>
            <w:vAlign w:val="center"/>
          </w:tcPr>
          <w:p w14:paraId="10A350C7">
            <w:pPr>
              <w:pStyle w:val="369"/>
              <w:outlineLvl w:val="9"/>
              <w:rPr>
                <w:rFonts w:hint="default" w:ascii="Times New Roman" w:hAnsi="Times New Roman" w:eastAsia="宋体" w:cs="Times New Roman"/>
                <w:color w:val="auto"/>
              </w:rPr>
            </w:pPr>
          </w:p>
        </w:tc>
        <w:tc>
          <w:tcPr>
            <w:tcW w:w="834" w:type="dxa"/>
            <w:vMerge w:val="continue"/>
            <w:noWrap w:val="0"/>
            <w:vAlign w:val="center"/>
          </w:tcPr>
          <w:p w14:paraId="03008925">
            <w:pPr>
              <w:pStyle w:val="369"/>
              <w:outlineLvl w:val="9"/>
              <w:rPr>
                <w:rFonts w:hint="default" w:ascii="Times New Roman" w:hAnsi="Times New Roman" w:eastAsia="宋体" w:cs="Times New Roman"/>
                <w:color w:val="auto"/>
              </w:rPr>
            </w:pPr>
          </w:p>
        </w:tc>
        <w:tc>
          <w:tcPr>
            <w:tcW w:w="2163" w:type="dxa"/>
            <w:gridSpan w:val="5"/>
            <w:noWrap w:val="0"/>
            <w:vAlign w:val="center"/>
          </w:tcPr>
          <w:p w14:paraId="7A04AC77">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环境敏感目标分级</w:t>
            </w:r>
          </w:p>
        </w:tc>
        <w:tc>
          <w:tcPr>
            <w:tcW w:w="1506" w:type="dxa"/>
            <w:gridSpan w:val="5"/>
            <w:noWrap w:val="0"/>
            <w:vAlign w:val="center"/>
          </w:tcPr>
          <w:p w14:paraId="1D545B53">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S1⎕</w:t>
            </w:r>
          </w:p>
        </w:tc>
        <w:tc>
          <w:tcPr>
            <w:tcW w:w="1692" w:type="dxa"/>
            <w:gridSpan w:val="5"/>
            <w:noWrap w:val="0"/>
            <w:vAlign w:val="center"/>
          </w:tcPr>
          <w:p w14:paraId="479F29E9">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S2⎕</w:t>
            </w:r>
          </w:p>
        </w:tc>
        <w:tc>
          <w:tcPr>
            <w:tcW w:w="1722" w:type="dxa"/>
            <w:noWrap w:val="0"/>
            <w:vAlign w:val="center"/>
          </w:tcPr>
          <w:p w14:paraId="1AE5DDBD">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S3√</w:t>
            </w:r>
          </w:p>
        </w:tc>
      </w:tr>
      <w:tr w14:paraId="0E899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3F7288C7">
            <w:pPr>
              <w:pStyle w:val="369"/>
              <w:outlineLvl w:val="9"/>
              <w:rPr>
                <w:rFonts w:hint="default" w:ascii="Times New Roman" w:hAnsi="Times New Roman" w:eastAsia="宋体" w:cs="Times New Roman"/>
                <w:color w:val="auto"/>
              </w:rPr>
            </w:pPr>
          </w:p>
        </w:tc>
        <w:tc>
          <w:tcPr>
            <w:tcW w:w="827" w:type="dxa"/>
            <w:vMerge w:val="continue"/>
            <w:noWrap w:val="0"/>
            <w:vAlign w:val="center"/>
          </w:tcPr>
          <w:p w14:paraId="67A5C704">
            <w:pPr>
              <w:pStyle w:val="369"/>
              <w:outlineLvl w:val="9"/>
              <w:rPr>
                <w:rFonts w:hint="default" w:ascii="Times New Roman" w:hAnsi="Times New Roman" w:eastAsia="宋体" w:cs="Times New Roman"/>
                <w:color w:val="auto"/>
              </w:rPr>
            </w:pPr>
          </w:p>
        </w:tc>
        <w:tc>
          <w:tcPr>
            <w:tcW w:w="834" w:type="dxa"/>
            <w:vMerge w:val="restart"/>
            <w:noWrap w:val="0"/>
            <w:vAlign w:val="center"/>
          </w:tcPr>
          <w:p w14:paraId="69A3C765">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地下水</w:t>
            </w:r>
          </w:p>
        </w:tc>
        <w:tc>
          <w:tcPr>
            <w:tcW w:w="2163" w:type="dxa"/>
            <w:gridSpan w:val="5"/>
            <w:noWrap w:val="0"/>
            <w:vAlign w:val="center"/>
          </w:tcPr>
          <w:p w14:paraId="7E3509C8">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地下水功能敏感性</w:t>
            </w:r>
          </w:p>
        </w:tc>
        <w:tc>
          <w:tcPr>
            <w:tcW w:w="1506" w:type="dxa"/>
            <w:gridSpan w:val="5"/>
            <w:noWrap w:val="0"/>
            <w:vAlign w:val="center"/>
          </w:tcPr>
          <w:p w14:paraId="2875003C">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G1⎕</w:t>
            </w:r>
          </w:p>
        </w:tc>
        <w:tc>
          <w:tcPr>
            <w:tcW w:w="1692" w:type="dxa"/>
            <w:gridSpan w:val="5"/>
            <w:noWrap w:val="0"/>
            <w:vAlign w:val="center"/>
          </w:tcPr>
          <w:p w14:paraId="50BC6AC2">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G2⎕</w:t>
            </w:r>
          </w:p>
        </w:tc>
        <w:tc>
          <w:tcPr>
            <w:tcW w:w="1722" w:type="dxa"/>
            <w:noWrap w:val="0"/>
            <w:vAlign w:val="center"/>
          </w:tcPr>
          <w:p w14:paraId="234E7DC5">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G3√</w:t>
            </w:r>
          </w:p>
        </w:tc>
      </w:tr>
      <w:tr w14:paraId="37EF2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51211A68">
            <w:pPr>
              <w:pStyle w:val="369"/>
              <w:outlineLvl w:val="9"/>
              <w:rPr>
                <w:rFonts w:hint="default" w:ascii="Times New Roman" w:hAnsi="Times New Roman" w:eastAsia="宋体" w:cs="Times New Roman"/>
                <w:color w:val="auto"/>
              </w:rPr>
            </w:pPr>
          </w:p>
        </w:tc>
        <w:tc>
          <w:tcPr>
            <w:tcW w:w="827" w:type="dxa"/>
            <w:vMerge w:val="continue"/>
            <w:noWrap w:val="0"/>
            <w:vAlign w:val="center"/>
          </w:tcPr>
          <w:p w14:paraId="0C8B23C5">
            <w:pPr>
              <w:pStyle w:val="369"/>
              <w:outlineLvl w:val="9"/>
              <w:rPr>
                <w:rFonts w:hint="default" w:ascii="Times New Roman" w:hAnsi="Times New Roman" w:eastAsia="宋体" w:cs="Times New Roman"/>
                <w:color w:val="auto"/>
              </w:rPr>
            </w:pPr>
          </w:p>
        </w:tc>
        <w:tc>
          <w:tcPr>
            <w:tcW w:w="834" w:type="dxa"/>
            <w:vMerge w:val="continue"/>
            <w:noWrap w:val="0"/>
            <w:vAlign w:val="center"/>
          </w:tcPr>
          <w:p w14:paraId="58163C1B">
            <w:pPr>
              <w:pStyle w:val="369"/>
              <w:outlineLvl w:val="9"/>
              <w:rPr>
                <w:rFonts w:hint="default" w:ascii="Times New Roman" w:hAnsi="Times New Roman" w:eastAsia="宋体" w:cs="Times New Roman"/>
                <w:color w:val="auto"/>
              </w:rPr>
            </w:pPr>
          </w:p>
        </w:tc>
        <w:tc>
          <w:tcPr>
            <w:tcW w:w="2163" w:type="dxa"/>
            <w:gridSpan w:val="5"/>
            <w:noWrap w:val="0"/>
            <w:vAlign w:val="center"/>
          </w:tcPr>
          <w:p w14:paraId="1ECA18C6">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包气带防污性能</w:t>
            </w:r>
          </w:p>
        </w:tc>
        <w:tc>
          <w:tcPr>
            <w:tcW w:w="1506" w:type="dxa"/>
            <w:gridSpan w:val="5"/>
            <w:noWrap w:val="0"/>
            <w:vAlign w:val="center"/>
          </w:tcPr>
          <w:p w14:paraId="2D2CA7A6">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D1⎕</w:t>
            </w:r>
          </w:p>
        </w:tc>
        <w:tc>
          <w:tcPr>
            <w:tcW w:w="1692" w:type="dxa"/>
            <w:gridSpan w:val="5"/>
            <w:noWrap w:val="0"/>
            <w:vAlign w:val="center"/>
          </w:tcPr>
          <w:p w14:paraId="4EC8C981">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D2√</w:t>
            </w:r>
          </w:p>
        </w:tc>
        <w:tc>
          <w:tcPr>
            <w:tcW w:w="1722" w:type="dxa"/>
            <w:noWrap w:val="0"/>
            <w:vAlign w:val="center"/>
          </w:tcPr>
          <w:p w14:paraId="78E08F4A">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D3⎕</w:t>
            </w:r>
          </w:p>
        </w:tc>
      </w:tr>
      <w:tr w14:paraId="0E5A0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vMerge w:val="restart"/>
            <w:noWrap w:val="0"/>
            <w:vAlign w:val="center"/>
          </w:tcPr>
          <w:p w14:paraId="4817707E">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物质及工艺系统危险性</w:t>
            </w:r>
          </w:p>
        </w:tc>
        <w:tc>
          <w:tcPr>
            <w:tcW w:w="834" w:type="dxa"/>
            <w:noWrap w:val="0"/>
            <w:vAlign w:val="center"/>
          </w:tcPr>
          <w:p w14:paraId="1100B6B9">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Q值</w:t>
            </w:r>
          </w:p>
        </w:tc>
        <w:tc>
          <w:tcPr>
            <w:tcW w:w="2163" w:type="dxa"/>
            <w:gridSpan w:val="5"/>
            <w:noWrap w:val="0"/>
            <w:vAlign w:val="center"/>
          </w:tcPr>
          <w:p w14:paraId="19A17818">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Q＜1⎕</w:t>
            </w:r>
          </w:p>
        </w:tc>
        <w:tc>
          <w:tcPr>
            <w:tcW w:w="1506" w:type="dxa"/>
            <w:gridSpan w:val="5"/>
            <w:noWrap w:val="0"/>
            <w:vAlign w:val="center"/>
          </w:tcPr>
          <w:p w14:paraId="37DA66E7">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1≤Q＜10⎕</w:t>
            </w:r>
          </w:p>
        </w:tc>
        <w:tc>
          <w:tcPr>
            <w:tcW w:w="1692" w:type="dxa"/>
            <w:gridSpan w:val="5"/>
            <w:noWrap w:val="0"/>
            <w:vAlign w:val="center"/>
          </w:tcPr>
          <w:p w14:paraId="377A5E7E">
            <w:pPr>
              <w:pStyle w:val="369"/>
              <w:ind w:left="-101" w:leftChars="-48" w:right="-113" w:rightChars="-54"/>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10≤Q＜100⎕</w:t>
            </w:r>
          </w:p>
        </w:tc>
        <w:tc>
          <w:tcPr>
            <w:tcW w:w="1722" w:type="dxa"/>
            <w:noWrap w:val="0"/>
            <w:vAlign w:val="center"/>
          </w:tcPr>
          <w:p w14:paraId="68D3A349">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Q＞100√</w:t>
            </w:r>
          </w:p>
        </w:tc>
      </w:tr>
      <w:tr w14:paraId="020ED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vMerge w:val="continue"/>
            <w:noWrap w:val="0"/>
            <w:vAlign w:val="center"/>
          </w:tcPr>
          <w:p w14:paraId="7A41556A">
            <w:pPr>
              <w:pStyle w:val="369"/>
              <w:outlineLvl w:val="9"/>
              <w:rPr>
                <w:rFonts w:hint="default" w:ascii="Times New Roman" w:hAnsi="Times New Roman" w:eastAsia="宋体" w:cs="Times New Roman"/>
                <w:color w:val="auto"/>
              </w:rPr>
            </w:pPr>
          </w:p>
        </w:tc>
        <w:tc>
          <w:tcPr>
            <w:tcW w:w="834" w:type="dxa"/>
            <w:noWrap w:val="0"/>
            <w:vAlign w:val="center"/>
          </w:tcPr>
          <w:p w14:paraId="675A33B9">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M值</w:t>
            </w:r>
          </w:p>
        </w:tc>
        <w:tc>
          <w:tcPr>
            <w:tcW w:w="2163" w:type="dxa"/>
            <w:gridSpan w:val="5"/>
            <w:noWrap w:val="0"/>
            <w:vAlign w:val="center"/>
          </w:tcPr>
          <w:p w14:paraId="748F921C">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M1⎕</w:t>
            </w:r>
          </w:p>
        </w:tc>
        <w:tc>
          <w:tcPr>
            <w:tcW w:w="1506" w:type="dxa"/>
            <w:gridSpan w:val="5"/>
            <w:noWrap w:val="0"/>
            <w:vAlign w:val="center"/>
          </w:tcPr>
          <w:p w14:paraId="41D1C345">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M2⎕</w:t>
            </w:r>
          </w:p>
        </w:tc>
        <w:tc>
          <w:tcPr>
            <w:tcW w:w="1692" w:type="dxa"/>
            <w:gridSpan w:val="5"/>
            <w:noWrap w:val="0"/>
            <w:vAlign w:val="center"/>
          </w:tcPr>
          <w:p w14:paraId="443CB708">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M3√</w:t>
            </w:r>
          </w:p>
        </w:tc>
        <w:tc>
          <w:tcPr>
            <w:tcW w:w="1722" w:type="dxa"/>
            <w:noWrap w:val="0"/>
            <w:vAlign w:val="center"/>
          </w:tcPr>
          <w:p w14:paraId="0D6B905A">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M4⎕</w:t>
            </w:r>
          </w:p>
        </w:tc>
      </w:tr>
      <w:tr w14:paraId="62623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vMerge w:val="continue"/>
            <w:noWrap w:val="0"/>
            <w:vAlign w:val="center"/>
          </w:tcPr>
          <w:p w14:paraId="4F6C34FF">
            <w:pPr>
              <w:pStyle w:val="369"/>
              <w:outlineLvl w:val="9"/>
              <w:rPr>
                <w:rFonts w:hint="default" w:ascii="Times New Roman" w:hAnsi="Times New Roman" w:eastAsia="宋体" w:cs="Times New Roman"/>
                <w:color w:val="auto"/>
              </w:rPr>
            </w:pPr>
          </w:p>
        </w:tc>
        <w:tc>
          <w:tcPr>
            <w:tcW w:w="834" w:type="dxa"/>
            <w:noWrap w:val="0"/>
            <w:vAlign w:val="center"/>
          </w:tcPr>
          <w:p w14:paraId="23F72BE6">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P值</w:t>
            </w:r>
          </w:p>
        </w:tc>
        <w:tc>
          <w:tcPr>
            <w:tcW w:w="2163" w:type="dxa"/>
            <w:gridSpan w:val="5"/>
            <w:noWrap w:val="0"/>
            <w:vAlign w:val="center"/>
          </w:tcPr>
          <w:p w14:paraId="003AD395">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P1⎕</w:t>
            </w:r>
          </w:p>
        </w:tc>
        <w:tc>
          <w:tcPr>
            <w:tcW w:w="1506" w:type="dxa"/>
            <w:gridSpan w:val="5"/>
            <w:noWrap w:val="0"/>
            <w:vAlign w:val="center"/>
          </w:tcPr>
          <w:p w14:paraId="467FE80D">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P2√</w:t>
            </w:r>
          </w:p>
        </w:tc>
        <w:tc>
          <w:tcPr>
            <w:tcW w:w="1692" w:type="dxa"/>
            <w:gridSpan w:val="5"/>
            <w:noWrap w:val="0"/>
            <w:vAlign w:val="center"/>
          </w:tcPr>
          <w:p w14:paraId="07EC6B06">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P3⎕</w:t>
            </w:r>
          </w:p>
        </w:tc>
        <w:tc>
          <w:tcPr>
            <w:tcW w:w="1722" w:type="dxa"/>
            <w:noWrap w:val="0"/>
            <w:vAlign w:val="center"/>
          </w:tcPr>
          <w:p w14:paraId="042BA8A5">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P4⎕</w:t>
            </w:r>
          </w:p>
        </w:tc>
      </w:tr>
      <w:tr w14:paraId="57D2E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vMerge w:val="restart"/>
            <w:noWrap w:val="0"/>
            <w:vAlign w:val="center"/>
          </w:tcPr>
          <w:p w14:paraId="7D86C69B">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环境敏感程度</w:t>
            </w:r>
          </w:p>
        </w:tc>
        <w:tc>
          <w:tcPr>
            <w:tcW w:w="834" w:type="dxa"/>
            <w:noWrap w:val="0"/>
            <w:vAlign w:val="center"/>
          </w:tcPr>
          <w:p w14:paraId="558903E3">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大气</w:t>
            </w:r>
          </w:p>
        </w:tc>
        <w:tc>
          <w:tcPr>
            <w:tcW w:w="2505" w:type="dxa"/>
            <w:gridSpan w:val="6"/>
            <w:noWrap w:val="0"/>
            <w:vAlign w:val="center"/>
          </w:tcPr>
          <w:p w14:paraId="73ADD12D">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E1⎕</w:t>
            </w:r>
          </w:p>
        </w:tc>
        <w:tc>
          <w:tcPr>
            <w:tcW w:w="2362" w:type="dxa"/>
            <w:gridSpan w:val="6"/>
            <w:noWrap w:val="0"/>
            <w:vAlign w:val="center"/>
          </w:tcPr>
          <w:p w14:paraId="61A7EB73">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E2√</w:t>
            </w:r>
          </w:p>
        </w:tc>
        <w:tc>
          <w:tcPr>
            <w:tcW w:w="2216" w:type="dxa"/>
            <w:gridSpan w:val="4"/>
            <w:noWrap w:val="0"/>
            <w:vAlign w:val="center"/>
          </w:tcPr>
          <w:p w14:paraId="58C23AA0">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E3⎕</w:t>
            </w:r>
          </w:p>
        </w:tc>
      </w:tr>
      <w:tr w14:paraId="2E631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vMerge w:val="continue"/>
            <w:noWrap w:val="0"/>
            <w:vAlign w:val="center"/>
          </w:tcPr>
          <w:p w14:paraId="6CF70CB6">
            <w:pPr>
              <w:pStyle w:val="369"/>
              <w:outlineLvl w:val="9"/>
              <w:rPr>
                <w:rFonts w:hint="default" w:ascii="Times New Roman" w:hAnsi="Times New Roman" w:eastAsia="宋体" w:cs="Times New Roman"/>
                <w:color w:val="auto"/>
              </w:rPr>
            </w:pPr>
          </w:p>
        </w:tc>
        <w:tc>
          <w:tcPr>
            <w:tcW w:w="834" w:type="dxa"/>
            <w:noWrap w:val="0"/>
            <w:vAlign w:val="center"/>
          </w:tcPr>
          <w:p w14:paraId="3627B6E4">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地表水</w:t>
            </w:r>
          </w:p>
        </w:tc>
        <w:tc>
          <w:tcPr>
            <w:tcW w:w="2505" w:type="dxa"/>
            <w:gridSpan w:val="6"/>
            <w:noWrap w:val="0"/>
            <w:vAlign w:val="center"/>
          </w:tcPr>
          <w:p w14:paraId="055D7A26">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E1⎕</w:t>
            </w:r>
          </w:p>
        </w:tc>
        <w:tc>
          <w:tcPr>
            <w:tcW w:w="2362" w:type="dxa"/>
            <w:gridSpan w:val="6"/>
            <w:noWrap w:val="0"/>
            <w:vAlign w:val="center"/>
          </w:tcPr>
          <w:p w14:paraId="268444D2">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E2⎕</w:t>
            </w:r>
          </w:p>
        </w:tc>
        <w:tc>
          <w:tcPr>
            <w:tcW w:w="2216" w:type="dxa"/>
            <w:gridSpan w:val="4"/>
            <w:noWrap w:val="0"/>
            <w:vAlign w:val="center"/>
          </w:tcPr>
          <w:p w14:paraId="00528761">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E3√</w:t>
            </w:r>
          </w:p>
        </w:tc>
      </w:tr>
      <w:tr w14:paraId="5D51D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vMerge w:val="continue"/>
            <w:noWrap w:val="0"/>
            <w:vAlign w:val="center"/>
          </w:tcPr>
          <w:p w14:paraId="31E1D0A5">
            <w:pPr>
              <w:pStyle w:val="369"/>
              <w:outlineLvl w:val="9"/>
              <w:rPr>
                <w:rFonts w:hint="default" w:ascii="Times New Roman" w:hAnsi="Times New Roman" w:eastAsia="宋体" w:cs="Times New Roman"/>
                <w:color w:val="auto"/>
              </w:rPr>
            </w:pPr>
          </w:p>
        </w:tc>
        <w:tc>
          <w:tcPr>
            <w:tcW w:w="834" w:type="dxa"/>
            <w:noWrap w:val="0"/>
            <w:vAlign w:val="center"/>
          </w:tcPr>
          <w:p w14:paraId="39861232">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地下水</w:t>
            </w:r>
          </w:p>
        </w:tc>
        <w:tc>
          <w:tcPr>
            <w:tcW w:w="2505" w:type="dxa"/>
            <w:gridSpan w:val="6"/>
            <w:noWrap w:val="0"/>
            <w:vAlign w:val="center"/>
          </w:tcPr>
          <w:p w14:paraId="5159C75A">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E1⎕</w:t>
            </w:r>
          </w:p>
        </w:tc>
        <w:tc>
          <w:tcPr>
            <w:tcW w:w="2362" w:type="dxa"/>
            <w:gridSpan w:val="6"/>
            <w:noWrap w:val="0"/>
            <w:vAlign w:val="center"/>
          </w:tcPr>
          <w:p w14:paraId="7389E986">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E2⎕</w:t>
            </w:r>
          </w:p>
        </w:tc>
        <w:tc>
          <w:tcPr>
            <w:tcW w:w="2216" w:type="dxa"/>
            <w:gridSpan w:val="4"/>
            <w:noWrap w:val="0"/>
            <w:vAlign w:val="center"/>
          </w:tcPr>
          <w:p w14:paraId="57CFC685">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E3√</w:t>
            </w:r>
          </w:p>
        </w:tc>
      </w:tr>
      <w:tr w14:paraId="22C45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noWrap w:val="0"/>
            <w:vAlign w:val="center"/>
          </w:tcPr>
          <w:p w14:paraId="34873F10">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环境风险潜势</w:t>
            </w:r>
          </w:p>
        </w:tc>
        <w:tc>
          <w:tcPr>
            <w:tcW w:w="2110" w:type="dxa"/>
            <w:gridSpan w:val="3"/>
            <w:noWrap w:val="0"/>
            <w:vAlign w:val="center"/>
          </w:tcPr>
          <w:p w14:paraId="5B893807">
            <w:pPr>
              <w:pStyle w:val="369"/>
              <w:rPr>
                <w:rFonts w:hint="default" w:ascii="Times New Roman" w:hAnsi="Times New Roman" w:eastAsia="宋体" w:cs="Times New Roman"/>
                <w:color w:val="auto"/>
                <w:kern w:val="21"/>
                <w:sz w:val="21"/>
                <w:szCs w:val="20"/>
                <w:vertAlign w:val="superscript"/>
                <w:lang w:val="en-US" w:eastAsia="zh-CN" w:bidi="ar-SA"/>
              </w:rPr>
            </w:pPr>
            <w:r>
              <w:rPr>
                <w:rFonts w:hint="default" w:ascii="Times New Roman" w:hAnsi="Times New Roman" w:eastAsia="宋体" w:cs="Times New Roman"/>
                <w:color w:val="auto"/>
              </w:rPr>
              <w:t>IV</w:t>
            </w:r>
            <w:r>
              <w:rPr>
                <w:rFonts w:hint="default" w:ascii="Times New Roman" w:hAnsi="Times New Roman" w:eastAsia="宋体" w:cs="Times New Roman"/>
                <w:color w:val="auto"/>
                <w:vertAlign w:val="superscript"/>
              </w:rPr>
              <w:t>+</w:t>
            </w:r>
            <w:r>
              <w:rPr>
                <w:rFonts w:hint="default" w:ascii="Times New Roman" w:hAnsi="Times New Roman" w:eastAsia="宋体" w:cs="Times New Roman"/>
                <w:color w:val="auto"/>
              </w:rPr>
              <w:t>⎕</w:t>
            </w:r>
          </w:p>
        </w:tc>
        <w:tc>
          <w:tcPr>
            <w:tcW w:w="1998" w:type="dxa"/>
            <w:gridSpan w:val="6"/>
            <w:noWrap w:val="0"/>
            <w:vAlign w:val="center"/>
          </w:tcPr>
          <w:p w14:paraId="2FB340BD">
            <w:pPr>
              <w:pStyle w:val="369"/>
              <w:rPr>
                <w:rFonts w:hint="default" w:ascii="Times New Roman" w:hAnsi="Times New Roman" w:eastAsia="宋体" w:cs="Times New Roman"/>
                <w:color w:val="auto"/>
                <w:kern w:val="21"/>
                <w:sz w:val="21"/>
                <w:szCs w:val="20"/>
                <w:lang w:val="en-US" w:eastAsia="zh-CN" w:bidi="ar-SA"/>
              </w:rPr>
            </w:pPr>
            <w:r>
              <w:rPr>
                <w:rFonts w:hint="default" w:ascii="Times New Roman" w:hAnsi="Times New Roman" w:eastAsia="宋体" w:cs="Times New Roman"/>
                <w:color w:val="auto"/>
              </w:rPr>
              <w:t>IV⎕</w:t>
            </w:r>
          </w:p>
        </w:tc>
        <w:tc>
          <w:tcPr>
            <w:tcW w:w="1141" w:type="dxa"/>
            <w:gridSpan w:val="3"/>
            <w:noWrap w:val="0"/>
            <w:vAlign w:val="center"/>
          </w:tcPr>
          <w:p w14:paraId="17134DCF">
            <w:pPr>
              <w:pStyle w:val="369"/>
              <w:rPr>
                <w:rFonts w:hint="default" w:ascii="Times New Roman" w:hAnsi="Times New Roman" w:eastAsia="宋体" w:cs="Times New Roman"/>
                <w:color w:val="auto"/>
                <w:kern w:val="21"/>
                <w:sz w:val="21"/>
                <w:szCs w:val="20"/>
                <w:lang w:val="en-US" w:eastAsia="zh-CN" w:bidi="ar-SA"/>
              </w:rPr>
            </w:pPr>
            <w:r>
              <w:rPr>
                <w:rFonts w:hint="default" w:ascii="Times New Roman" w:hAnsi="Times New Roman" w:eastAsia="宋体" w:cs="Times New Roman"/>
                <w:color w:val="auto"/>
              </w:rPr>
              <w:t>III√</w:t>
            </w:r>
          </w:p>
        </w:tc>
        <w:tc>
          <w:tcPr>
            <w:tcW w:w="946" w:type="dxa"/>
            <w:gridSpan w:val="4"/>
            <w:noWrap w:val="0"/>
            <w:vAlign w:val="center"/>
          </w:tcPr>
          <w:p w14:paraId="6C4E01DE">
            <w:pPr>
              <w:pStyle w:val="369"/>
              <w:rPr>
                <w:rFonts w:hint="default" w:ascii="Times New Roman" w:hAnsi="Times New Roman" w:eastAsia="宋体" w:cs="Times New Roman"/>
                <w:color w:val="auto"/>
                <w:kern w:val="21"/>
                <w:sz w:val="21"/>
                <w:szCs w:val="20"/>
                <w:lang w:val="en-US" w:eastAsia="zh-CN" w:bidi="ar-SA"/>
              </w:rPr>
            </w:pPr>
            <w:r>
              <w:rPr>
                <w:rFonts w:hint="default" w:ascii="Times New Roman" w:hAnsi="Times New Roman" w:eastAsia="宋体" w:cs="Times New Roman"/>
                <w:color w:val="auto"/>
              </w:rPr>
              <w:t>II⎕</w:t>
            </w:r>
          </w:p>
        </w:tc>
        <w:tc>
          <w:tcPr>
            <w:tcW w:w="1722" w:type="dxa"/>
            <w:noWrap w:val="0"/>
            <w:vAlign w:val="center"/>
          </w:tcPr>
          <w:p w14:paraId="1627D11D">
            <w:pPr>
              <w:pStyle w:val="369"/>
              <w:rPr>
                <w:rFonts w:hint="default" w:ascii="Times New Roman" w:hAnsi="Times New Roman" w:eastAsia="宋体" w:cs="Times New Roman"/>
                <w:color w:val="auto"/>
                <w:kern w:val="21"/>
                <w:sz w:val="21"/>
                <w:szCs w:val="20"/>
                <w:lang w:val="en-US" w:eastAsia="zh-CN" w:bidi="ar-SA"/>
              </w:rPr>
            </w:pPr>
            <w:r>
              <w:rPr>
                <w:rFonts w:hint="default" w:ascii="Times New Roman" w:hAnsi="Times New Roman" w:eastAsia="宋体" w:cs="Times New Roman"/>
                <w:color w:val="auto"/>
              </w:rPr>
              <w:t>I⎕</w:t>
            </w:r>
          </w:p>
        </w:tc>
      </w:tr>
      <w:tr w14:paraId="4E630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noWrap w:val="0"/>
            <w:vAlign w:val="center"/>
          </w:tcPr>
          <w:p w14:paraId="458D0CA1">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评价等级</w:t>
            </w:r>
          </w:p>
        </w:tc>
        <w:tc>
          <w:tcPr>
            <w:tcW w:w="1842" w:type="dxa"/>
            <w:gridSpan w:val="2"/>
            <w:noWrap w:val="0"/>
            <w:vAlign w:val="center"/>
          </w:tcPr>
          <w:p w14:paraId="3B885B16">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一级⎕</w:t>
            </w:r>
          </w:p>
        </w:tc>
        <w:tc>
          <w:tcPr>
            <w:tcW w:w="1965" w:type="dxa"/>
            <w:gridSpan w:val="6"/>
            <w:noWrap w:val="0"/>
            <w:vAlign w:val="center"/>
          </w:tcPr>
          <w:p w14:paraId="4E8365E6">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二级√</w:t>
            </w:r>
          </w:p>
        </w:tc>
        <w:tc>
          <w:tcPr>
            <w:tcW w:w="2167" w:type="dxa"/>
            <w:gridSpan w:val="6"/>
            <w:noWrap w:val="0"/>
            <w:vAlign w:val="center"/>
          </w:tcPr>
          <w:p w14:paraId="2B3414C0">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三级⎕</w:t>
            </w:r>
          </w:p>
        </w:tc>
        <w:tc>
          <w:tcPr>
            <w:tcW w:w="1943" w:type="dxa"/>
            <w:gridSpan w:val="3"/>
            <w:noWrap w:val="0"/>
            <w:vAlign w:val="center"/>
          </w:tcPr>
          <w:p w14:paraId="1A82CF6B">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简单分析⎕</w:t>
            </w:r>
          </w:p>
        </w:tc>
      </w:tr>
      <w:tr w14:paraId="07498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restart"/>
            <w:noWrap w:val="0"/>
            <w:vAlign w:val="center"/>
          </w:tcPr>
          <w:p w14:paraId="79AEA8F2">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风险识别</w:t>
            </w:r>
          </w:p>
        </w:tc>
        <w:tc>
          <w:tcPr>
            <w:tcW w:w="827" w:type="dxa"/>
            <w:noWrap w:val="0"/>
            <w:vAlign w:val="center"/>
          </w:tcPr>
          <w:p w14:paraId="2380FBE3">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物质危险性</w:t>
            </w:r>
          </w:p>
        </w:tc>
        <w:tc>
          <w:tcPr>
            <w:tcW w:w="3807" w:type="dxa"/>
            <w:gridSpan w:val="8"/>
            <w:noWrap w:val="0"/>
            <w:vAlign w:val="center"/>
          </w:tcPr>
          <w:p w14:paraId="2AF1E83F">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有毒有害√</w:t>
            </w:r>
          </w:p>
        </w:tc>
        <w:tc>
          <w:tcPr>
            <w:tcW w:w="4110" w:type="dxa"/>
            <w:gridSpan w:val="9"/>
            <w:noWrap w:val="0"/>
            <w:vAlign w:val="center"/>
          </w:tcPr>
          <w:p w14:paraId="15DEEF7B">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易燃易爆√</w:t>
            </w:r>
          </w:p>
        </w:tc>
      </w:tr>
      <w:tr w14:paraId="13208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1C83FE20">
            <w:pPr>
              <w:pStyle w:val="369"/>
              <w:outlineLvl w:val="9"/>
              <w:rPr>
                <w:rFonts w:hint="default" w:ascii="Times New Roman" w:hAnsi="Times New Roman" w:eastAsia="宋体" w:cs="Times New Roman"/>
                <w:color w:val="auto"/>
              </w:rPr>
            </w:pPr>
          </w:p>
        </w:tc>
        <w:tc>
          <w:tcPr>
            <w:tcW w:w="827" w:type="dxa"/>
            <w:noWrap w:val="0"/>
            <w:vAlign w:val="center"/>
          </w:tcPr>
          <w:p w14:paraId="392A1C18">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环境风险类型</w:t>
            </w:r>
          </w:p>
        </w:tc>
        <w:tc>
          <w:tcPr>
            <w:tcW w:w="834" w:type="dxa"/>
            <w:noWrap w:val="0"/>
            <w:vAlign w:val="center"/>
          </w:tcPr>
          <w:p w14:paraId="226B3FAA">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泄漏√</w:t>
            </w:r>
          </w:p>
        </w:tc>
        <w:tc>
          <w:tcPr>
            <w:tcW w:w="7083" w:type="dxa"/>
            <w:gridSpan w:val="16"/>
            <w:noWrap w:val="0"/>
            <w:vAlign w:val="center"/>
          </w:tcPr>
          <w:p w14:paraId="121C8A0D">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火灾、爆炸引发伴生/次生污染物排放⎕</w:t>
            </w:r>
          </w:p>
        </w:tc>
      </w:tr>
      <w:tr w14:paraId="58EF8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00C3852F">
            <w:pPr>
              <w:pStyle w:val="369"/>
              <w:outlineLvl w:val="9"/>
              <w:rPr>
                <w:rFonts w:hint="default" w:ascii="Times New Roman" w:hAnsi="Times New Roman" w:eastAsia="宋体" w:cs="Times New Roman"/>
                <w:color w:val="auto"/>
              </w:rPr>
            </w:pPr>
          </w:p>
        </w:tc>
        <w:tc>
          <w:tcPr>
            <w:tcW w:w="827" w:type="dxa"/>
            <w:noWrap w:val="0"/>
            <w:vAlign w:val="center"/>
          </w:tcPr>
          <w:p w14:paraId="54CA9030">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影响途径</w:t>
            </w:r>
          </w:p>
        </w:tc>
        <w:tc>
          <w:tcPr>
            <w:tcW w:w="834" w:type="dxa"/>
            <w:noWrap w:val="0"/>
            <w:vAlign w:val="center"/>
          </w:tcPr>
          <w:p w14:paraId="0FA78955">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大气√</w:t>
            </w:r>
          </w:p>
        </w:tc>
        <w:tc>
          <w:tcPr>
            <w:tcW w:w="5361" w:type="dxa"/>
            <w:gridSpan w:val="15"/>
            <w:noWrap w:val="0"/>
            <w:vAlign w:val="center"/>
          </w:tcPr>
          <w:p w14:paraId="50A14461">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地表水√</w:t>
            </w:r>
          </w:p>
        </w:tc>
        <w:tc>
          <w:tcPr>
            <w:tcW w:w="1722" w:type="dxa"/>
            <w:noWrap w:val="0"/>
            <w:vAlign w:val="center"/>
          </w:tcPr>
          <w:p w14:paraId="65A75621">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地下水√</w:t>
            </w:r>
          </w:p>
        </w:tc>
      </w:tr>
      <w:tr w14:paraId="4010B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noWrap w:val="0"/>
            <w:vAlign w:val="center"/>
          </w:tcPr>
          <w:p w14:paraId="4DF96AE2">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事故情形分析</w:t>
            </w:r>
          </w:p>
        </w:tc>
        <w:tc>
          <w:tcPr>
            <w:tcW w:w="1842" w:type="dxa"/>
            <w:gridSpan w:val="2"/>
            <w:noWrap w:val="0"/>
            <w:vAlign w:val="center"/>
          </w:tcPr>
          <w:p w14:paraId="470956DE">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源强设定方法</w:t>
            </w:r>
          </w:p>
        </w:tc>
        <w:tc>
          <w:tcPr>
            <w:tcW w:w="1965" w:type="dxa"/>
            <w:gridSpan w:val="6"/>
            <w:noWrap w:val="0"/>
            <w:vAlign w:val="center"/>
          </w:tcPr>
          <w:p w14:paraId="2211C095">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计算法√</w:t>
            </w:r>
          </w:p>
        </w:tc>
        <w:tc>
          <w:tcPr>
            <w:tcW w:w="2167" w:type="dxa"/>
            <w:gridSpan w:val="6"/>
            <w:noWrap w:val="0"/>
            <w:vAlign w:val="center"/>
          </w:tcPr>
          <w:p w14:paraId="7D9A0814">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经验估算法⎕</w:t>
            </w:r>
          </w:p>
        </w:tc>
        <w:tc>
          <w:tcPr>
            <w:tcW w:w="1943" w:type="dxa"/>
            <w:gridSpan w:val="3"/>
            <w:noWrap w:val="0"/>
            <w:vAlign w:val="center"/>
          </w:tcPr>
          <w:p w14:paraId="5EBC8CAA">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其它估算法⎕</w:t>
            </w:r>
          </w:p>
        </w:tc>
      </w:tr>
      <w:tr w14:paraId="28CC2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restart"/>
            <w:noWrap w:val="0"/>
            <w:vAlign w:val="center"/>
          </w:tcPr>
          <w:p w14:paraId="7BB18B5F">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风险预测与评价</w:t>
            </w:r>
          </w:p>
        </w:tc>
        <w:tc>
          <w:tcPr>
            <w:tcW w:w="827" w:type="dxa"/>
            <w:vMerge w:val="restart"/>
            <w:noWrap w:val="0"/>
            <w:vAlign w:val="center"/>
          </w:tcPr>
          <w:p w14:paraId="05BCAC89">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大气</w:t>
            </w:r>
          </w:p>
        </w:tc>
        <w:tc>
          <w:tcPr>
            <w:tcW w:w="1842" w:type="dxa"/>
            <w:gridSpan w:val="2"/>
            <w:noWrap w:val="0"/>
            <w:vAlign w:val="center"/>
          </w:tcPr>
          <w:p w14:paraId="39F47764">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预测模型</w:t>
            </w:r>
          </w:p>
        </w:tc>
        <w:tc>
          <w:tcPr>
            <w:tcW w:w="1965" w:type="dxa"/>
            <w:gridSpan w:val="6"/>
            <w:noWrap w:val="0"/>
            <w:vAlign w:val="center"/>
          </w:tcPr>
          <w:p w14:paraId="1858DA8B">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SLAB√</w:t>
            </w:r>
          </w:p>
        </w:tc>
        <w:tc>
          <w:tcPr>
            <w:tcW w:w="2388" w:type="dxa"/>
            <w:gridSpan w:val="8"/>
            <w:noWrap w:val="0"/>
            <w:vAlign w:val="center"/>
          </w:tcPr>
          <w:p w14:paraId="705204B4">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AFTOX√</w:t>
            </w:r>
          </w:p>
        </w:tc>
        <w:tc>
          <w:tcPr>
            <w:tcW w:w="1722" w:type="dxa"/>
            <w:noWrap w:val="0"/>
            <w:vAlign w:val="center"/>
          </w:tcPr>
          <w:p w14:paraId="7B052D43">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其他⎕</w:t>
            </w:r>
          </w:p>
        </w:tc>
      </w:tr>
      <w:tr w14:paraId="218A1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4F720EAD">
            <w:pPr>
              <w:pStyle w:val="369"/>
              <w:outlineLvl w:val="9"/>
              <w:rPr>
                <w:rFonts w:hint="default" w:ascii="Times New Roman" w:hAnsi="Times New Roman" w:eastAsia="宋体" w:cs="Times New Roman"/>
                <w:color w:val="auto"/>
                <w:highlight w:val="none"/>
              </w:rPr>
            </w:pPr>
          </w:p>
        </w:tc>
        <w:tc>
          <w:tcPr>
            <w:tcW w:w="827" w:type="dxa"/>
            <w:vMerge w:val="continue"/>
            <w:noWrap w:val="0"/>
            <w:vAlign w:val="center"/>
          </w:tcPr>
          <w:p w14:paraId="7485BEAC">
            <w:pPr>
              <w:pStyle w:val="369"/>
              <w:outlineLvl w:val="9"/>
              <w:rPr>
                <w:rFonts w:hint="default" w:ascii="Times New Roman" w:hAnsi="Times New Roman" w:eastAsia="宋体" w:cs="Times New Roman"/>
                <w:color w:val="auto"/>
                <w:highlight w:val="none"/>
              </w:rPr>
            </w:pPr>
          </w:p>
        </w:tc>
        <w:tc>
          <w:tcPr>
            <w:tcW w:w="834" w:type="dxa"/>
            <w:vMerge w:val="restart"/>
            <w:noWrap w:val="0"/>
            <w:vAlign w:val="center"/>
          </w:tcPr>
          <w:p w14:paraId="60D69530">
            <w:pPr>
              <w:pStyle w:val="369"/>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预测结果</w:t>
            </w:r>
          </w:p>
        </w:tc>
        <w:tc>
          <w:tcPr>
            <w:tcW w:w="1479" w:type="dxa"/>
            <w:gridSpan w:val="3"/>
            <w:vMerge w:val="restart"/>
            <w:noWrap w:val="0"/>
            <w:vAlign w:val="center"/>
          </w:tcPr>
          <w:p w14:paraId="5F221E5E">
            <w:pPr>
              <w:pStyle w:val="369"/>
              <w:outlineLvl w:val="9"/>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硫酸铵受热导致氨气泄漏</w:t>
            </w:r>
          </w:p>
        </w:tc>
        <w:tc>
          <w:tcPr>
            <w:tcW w:w="3882" w:type="dxa"/>
            <w:gridSpan w:val="12"/>
            <w:vMerge w:val="restart"/>
            <w:noWrap w:val="0"/>
            <w:vAlign w:val="center"/>
          </w:tcPr>
          <w:p w14:paraId="292889B6">
            <w:pPr>
              <w:pStyle w:val="369"/>
              <w:outlineLvl w:val="9"/>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最不利气象条件</w:t>
            </w:r>
          </w:p>
        </w:tc>
        <w:tc>
          <w:tcPr>
            <w:tcW w:w="1722" w:type="dxa"/>
            <w:noWrap w:val="0"/>
            <w:vAlign w:val="center"/>
          </w:tcPr>
          <w:p w14:paraId="656FDE89">
            <w:pPr>
              <w:pStyle w:val="369"/>
              <w:outlineLvl w:val="9"/>
              <w:rPr>
                <w:rFonts w:hint="default" w:ascii="Times New Roman" w:hAnsi="Times New Roman" w:eastAsia="宋体" w:cs="Times New Roman"/>
                <w:color w:val="auto"/>
                <w:kern w:val="21"/>
                <w:sz w:val="21"/>
                <w:szCs w:val="20"/>
                <w:highlight w:val="none"/>
                <w:lang w:val="en-US" w:eastAsia="zh-CN" w:bidi="ar-SA"/>
              </w:rPr>
            </w:pPr>
            <w:r>
              <w:rPr>
                <w:rFonts w:hint="default" w:ascii="Times New Roman" w:hAnsi="Times New Roman" w:eastAsia="宋体" w:cs="Times New Roman"/>
                <w:color w:val="auto"/>
                <w:highlight w:val="none"/>
              </w:rPr>
              <w:t>大气毒性终点浓度-1 最大影响范围</w:t>
            </w:r>
            <w:r>
              <w:rPr>
                <w:rFonts w:hint="default" w:ascii="Times New Roman" w:hAnsi="Times New Roman" w:eastAsia="宋体" w:cs="Times New Roman"/>
                <w:color w:val="auto"/>
                <w:highlight w:val="none"/>
                <w:u w:val="single"/>
              </w:rPr>
              <w:t xml:space="preserve"> </w:t>
            </w:r>
            <w:r>
              <w:rPr>
                <w:rFonts w:hint="default" w:ascii="Times New Roman" w:hAnsi="Times New Roman" w:cs="Times New Roman"/>
                <w:color w:val="auto"/>
                <w:highlight w:val="none"/>
                <w:u w:val="single"/>
                <w:lang w:val="en-US" w:eastAsia="zh-CN"/>
              </w:rPr>
              <w:t>/</w:t>
            </w:r>
            <w:r>
              <w:rPr>
                <w:rFonts w:hint="default" w:ascii="Times New Roman" w:hAnsi="Times New Roman" w:eastAsia="宋体" w:cs="Times New Roman"/>
                <w:color w:val="auto"/>
                <w:highlight w:val="none"/>
                <w:u w:val="single"/>
              </w:rPr>
              <w:t xml:space="preserve"> </w:t>
            </w:r>
            <w:r>
              <w:rPr>
                <w:rFonts w:hint="default" w:ascii="Times New Roman" w:hAnsi="Times New Roman" w:eastAsia="宋体" w:cs="Times New Roman"/>
                <w:color w:val="auto"/>
                <w:highlight w:val="none"/>
              </w:rPr>
              <w:t>m</w:t>
            </w:r>
          </w:p>
        </w:tc>
      </w:tr>
      <w:tr w14:paraId="67CD3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4C29AC00">
            <w:pPr>
              <w:pStyle w:val="369"/>
              <w:outlineLvl w:val="9"/>
              <w:rPr>
                <w:rFonts w:hint="default" w:ascii="Times New Roman" w:hAnsi="Times New Roman" w:eastAsia="宋体" w:cs="Times New Roman"/>
                <w:color w:val="auto"/>
                <w:highlight w:val="none"/>
              </w:rPr>
            </w:pPr>
          </w:p>
        </w:tc>
        <w:tc>
          <w:tcPr>
            <w:tcW w:w="827" w:type="dxa"/>
            <w:vMerge w:val="continue"/>
            <w:noWrap w:val="0"/>
            <w:vAlign w:val="center"/>
          </w:tcPr>
          <w:p w14:paraId="387CD9DC">
            <w:pPr>
              <w:pStyle w:val="369"/>
              <w:outlineLvl w:val="9"/>
              <w:rPr>
                <w:rFonts w:hint="default" w:ascii="Times New Roman" w:hAnsi="Times New Roman" w:eastAsia="宋体" w:cs="Times New Roman"/>
                <w:color w:val="auto"/>
                <w:highlight w:val="none"/>
              </w:rPr>
            </w:pPr>
          </w:p>
        </w:tc>
        <w:tc>
          <w:tcPr>
            <w:tcW w:w="834" w:type="dxa"/>
            <w:vMerge w:val="continue"/>
            <w:noWrap w:val="0"/>
            <w:vAlign w:val="center"/>
          </w:tcPr>
          <w:p w14:paraId="32656495">
            <w:pPr>
              <w:pStyle w:val="369"/>
              <w:outlineLvl w:val="9"/>
              <w:rPr>
                <w:rFonts w:hint="default" w:ascii="Times New Roman" w:hAnsi="Times New Roman" w:eastAsia="宋体" w:cs="Times New Roman"/>
                <w:color w:val="auto"/>
                <w:highlight w:val="none"/>
              </w:rPr>
            </w:pPr>
          </w:p>
        </w:tc>
        <w:tc>
          <w:tcPr>
            <w:tcW w:w="1479" w:type="dxa"/>
            <w:gridSpan w:val="3"/>
            <w:vMerge w:val="continue"/>
            <w:noWrap w:val="0"/>
            <w:vAlign w:val="center"/>
          </w:tcPr>
          <w:p w14:paraId="09A22023">
            <w:pPr>
              <w:pStyle w:val="369"/>
              <w:outlineLvl w:val="9"/>
              <w:rPr>
                <w:rFonts w:hint="default" w:ascii="Times New Roman" w:hAnsi="Times New Roman" w:eastAsia="宋体" w:cs="Times New Roman"/>
                <w:color w:val="auto"/>
                <w:highlight w:val="none"/>
              </w:rPr>
            </w:pPr>
          </w:p>
        </w:tc>
        <w:tc>
          <w:tcPr>
            <w:tcW w:w="3882" w:type="dxa"/>
            <w:gridSpan w:val="12"/>
            <w:vMerge w:val="continue"/>
            <w:noWrap w:val="0"/>
            <w:vAlign w:val="center"/>
          </w:tcPr>
          <w:p w14:paraId="7A64429F">
            <w:pPr>
              <w:pStyle w:val="369"/>
              <w:outlineLvl w:val="9"/>
              <w:rPr>
                <w:rFonts w:hint="default" w:ascii="Times New Roman" w:hAnsi="Times New Roman" w:eastAsia="宋体" w:cs="Times New Roman"/>
                <w:color w:val="auto"/>
                <w:highlight w:val="none"/>
              </w:rPr>
            </w:pPr>
          </w:p>
        </w:tc>
        <w:tc>
          <w:tcPr>
            <w:tcW w:w="1722" w:type="dxa"/>
            <w:noWrap w:val="0"/>
            <w:vAlign w:val="center"/>
          </w:tcPr>
          <w:p w14:paraId="5F9997CD">
            <w:pPr>
              <w:pStyle w:val="369"/>
              <w:outlineLvl w:val="9"/>
              <w:rPr>
                <w:rFonts w:hint="default" w:ascii="Times New Roman" w:hAnsi="Times New Roman" w:eastAsia="宋体" w:cs="Times New Roman"/>
                <w:color w:val="auto"/>
                <w:kern w:val="21"/>
                <w:sz w:val="21"/>
                <w:szCs w:val="20"/>
                <w:highlight w:val="none"/>
                <w:lang w:val="en-US" w:eastAsia="zh-CN" w:bidi="ar-SA"/>
              </w:rPr>
            </w:pPr>
            <w:r>
              <w:rPr>
                <w:rFonts w:hint="default" w:ascii="Times New Roman" w:hAnsi="Times New Roman" w:eastAsia="宋体" w:cs="Times New Roman"/>
                <w:color w:val="auto"/>
                <w:highlight w:val="none"/>
              </w:rPr>
              <w:t>大气毒性终点浓度-2 最大影响范围</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u w:val="single"/>
                <w:lang w:val="en-US" w:eastAsia="zh-CN"/>
              </w:rPr>
              <w:t>/</w:t>
            </w:r>
            <w:r>
              <w:rPr>
                <w:rFonts w:hint="default" w:ascii="Times New Roman" w:hAnsi="Times New Roman" w:eastAsia="宋体" w:cs="Times New Roman"/>
                <w:color w:val="auto"/>
                <w:highlight w:val="none"/>
                <w:u w:val="single"/>
              </w:rPr>
              <w:t xml:space="preserve"> </w:t>
            </w:r>
            <w:r>
              <w:rPr>
                <w:rFonts w:hint="default" w:ascii="Times New Roman" w:hAnsi="Times New Roman" w:eastAsia="宋体" w:cs="Times New Roman"/>
                <w:color w:val="auto"/>
                <w:highlight w:val="none"/>
              </w:rPr>
              <w:t>m</w:t>
            </w:r>
          </w:p>
        </w:tc>
      </w:tr>
      <w:tr w14:paraId="11CE3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43DDFE24">
            <w:pPr>
              <w:pStyle w:val="369"/>
              <w:outlineLvl w:val="9"/>
              <w:rPr>
                <w:rFonts w:hint="default" w:ascii="Times New Roman" w:hAnsi="Times New Roman" w:eastAsia="宋体" w:cs="Times New Roman"/>
                <w:color w:val="auto"/>
                <w:highlight w:val="none"/>
              </w:rPr>
            </w:pPr>
          </w:p>
        </w:tc>
        <w:tc>
          <w:tcPr>
            <w:tcW w:w="827" w:type="dxa"/>
            <w:vMerge w:val="continue"/>
            <w:noWrap w:val="0"/>
            <w:vAlign w:val="center"/>
          </w:tcPr>
          <w:p w14:paraId="14926E5E">
            <w:pPr>
              <w:pStyle w:val="369"/>
              <w:outlineLvl w:val="9"/>
              <w:rPr>
                <w:rFonts w:hint="default" w:ascii="Times New Roman" w:hAnsi="Times New Roman" w:eastAsia="宋体" w:cs="Times New Roman"/>
                <w:color w:val="auto"/>
                <w:highlight w:val="none"/>
              </w:rPr>
            </w:pPr>
          </w:p>
        </w:tc>
        <w:tc>
          <w:tcPr>
            <w:tcW w:w="834" w:type="dxa"/>
            <w:vMerge w:val="continue"/>
            <w:noWrap w:val="0"/>
            <w:vAlign w:val="center"/>
          </w:tcPr>
          <w:p w14:paraId="2862EC68">
            <w:pPr>
              <w:pStyle w:val="369"/>
              <w:outlineLvl w:val="9"/>
              <w:rPr>
                <w:rFonts w:hint="default" w:ascii="Times New Roman" w:hAnsi="Times New Roman" w:eastAsia="宋体" w:cs="Times New Roman"/>
                <w:color w:val="auto"/>
                <w:highlight w:val="none"/>
              </w:rPr>
            </w:pPr>
          </w:p>
        </w:tc>
        <w:tc>
          <w:tcPr>
            <w:tcW w:w="1479" w:type="dxa"/>
            <w:gridSpan w:val="3"/>
            <w:vMerge w:val="restart"/>
            <w:noWrap w:val="0"/>
            <w:vAlign w:val="center"/>
          </w:tcPr>
          <w:p w14:paraId="4CEB30AC">
            <w:pPr>
              <w:pStyle w:val="369"/>
              <w:outlineLvl w:val="9"/>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硫酸铵受热导致SO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泄漏</w:t>
            </w:r>
          </w:p>
        </w:tc>
        <w:tc>
          <w:tcPr>
            <w:tcW w:w="3882" w:type="dxa"/>
            <w:gridSpan w:val="12"/>
            <w:vMerge w:val="restart"/>
            <w:noWrap w:val="0"/>
            <w:vAlign w:val="center"/>
          </w:tcPr>
          <w:p w14:paraId="7AECA896">
            <w:pPr>
              <w:pStyle w:val="369"/>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最不利气象条件</w:t>
            </w:r>
          </w:p>
        </w:tc>
        <w:tc>
          <w:tcPr>
            <w:tcW w:w="1722" w:type="dxa"/>
            <w:noWrap w:val="0"/>
            <w:vAlign w:val="center"/>
          </w:tcPr>
          <w:p w14:paraId="27A67DE7">
            <w:pPr>
              <w:pStyle w:val="369"/>
              <w:outlineLvl w:val="9"/>
              <w:rPr>
                <w:rFonts w:hint="default" w:ascii="Times New Roman" w:hAnsi="Times New Roman" w:eastAsia="宋体" w:cs="Times New Roman"/>
                <w:color w:val="auto"/>
                <w:kern w:val="21"/>
                <w:sz w:val="21"/>
                <w:szCs w:val="20"/>
                <w:highlight w:val="none"/>
                <w:lang w:val="en-US" w:eastAsia="zh-CN" w:bidi="ar-SA"/>
              </w:rPr>
            </w:pPr>
            <w:r>
              <w:rPr>
                <w:rFonts w:hint="default" w:ascii="Times New Roman" w:hAnsi="Times New Roman" w:eastAsia="宋体" w:cs="Times New Roman"/>
                <w:color w:val="auto"/>
                <w:highlight w:val="none"/>
              </w:rPr>
              <w:t>大气毒性终点浓度-1 最大影响范围</w:t>
            </w:r>
            <w:r>
              <w:rPr>
                <w:rFonts w:hint="default" w:ascii="Times New Roman" w:hAnsi="Times New Roman" w:eastAsia="宋体" w:cs="Times New Roman"/>
                <w:color w:val="auto"/>
                <w:highlight w:val="none"/>
                <w:u w:val="single"/>
              </w:rPr>
              <w:t xml:space="preserve"> </w:t>
            </w:r>
            <w:r>
              <w:rPr>
                <w:rFonts w:hint="default" w:ascii="Times New Roman" w:hAnsi="Times New Roman" w:cs="Times New Roman"/>
                <w:color w:val="auto"/>
                <w:highlight w:val="none"/>
                <w:u w:val="single"/>
                <w:lang w:val="en-US" w:eastAsia="zh-CN"/>
              </w:rPr>
              <w:t>12</w:t>
            </w:r>
            <w:r>
              <w:rPr>
                <w:rFonts w:hint="default" w:ascii="Times New Roman" w:hAnsi="Times New Roman" w:eastAsia="宋体" w:cs="Times New Roman"/>
                <w:color w:val="auto"/>
                <w:highlight w:val="none"/>
                <w:u w:val="single"/>
              </w:rPr>
              <w:t xml:space="preserve"> </w:t>
            </w:r>
            <w:r>
              <w:rPr>
                <w:rFonts w:hint="default" w:ascii="Times New Roman" w:hAnsi="Times New Roman" w:eastAsia="宋体" w:cs="Times New Roman"/>
                <w:color w:val="auto"/>
                <w:highlight w:val="none"/>
              </w:rPr>
              <w:t>m</w:t>
            </w:r>
          </w:p>
        </w:tc>
      </w:tr>
      <w:tr w14:paraId="5966E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74A30392">
            <w:pPr>
              <w:pStyle w:val="369"/>
              <w:outlineLvl w:val="9"/>
              <w:rPr>
                <w:rFonts w:hint="default" w:ascii="Times New Roman" w:hAnsi="Times New Roman" w:eastAsia="宋体" w:cs="Times New Roman"/>
                <w:color w:val="auto"/>
                <w:highlight w:val="none"/>
              </w:rPr>
            </w:pPr>
          </w:p>
        </w:tc>
        <w:tc>
          <w:tcPr>
            <w:tcW w:w="827" w:type="dxa"/>
            <w:vMerge w:val="continue"/>
            <w:noWrap w:val="0"/>
            <w:vAlign w:val="center"/>
          </w:tcPr>
          <w:p w14:paraId="7D7D9522">
            <w:pPr>
              <w:pStyle w:val="369"/>
              <w:outlineLvl w:val="9"/>
              <w:rPr>
                <w:rFonts w:hint="default" w:ascii="Times New Roman" w:hAnsi="Times New Roman" w:eastAsia="宋体" w:cs="Times New Roman"/>
                <w:color w:val="auto"/>
                <w:highlight w:val="none"/>
              </w:rPr>
            </w:pPr>
          </w:p>
        </w:tc>
        <w:tc>
          <w:tcPr>
            <w:tcW w:w="834" w:type="dxa"/>
            <w:vMerge w:val="continue"/>
            <w:noWrap w:val="0"/>
            <w:vAlign w:val="center"/>
          </w:tcPr>
          <w:p w14:paraId="437903E5">
            <w:pPr>
              <w:pStyle w:val="369"/>
              <w:outlineLvl w:val="9"/>
              <w:rPr>
                <w:rFonts w:hint="default" w:ascii="Times New Roman" w:hAnsi="Times New Roman" w:eastAsia="宋体" w:cs="Times New Roman"/>
                <w:color w:val="auto"/>
                <w:highlight w:val="none"/>
              </w:rPr>
            </w:pPr>
          </w:p>
        </w:tc>
        <w:tc>
          <w:tcPr>
            <w:tcW w:w="1479" w:type="dxa"/>
            <w:gridSpan w:val="3"/>
            <w:vMerge w:val="continue"/>
            <w:noWrap w:val="0"/>
            <w:vAlign w:val="center"/>
          </w:tcPr>
          <w:p w14:paraId="156A48EB">
            <w:pPr>
              <w:pStyle w:val="369"/>
              <w:outlineLvl w:val="9"/>
              <w:rPr>
                <w:rFonts w:hint="default" w:ascii="Times New Roman" w:hAnsi="Times New Roman" w:eastAsia="宋体" w:cs="Times New Roman"/>
                <w:color w:val="auto"/>
                <w:highlight w:val="none"/>
              </w:rPr>
            </w:pPr>
          </w:p>
        </w:tc>
        <w:tc>
          <w:tcPr>
            <w:tcW w:w="3882" w:type="dxa"/>
            <w:gridSpan w:val="12"/>
            <w:vMerge w:val="continue"/>
            <w:noWrap w:val="0"/>
            <w:vAlign w:val="center"/>
          </w:tcPr>
          <w:p w14:paraId="4B0210A3">
            <w:pPr>
              <w:pStyle w:val="369"/>
              <w:outlineLvl w:val="9"/>
              <w:rPr>
                <w:rFonts w:hint="default" w:ascii="Times New Roman" w:hAnsi="Times New Roman" w:eastAsia="宋体" w:cs="Times New Roman"/>
                <w:color w:val="auto"/>
                <w:highlight w:val="none"/>
              </w:rPr>
            </w:pPr>
          </w:p>
        </w:tc>
        <w:tc>
          <w:tcPr>
            <w:tcW w:w="1722" w:type="dxa"/>
            <w:noWrap w:val="0"/>
            <w:vAlign w:val="center"/>
          </w:tcPr>
          <w:p w14:paraId="7B7650EF">
            <w:pPr>
              <w:pStyle w:val="369"/>
              <w:outlineLvl w:val="9"/>
              <w:rPr>
                <w:rFonts w:hint="default" w:ascii="Times New Roman" w:hAnsi="Times New Roman" w:eastAsia="宋体" w:cs="Times New Roman"/>
                <w:color w:val="auto"/>
                <w:kern w:val="21"/>
                <w:sz w:val="21"/>
                <w:szCs w:val="20"/>
                <w:highlight w:val="none"/>
                <w:lang w:val="en-US" w:eastAsia="zh-CN" w:bidi="ar-SA"/>
              </w:rPr>
            </w:pPr>
            <w:r>
              <w:rPr>
                <w:rFonts w:hint="default" w:ascii="Times New Roman" w:hAnsi="Times New Roman" w:eastAsia="宋体" w:cs="Times New Roman"/>
                <w:color w:val="auto"/>
                <w:highlight w:val="none"/>
              </w:rPr>
              <w:t>大气毒性终点浓度-2 最大影响范围</w:t>
            </w:r>
            <w:r>
              <w:rPr>
                <w:rFonts w:hint="default" w:ascii="Times New Roman" w:hAnsi="Times New Roman" w:cs="Times New Roman"/>
                <w:color w:val="auto"/>
                <w:highlight w:val="none"/>
                <w:u w:val="single"/>
                <w:lang w:val="en-US" w:eastAsia="zh-CN"/>
              </w:rPr>
              <w:t>76</w:t>
            </w:r>
            <w:r>
              <w:rPr>
                <w:rFonts w:hint="default" w:ascii="Times New Roman" w:hAnsi="Times New Roman" w:eastAsia="宋体" w:cs="Times New Roman"/>
                <w:color w:val="auto"/>
                <w:highlight w:val="none"/>
                <w:u w:val="single"/>
              </w:rPr>
              <w:t xml:space="preserve"> </w:t>
            </w:r>
            <w:r>
              <w:rPr>
                <w:rFonts w:hint="default" w:ascii="Times New Roman" w:hAnsi="Times New Roman" w:eastAsia="宋体" w:cs="Times New Roman"/>
                <w:color w:val="auto"/>
                <w:highlight w:val="none"/>
              </w:rPr>
              <w:t>m</w:t>
            </w:r>
          </w:p>
        </w:tc>
      </w:tr>
      <w:tr w14:paraId="6D600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217A0310">
            <w:pPr>
              <w:pStyle w:val="369"/>
              <w:outlineLvl w:val="9"/>
              <w:rPr>
                <w:rFonts w:hint="default" w:ascii="Times New Roman" w:hAnsi="Times New Roman" w:eastAsia="宋体" w:cs="Times New Roman"/>
                <w:color w:val="auto"/>
              </w:rPr>
            </w:pPr>
          </w:p>
        </w:tc>
        <w:tc>
          <w:tcPr>
            <w:tcW w:w="827" w:type="dxa"/>
            <w:noWrap w:val="0"/>
            <w:vAlign w:val="center"/>
          </w:tcPr>
          <w:p w14:paraId="1364AD5B">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地表水</w:t>
            </w:r>
          </w:p>
        </w:tc>
        <w:tc>
          <w:tcPr>
            <w:tcW w:w="7917" w:type="dxa"/>
            <w:gridSpan w:val="17"/>
            <w:noWrap w:val="0"/>
            <w:vAlign w:val="center"/>
          </w:tcPr>
          <w:p w14:paraId="55AD0058">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最近环境敏感目标</w:t>
            </w:r>
            <w:r>
              <w:rPr>
                <w:rFonts w:hint="default" w:ascii="Times New Roman" w:hAnsi="Times New Roman" w:eastAsia="宋体" w:cs="Times New Roman"/>
                <w:color w:val="auto"/>
                <w:u w:val="single"/>
              </w:rPr>
              <w:t xml:space="preserve">  无影响 </w:t>
            </w:r>
            <w:r>
              <w:rPr>
                <w:rFonts w:hint="default" w:ascii="Times New Roman" w:hAnsi="Times New Roman" w:eastAsia="宋体" w:cs="Times New Roman"/>
                <w:color w:val="auto"/>
              </w:rPr>
              <w:t>，达到时间</w:t>
            </w:r>
            <w:r>
              <w:rPr>
                <w:rFonts w:hint="default" w:ascii="Times New Roman" w:hAnsi="Times New Roman" w:eastAsia="宋体" w:cs="Times New Roman"/>
                <w:color w:val="auto"/>
                <w:u w:val="single"/>
              </w:rPr>
              <w:t xml:space="preserve">       </w:t>
            </w:r>
            <w:r>
              <w:rPr>
                <w:rFonts w:hint="default" w:ascii="Times New Roman" w:hAnsi="Times New Roman" w:eastAsia="宋体" w:cs="Times New Roman"/>
                <w:color w:val="auto"/>
              </w:rPr>
              <w:t>h</w:t>
            </w:r>
          </w:p>
        </w:tc>
      </w:tr>
      <w:tr w14:paraId="0DA47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2BE5C2D8">
            <w:pPr>
              <w:pStyle w:val="369"/>
              <w:outlineLvl w:val="9"/>
              <w:rPr>
                <w:rFonts w:hint="default" w:ascii="Times New Roman" w:hAnsi="Times New Roman" w:eastAsia="宋体" w:cs="Times New Roman"/>
                <w:color w:val="auto"/>
              </w:rPr>
            </w:pPr>
          </w:p>
        </w:tc>
        <w:tc>
          <w:tcPr>
            <w:tcW w:w="827" w:type="dxa"/>
            <w:vMerge w:val="restart"/>
            <w:noWrap w:val="0"/>
            <w:vAlign w:val="center"/>
          </w:tcPr>
          <w:p w14:paraId="596408E7">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地下水</w:t>
            </w:r>
          </w:p>
        </w:tc>
        <w:tc>
          <w:tcPr>
            <w:tcW w:w="7917" w:type="dxa"/>
            <w:gridSpan w:val="17"/>
            <w:noWrap w:val="0"/>
            <w:vAlign w:val="center"/>
          </w:tcPr>
          <w:p w14:paraId="0D6918FA">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下游厂区边界到达时间</w:t>
            </w:r>
            <w:r>
              <w:rPr>
                <w:rFonts w:hint="default" w:ascii="Times New Roman" w:hAnsi="Times New Roman" w:eastAsia="宋体" w:cs="Times New Roman"/>
                <w:color w:val="auto"/>
                <w:u w:val="single"/>
              </w:rPr>
              <w:t xml:space="preserve">  </w:t>
            </w:r>
            <w:r>
              <w:rPr>
                <w:rFonts w:hint="default" w:ascii="Times New Roman" w:hAnsi="Times New Roman" w:eastAsia="宋体" w:cs="Times New Roman"/>
                <w:color w:val="auto"/>
              </w:rPr>
              <w:t>d</w:t>
            </w:r>
          </w:p>
        </w:tc>
      </w:tr>
      <w:tr w14:paraId="0D8B8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vMerge w:val="continue"/>
            <w:noWrap w:val="0"/>
            <w:vAlign w:val="center"/>
          </w:tcPr>
          <w:p w14:paraId="7451094B">
            <w:pPr>
              <w:pStyle w:val="369"/>
              <w:outlineLvl w:val="9"/>
              <w:rPr>
                <w:rFonts w:hint="default" w:ascii="Times New Roman" w:hAnsi="Times New Roman" w:eastAsia="宋体" w:cs="Times New Roman"/>
                <w:color w:val="auto"/>
              </w:rPr>
            </w:pPr>
          </w:p>
        </w:tc>
        <w:tc>
          <w:tcPr>
            <w:tcW w:w="827" w:type="dxa"/>
            <w:vMerge w:val="continue"/>
            <w:noWrap w:val="0"/>
            <w:vAlign w:val="center"/>
          </w:tcPr>
          <w:p w14:paraId="4BB18F73">
            <w:pPr>
              <w:pStyle w:val="369"/>
              <w:outlineLvl w:val="9"/>
              <w:rPr>
                <w:rFonts w:hint="default" w:ascii="Times New Roman" w:hAnsi="Times New Roman" w:eastAsia="宋体" w:cs="Times New Roman"/>
                <w:color w:val="auto"/>
              </w:rPr>
            </w:pPr>
          </w:p>
        </w:tc>
        <w:tc>
          <w:tcPr>
            <w:tcW w:w="7917" w:type="dxa"/>
            <w:gridSpan w:val="17"/>
            <w:noWrap w:val="0"/>
            <w:vAlign w:val="center"/>
          </w:tcPr>
          <w:p w14:paraId="23501585">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最近环境敏感目标</w:t>
            </w:r>
            <w:r>
              <w:rPr>
                <w:rFonts w:hint="default" w:ascii="Times New Roman" w:hAnsi="Times New Roman" w:eastAsia="宋体" w:cs="Times New Roman"/>
                <w:color w:val="auto"/>
                <w:u w:val="single"/>
              </w:rPr>
              <w:t xml:space="preserve">  无  </w:t>
            </w:r>
            <w:r>
              <w:rPr>
                <w:rFonts w:hint="default" w:ascii="Times New Roman" w:hAnsi="Times New Roman" w:eastAsia="宋体" w:cs="Times New Roman"/>
                <w:color w:val="auto"/>
              </w:rPr>
              <w:t>，到达时间</w:t>
            </w:r>
            <w:r>
              <w:rPr>
                <w:rFonts w:hint="default" w:ascii="Times New Roman" w:hAnsi="Times New Roman" w:eastAsia="宋体" w:cs="Times New Roman"/>
                <w:color w:val="auto"/>
                <w:u w:val="single"/>
              </w:rPr>
              <w:t xml:space="preserve">   </w:t>
            </w:r>
            <w:r>
              <w:rPr>
                <w:rFonts w:hint="default" w:ascii="Times New Roman" w:hAnsi="Times New Roman" w:eastAsia="宋体" w:cs="Times New Roman"/>
                <w:color w:val="auto"/>
              </w:rPr>
              <w:t>d</w:t>
            </w:r>
          </w:p>
        </w:tc>
      </w:tr>
      <w:tr w14:paraId="046D2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noWrap w:val="0"/>
            <w:vAlign w:val="center"/>
          </w:tcPr>
          <w:p w14:paraId="2CE5831E">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重点风险防范措施</w:t>
            </w:r>
          </w:p>
        </w:tc>
        <w:tc>
          <w:tcPr>
            <w:tcW w:w="7917" w:type="dxa"/>
            <w:gridSpan w:val="17"/>
            <w:noWrap w:val="0"/>
            <w:vAlign w:val="center"/>
          </w:tcPr>
          <w:p w14:paraId="127A44C9">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详见正文“环境风险防范措施章节”</w:t>
            </w:r>
          </w:p>
        </w:tc>
      </w:tr>
      <w:tr w14:paraId="6C07D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gridSpan w:val="2"/>
            <w:noWrap w:val="0"/>
            <w:vAlign w:val="center"/>
          </w:tcPr>
          <w:p w14:paraId="60E7C6F3">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评价结论与建议</w:t>
            </w:r>
          </w:p>
        </w:tc>
        <w:tc>
          <w:tcPr>
            <w:tcW w:w="7917" w:type="dxa"/>
            <w:gridSpan w:val="17"/>
            <w:noWrap w:val="0"/>
            <w:vAlign w:val="center"/>
          </w:tcPr>
          <w:p w14:paraId="26B5723F">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在落实各项环保措施和本评价所列出的各项环境风险防范措施、有效的应急预案，加强风险管理的条件下，</w:t>
            </w:r>
            <w:r>
              <w:rPr>
                <w:rFonts w:hint="default" w:ascii="Times New Roman" w:hAnsi="Times New Roman" w:eastAsia="宋体" w:cs="Times New Roman"/>
                <w:color w:val="auto"/>
                <w:lang w:val="en-US" w:eastAsia="zh-CN"/>
              </w:rPr>
              <w:t>项目环境风险可控</w:t>
            </w:r>
            <w:r>
              <w:rPr>
                <w:rFonts w:hint="default" w:ascii="Times New Roman" w:hAnsi="Times New Roman" w:eastAsia="宋体" w:cs="Times New Roman"/>
                <w:color w:val="auto"/>
              </w:rPr>
              <w:t>。</w:t>
            </w:r>
          </w:p>
        </w:tc>
      </w:tr>
      <w:tr w14:paraId="3436A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72" w:type="dxa"/>
            <w:gridSpan w:val="19"/>
            <w:noWrap w:val="0"/>
            <w:vAlign w:val="center"/>
          </w:tcPr>
          <w:p w14:paraId="081F7663">
            <w:pPr>
              <w:pStyle w:val="369"/>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注：⎕为勾选项，“</w:t>
            </w:r>
            <w:r>
              <w:rPr>
                <w:rFonts w:hint="default" w:ascii="Times New Roman" w:hAnsi="Times New Roman" w:eastAsia="宋体" w:cs="Times New Roman"/>
                <w:color w:val="auto"/>
                <w:u w:val="single"/>
              </w:rPr>
              <w:t xml:space="preserve">      </w:t>
            </w:r>
            <w:r>
              <w:rPr>
                <w:rFonts w:hint="default" w:ascii="Times New Roman" w:hAnsi="Times New Roman" w:eastAsia="宋体" w:cs="Times New Roman"/>
                <w:color w:val="auto"/>
              </w:rPr>
              <w:t>”为填写项</w:t>
            </w:r>
          </w:p>
        </w:tc>
      </w:tr>
    </w:tbl>
    <w:p w14:paraId="49BA8877">
      <w:pPr>
        <w:widowControl/>
        <w:ind w:firstLine="420" w:firstLineChars="200"/>
        <w:outlineLvl w:val="9"/>
        <w:rPr>
          <w:rFonts w:hint="default" w:ascii="Times New Roman" w:hAnsi="Times New Roman" w:eastAsia="宋体" w:cs="Times New Roman"/>
          <w:color w:val="auto"/>
          <w:kern w:val="0"/>
          <w:szCs w:val="24"/>
        </w:rPr>
      </w:pPr>
    </w:p>
    <w:p w14:paraId="65AB79CD">
      <w:pPr>
        <w:rPr>
          <w:rFonts w:ascii="Times New Roman" w:hAnsi="Times New Roman" w:cs="Times New Roman"/>
          <w:color w:val="auto"/>
        </w:rPr>
      </w:pPr>
    </w:p>
    <w:p w14:paraId="6C43B713">
      <w:pPr>
        <w:rPr>
          <w:rFonts w:ascii="Times New Roman" w:hAnsi="Times New Roman" w:cs="Times New Roman"/>
          <w:color w:val="auto"/>
        </w:rPr>
      </w:pPr>
    </w:p>
    <w:p w14:paraId="630B796E">
      <w:pPr>
        <w:pStyle w:val="200"/>
        <w:spacing w:before="192" w:beforeLines="80" w:after="24" w:line="420" w:lineRule="exact"/>
        <w:jc w:val="left"/>
        <w:rPr>
          <w:rFonts w:hint="eastAsia" w:ascii="Times New Roman" w:cs="Times New Roman"/>
          <w:snapToGrid w:val="0"/>
          <w:color w:val="auto"/>
          <w:spacing w:val="-6"/>
          <w:kern w:val="21"/>
          <w:szCs w:val="21"/>
          <w:lang w:eastAsia="zh-CN"/>
        </w:rPr>
      </w:pPr>
    </w:p>
    <w:p w14:paraId="47052A0A">
      <w:pPr>
        <w:pStyle w:val="200"/>
        <w:spacing w:before="192" w:beforeLines="80" w:after="24" w:line="420" w:lineRule="exact"/>
        <w:jc w:val="left"/>
        <w:rPr>
          <w:rFonts w:hint="eastAsia" w:ascii="Times New Roman" w:cs="Times New Roman"/>
          <w:snapToGrid w:val="0"/>
          <w:color w:val="auto"/>
          <w:spacing w:val="-6"/>
          <w:kern w:val="21"/>
          <w:szCs w:val="21"/>
          <w:lang w:eastAsia="zh-CN"/>
        </w:rPr>
      </w:pPr>
    </w:p>
    <w:p w14:paraId="0C53D6B4">
      <w:pPr>
        <w:pStyle w:val="200"/>
        <w:spacing w:before="192" w:beforeLines="80" w:after="24" w:line="420" w:lineRule="exact"/>
        <w:jc w:val="left"/>
        <w:rPr>
          <w:rFonts w:hint="eastAsia" w:ascii="Times New Roman" w:cs="Times New Roman"/>
          <w:snapToGrid w:val="0"/>
          <w:color w:val="auto"/>
          <w:spacing w:val="-6"/>
          <w:kern w:val="21"/>
          <w:szCs w:val="21"/>
          <w:lang w:eastAsia="zh-CN"/>
        </w:rPr>
      </w:pPr>
    </w:p>
    <w:p w14:paraId="2ECA7173">
      <w:pPr>
        <w:pStyle w:val="200"/>
        <w:spacing w:before="192" w:beforeLines="80" w:after="24" w:line="420" w:lineRule="exact"/>
        <w:jc w:val="left"/>
        <w:rPr>
          <w:rFonts w:hint="eastAsia" w:ascii="Times New Roman" w:cs="Times New Roman"/>
          <w:snapToGrid w:val="0"/>
          <w:color w:val="auto"/>
          <w:spacing w:val="-6"/>
          <w:kern w:val="21"/>
          <w:szCs w:val="21"/>
          <w:lang w:eastAsia="zh-CN"/>
        </w:rPr>
      </w:pPr>
    </w:p>
    <w:p w14:paraId="1B1D17C7">
      <w:pPr>
        <w:keepNext w:val="0"/>
        <w:keepLines w:val="0"/>
        <w:widowControl w:val="0"/>
        <w:suppressLineNumbers w:val="0"/>
        <w:spacing w:before="0" w:beforeAutospacing="0" w:after="0" w:afterAutospacing="0"/>
        <w:ind w:left="0" w:right="560"/>
        <w:jc w:val="right"/>
        <w:rPr>
          <w:rFonts w:hint="eastAsia" w:ascii="Times New Roman" w:hAnsi="Times New Roman" w:eastAsia="宋体" w:cs="宋体"/>
          <w:color w:val="auto"/>
          <w:kern w:val="2"/>
          <w:sz w:val="28"/>
          <w:szCs w:val="28"/>
          <w:highlight w:val="none"/>
          <w:lang w:val="en-US" w:eastAsia="zh-CN" w:bidi="ar"/>
        </w:rPr>
        <w:sectPr>
          <w:pgSz w:w="11906" w:h="16838"/>
          <w:pgMar w:top="1440" w:right="1800" w:bottom="1440" w:left="1800" w:header="851" w:footer="992" w:gutter="0"/>
          <w:cols w:space="720" w:num="1"/>
          <w:docGrid w:type="lines" w:linePitch="312" w:charSpace="0"/>
        </w:sectPr>
      </w:pPr>
      <w:r>
        <w:rPr>
          <w:rFonts w:hint="eastAsia" w:ascii="宋体" w:hAnsi="宋体"/>
          <w:b/>
          <w:color w:val="auto"/>
          <w:sz w:val="44"/>
          <w:szCs w:val="28"/>
        </w:rPr>
        <w:drawing>
          <wp:inline distT="0" distB="0" distL="114300" distR="114300">
            <wp:extent cx="5269230" cy="6936105"/>
            <wp:effectExtent l="0" t="0" r="7620" b="17145"/>
            <wp:docPr id="65" name="图片 65" descr="扫描全能王 2024-10-16 20.38 (2)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扫描全能王 2024-10-16 20.38 (2)_5"/>
                    <pic:cNvPicPr>
                      <a:picLocks noChangeAspect="1"/>
                    </pic:cNvPicPr>
                  </pic:nvPicPr>
                  <pic:blipFill>
                    <a:blip r:embed="rId37"/>
                    <a:stretch>
                      <a:fillRect/>
                    </a:stretch>
                  </pic:blipFill>
                  <pic:spPr>
                    <a:xfrm>
                      <a:off x="0" y="0"/>
                      <a:ext cx="5269230" cy="6936105"/>
                    </a:xfrm>
                    <a:prstGeom prst="rect">
                      <a:avLst/>
                    </a:prstGeom>
                  </pic:spPr>
                </pic:pic>
              </a:graphicData>
            </a:graphic>
          </wp:inline>
        </w:drawing>
      </w:r>
      <w:r>
        <w:rPr>
          <w:rFonts w:hint="eastAsia" w:ascii="宋体" w:hAnsi="宋体"/>
          <w:b/>
          <w:color w:val="auto"/>
          <w:sz w:val="44"/>
          <w:szCs w:val="28"/>
        </w:rPr>
        <w:drawing>
          <wp:inline distT="0" distB="0" distL="114300" distR="114300">
            <wp:extent cx="5262880" cy="7195820"/>
            <wp:effectExtent l="0" t="0" r="13970" b="5080"/>
            <wp:docPr id="66" name="图片 66" descr="扫描全能王 2024-10-16 20.38 (2)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扫描全能王 2024-10-16 20.38 (2)_4"/>
                    <pic:cNvPicPr>
                      <a:picLocks noChangeAspect="1"/>
                    </pic:cNvPicPr>
                  </pic:nvPicPr>
                  <pic:blipFill>
                    <a:blip r:embed="rId38"/>
                    <a:stretch>
                      <a:fillRect/>
                    </a:stretch>
                  </pic:blipFill>
                  <pic:spPr>
                    <a:xfrm>
                      <a:off x="0" y="0"/>
                      <a:ext cx="5262880" cy="7195820"/>
                    </a:xfrm>
                    <a:prstGeom prst="rect">
                      <a:avLst/>
                    </a:prstGeom>
                  </pic:spPr>
                </pic:pic>
              </a:graphicData>
            </a:graphic>
          </wp:inline>
        </w:drawing>
      </w:r>
    </w:p>
    <w:p w14:paraId="58BFD685">
      <w:pPr>
        <w:keepNext w:val="0"/>
        <w:keepLines w:val="0"/>
        <w:widowControl w:val="0"/>
        <w:suppressLineNumbers w:val="0"/>
        <w:spacing w:before="0" w:beforeAutospacing="0" w:after="0" w:afterAutospacing="0"/>
        <w:ind w:left="0" w:right="560"/>
        <w:jc w:val="center"/>
        <w:rPr>
          <w:rFonts w:hint="eastAsia" w:ascii="Times New Roman" w:hAnsi="Times New Roman" w:eastAsia="宋体" w:cs="宋体"/>
          <w:color w:val="0000FF"/>
          <w:kern w:val="2"/>
          <w:sz w:val="28"/>
          <w:szCs w:val="28"/>
          <w:highlight w:val="none"/>
          <w:lang w:val="en-US" w:eastAsia="zh-CN" w:bidi="ar"/>
        </w:rPr>
        <w:sectPr>
          <w:pgSz w:w="16838" w:h="11906" w:orient="landscape"/>
          <w:pgMar w:top="1800" w:right="1440" w:bottom="1800" w:left="1440" w:header="851" w:footer="992" w:gutter="0"/>
          <w:cols w:space="720" w:num="1"/>
          <w:docGrid w:type="lines" w:linePitch="312" w:charSpace="0"/>
        </w:sectPr>
      </w:pPr>
      <w:r>
        <w:drawing>
          <wp:inline distT="0" distB="0" distL="114300" distR="114300">
            <wp:extent cx="8118475" cy="5721350"/>
            <wp:effectExtent l="0" t="0" r="15875" b="12700"/>
            <wp:docPr id="60" name="图片 10" descr="a86e58af0301a017e3207b83d072f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0" descr="a86e58af0301a017e3207b83d072f3a"/>
                    <pic:cNvPicPr>
                      <a:picLocks noChangeAspect="1"/>
                    </pic:cNvPicPr>
                  </pic:nvPicPr>
                  <pic:blipFill>
                    <a:blip r:embed="rId39"/>
                    <a:stretch>
                      <a:fillRect/>
                    </a:stretch>
                  </pic:blipFill>
                  <pic:spPr>
                    <a:xfrm>
                      <a:off x="0" y="0"/>
                      <a:ext cx="8118475" cy="5721350"/>
                    </a:xfrm>
                    <a:prstGeom prst="rect">
                      <a:avLst/>
                    </a:prstGeom>
                    <a:noFill/>
                    <a:ln>
                      <a:noFill/>
                    </a:ln>
                  </pic:spPr>
                </pic:pic>
              </a:graphicData>
            </a:graphic>
          </wp:inline>
        </w:drawing>
      </w:r>
    </w:p>
    <w:p w14:paraId="49E49B02">
      <w:pPr>
        <w:pStyle w:val="75"/>
        <w:keepNext w:val="0"/>
        <w:keepLines w:val="0"/>
        <w:widowControl/>
        <w:suppressLineNumbers w:val="0"/>
        <w:shd w:val="clear" w:color="auto" w:fill="FFFFFF"/>
        <w:spacing w:line="360" w:lineRule="auto"/>
        <w:jc w:val="center"/>
        <w:rPr>
          <w:rFonts w:hint="eastAsia" w:eastAsia="宋体"/>
          <w:color w:val="0000FF"/>
          <w:lang w:eastAsia="zh-CN"/>
        </w:rPr>
      </w:pPr>
      <w:r>
        <w:rPr>
          <w:rFonts w:hint="eastAsia" w:eastAsia="宋体"/>
          <w:color w:val="0000FF"/>
          <w:lang w:eastAsia="zh-CN"/>
        </w:rPr>
        <w:drawing>
          <wp:inline distT="0" distB="0" distL="114300" distR="114300">
            <wp:extent cx="5266690" cy="7609840"/>
            <wp:effectExtent l="0" t="0" r="10160" b="10160"/>
            <wp:docPr id="63" name="图片 11" descr="b571f7cf25626361134d7f49cb7a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1" descr="b571f7cf25626361134d7f49cb7a511"/>
                    <pic:cNvPicPr>
                      <a:picLocks noChangeAspect="1"/>
                    </pic:cNvPicPr>
                  </pic:nvPicPr>
                  <pic:blipFill>
                    <a:blip r:embed="rId40"/>
                    <a:stretch>
                      <a:fillRect/>
                    </a:stretch>
                  </pic:blipFill>
                  <pic:spPr>
                    <a:xfrm>
                      <a:off x="0" y="0"/>
                      <a:ext cx="5266690" cy="7609840"/>
                    </a:xfrm>
                    <a:prstGeom prst="rect">
                      <a:avLst/>
                    </a:prstGeom>
                    <a:noFill/>
                    <a:ln>
                      <a:noFill/>
                    </a:ln>
                  </pic:spPr>
                </pic:pic>
              </a:graphicData>
            </a:graphic>
          </wp:inline>
        </w:drawing>
      </w:r>
    </w:p>
    <w:p w14:paraId="5B4C87C6">
      <w:pPr>
        <w:pStyle w:val="75"/>
        <w:keepNext w:val="0"/>
        <w:keepLines w:val="0"/>
        <w:widowControl/>
        <w:suppressLineNumbers w:val="0"/>
        <w:shd w:val="clear" w:color="auto" w:fill="FFFFFF"/>
        <w:spacing w:line="360" w:lineRule="auto"/>
        <w:jc w:val="center"/>
        <w:rPr>
          <w:rFonts w:hint="eastAsia" w:eastAsia="宋体"/>
          <w:color w:val="0000FF"/>
          <w:lang w:eastAsia="zh-CN"/>
        </w:rPr>
      </w:pPr>
    </w:p>
    <w:p w14:paraId="2AEA7D2B">
      <w:pPr>
        <w:pStyle w:val="75"/>
        <w:keepNext w:val="0"/>
        <w:keepLines w:val="0"/>
        <w:widowControl/>
        <w:suppressLineNumbers w:val="0"/>
        <w:shd w:val="clear" w:color="auto" w:fill="FFFFFF"/>
        <w:spacing w:line="360" w:lineRule="auto"/>
        <w:jc w:val="center"/>
        <w:rPr>
          <w:rFonts w:hint="eastAsia" w:eastAsia="宋体"/>
          <w:color w:val="0000FF"/>
          <w:lang w:eastAsia="zh-CN"/>
        </w:rPr>
      </w:pPr>
      <w:r>
        <w:rPr>
          <w:rFonts w:hint="eastAsia" w:eastAsia="宋体"/>
          <w:color w:val="0000FF"/>
          <w:lang w:eastAsia="zh-CN"/>
        </w:rPr>
        <w:drawing>
          <wp:inline distT="0" distB="0" distL="114300" distR="114300">
            <wp:extent cx="5255260" cy="7458075"/>
            <wp:effectExtent l="0" t="0" r="2540" b="9525"/>
            <wp:docPr id="64" name="图片 12" descr="3d5750abd9d6cee884cc686d3446d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2" descr="3d5750abd9d6cee884cc686d3446dd3"/>
                    <pic:cNvPicPr>
                      <a:picLocks noChangeAspect="1"/>
                    </pic:cNvPicPr>
                  </pic:nvPicPr>
                  <pic:blipFill>
                    <a:blip r:embed="rId41"/>
                    <a:stretch>
                      <a:fillRect/>
                    </a:stretch>
                  </pic:blipFill>
                  <pic:spPr>
                    <a:xfrm>
                      <a:off x="0" y="0"/>
                      <a:ext cx="5255260" cy="7458075"/>
                    </a:xfrm>
                    <a:prstGeom prst="rect">
                      <a:avLst/>
                    </a:prstGeom>
                    <a:noFill/>
                    <a:ln>
                      <a:noFill/>
                    </a:ln>
                  </pic:spPr>
                </pic:pic>
              </a:graphicData>
            </a:graphic>
          </wp:inline>
        </w:drawing>
      </w:r>
      <w:r>
        <w:rPr>
          <w:rFonts w:hint="eastAsia" w:eastAsia="宋体"/>
          <w:color w:val="0000FF"/>
          <w:lang w:eastAsia="zh-CN"/>
        </w:rPr>
        <w:drawing>
          <wp:inline distT="0" distB="0" distL="114300" distR="114300">
            <wp:extent cx="5269865" cy="8001000"/>
            <wp:effectExtent l="0" t="0" r="6985" b="0"/>
            <wp:docPr id="61" name="图片 13" descr="109a67bf2ca11da615478d77fa5be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3" descr="109a67bf2ca11da615478d77fa5bec3"/>
                    <pic:cNvPicPr>
                      <a:picLocks noChangeAspect="1"/>
                    </pic:cNvPicPr>
                  </pic:nvPicPr>
                  <pic:blipFill>
                    <a:blip r:embed="rId42"/>
                    <a:stretch>
                      <a:fillRect/>
                    </a:stretch>
                  </pic:blipFill>
                  <pic:spPr>
                    <a:xfrm>
                      <a:off x="0" y="0"/>
                      <a:ext cx="5269865" cy="8001000"/>
                    </a:xfrm>
                    <a:prstGeom prst="rect">
                      <a:avLst/>
                    </a:prstGeom>
                    <a:noFill/>
                    <a:ln>
                      <a:noFill/>
                    </a:ln>
                  </pic:spPr>
                </pic:pic>
              </a:graphicData>
            </a:graphic>
          </wp:inline>
        </w:drawing>
      </w:r>
      <w:r>
        <w:rPr>
          <w:rFonts w:hint="eastAsia" w:eastAsia="宋体"/>
          <w:color w:val="0000FF"/>
          <w:lang w:eastAsia="zh-CN"/>
        </w:rPr>
        <w:drawing>
          <wp:inline distT="0" distB="0" distL="114300" distR="114300">
            <wp:extent cx="5265420" cy="8429625"/>
            <wp:effectExtent l="0" t="0" r="11430" b="9525"/>
            <wp:docPr id="62" name="图片 14" descr="fe6900b171ea04604a3c2718c8125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4" descr="fe6900b171ea04604a3c2718c8125d3"/>
                    <pic:cNvPicPr>
                      <a:picLocks noChangeAspect="1"/>
                    </pic:cNvPicPr>
                  </pic:nvPicPr>
                  <pic:blipFill>
                    <a:blip r:embed="rId43"/>
                    <a:stretch>
                      <a:fillRect/>
                    </a:stretch>
                  </pic:blipFill>
                  <pic:spPr>
                    <a:xfrm>
                      <a:off x="0" y="0"/>
                      <a:ext cx="5265420" cy="8429625"/>
                    </a:xfrm>
                    <a:prstGeom prst="rect">
                      <a:avLst/>
                    </a:prstGeom>
                    <a:noFill/>
                    <a:ln>
                      <a:noFill/>
                    </a:ln>
                  </pic:spPr>
                </pic:pic>
              </a:graphicData>
            </a:graphic>
          </wp:inline>
        </w:drawing>
      </w:r>
    </w:p>
    <w:p w14:paraId="7DDA2380">
      <w:pPr>
        <w:rPr>
          <w:rFonts w:hint="eastAsia" w:eastAsiaTheme="minorEastAsia"/>
          <w:lang w:eastAsia="zh-CN"/>
        </w:rPr>
      </w:pPr>
      <w:r>
        <mc:AlternateContent>
          <mc:Choice Requires="wps">
            <w:drawing>
              <wp:anchor distT="0" distB="0" distL="114300" distR="114300" simplePos="0" relativeHeight="251670528" behindDoc="0" locked="0" layoutInCell="1" allowOverlap="1">
                <wp:simplePos x="0" y="0"/>
                <wp:positionH relativeFrom="column">
                  <wp:posOffset>2465705</wp:posOffset>
                </wp:positionH>
                <wp:positionV relativeFrom="paragraph">
                  <wp:posOffset>3373755</wp:posOffset>
                </wp:positionV>
                <wp:extent cx="76200" cy="76200"/>
                <wp:effectExtent l="12700" t="12700" r="25400" b="25400"/>
                <wp:wrapNone/>
                <wp:docPr id="13" name="五角星 13"/>
                <wp:cNvGraphicFramePr/>
                <a:graphic xmlns:a="http://schemas.openxmlformats.org/drawingml/2006/main">
                  <a:graphicData uri="http://schemas.microsoft.com/office/word/2010/wordprocessingShape">
                    <wps:wsp>
                      <wps:cNvSpPr/>
                      <wps:spPr>
                        <a:xfrm>
                          <a:off x="0" y="0"/>
                          <a:ext cx="76200" cy="7620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94.15pt;margin-top:265.65pt;height:6pt;width:6pt;z-index:251670528;v-text-anchor:middle;mso-width-relative:page;mso-height-relative:page;" fillcolor="#FF0000" filled="t" stroked="t" coordsize="76200,76200" o:gfxdata="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Ja5J81wAAAAsBAAAPAAAAAAAAAAEAIAAAACIAAABkcnMvZG93bnJldi54bWxQSwECFAAUAAAA&#10;CACHTuJAlRBLg2ECAADgBAAADgAAAAAAAAABACAAAAAmAQAAZHJzL2Uyb0RvYy54bWxQSwUGAAAA&#10;AAYABgBZAQAA+QUAAAAA&#10;" path="m0,29105l29105,29105,38100,0,47094,29105,76199,29105,52652,47093,61647,76199,38100,58211,14552,76199,23547,47093xe">
                <v:path o:connectlocs="38100,0;0,29105;14552,76199;61647,76199;76199,29105" o:connectangles="247,164,82,82,0"/>
                <v:fill on="t" focussize="0,0"/>
                <v:stroke weight="2pt" color="#FF0000 [3204]" joinstyle="round"/>
                <v:imagedata o:title=""/>
                <o:lock v:ext="edit" aspectratio="f"/>
              </v:shape>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2684780</wp:posOffset>
                </wp:positionH>
                <wp:positionV relativeFrom="paragraph">
                  <wp:posOffset>2809875</wp:posOffset>
                </wp:positionV>
                <wp:extent cx="900430" cy="311150"/>
                <wp:effectExtent l="139700" t="12700" r="26670" b="266700"/>
                <wp:wrapNone/>
                <wp:docPr id="67" name="矩形标注 67"/>
                <wp:cNvGraphicFramePr/>
                <a:graphic xmlns:a="http://schemas.openxmlformats.org/drawingml/2006/main">
                  <a:graphicData uri="http://schemas.microsoft.com/office/word/2010/wordprocessingShape">
                    <wps:wsp>
                      <wps:cNvSpPr/>
                      <wps:spPr>
                        <a:xfrm>
                          <a:off x="0" y="0"/>
                          <a:ext cx="900430" cy="311150"/>
                        </a:xfrm>
                        <a:prstGeom prst="wedgeRectCallout">
                          <a:avLst>
                            <a:gd name="adj1" fmla="val -64104"/>
                            <a:gd name="adj2" fmla="val 130408"/>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7273DF9">
                            <w:pPr>
                              <w:jc w:val="center"/>
                              <w:rPr>
                                <w:color w:val="000000" w:themeColor="text1"/>
                                <w:sz w:val="18"/>
                                <w:szCs w:val="21"/>
                                <w14:textFill>
                                  <w14:solidFill>
                                    <w14:schemeClr w14:val="tx1"/>
                                  </w14:solidFill>
                                </w14:textFill>
                              </w:rPr>
                            </w:pPr>
                            <w:r>
                              <w:rPr>
                                <w:rFonts w:hint="eastAsia"/>
                                <w:color w:val="000000" w:themeColor="text1"/>
                                <w:sz w:val="18"/>
                                <w:szCs w:val="21"/>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11.4pt;margin-top:221.25pt;height:24.5pt;width:70.9pt;z-index:251671552;v-text-anchor:middle;mso-width-relative:page;mso-height-relative:page;" filled="f" stroked="t" coordsize="21600,21600" o:gfxdata="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Rh0sb2gAAAAsBAAAPAAAAAAAAAAEAIAAAACIAAABkcnMv&#10;ZG93bnJldi54bWxQSwECFAAUAAAACACHTuJAMKtWk6wCAABGBQAADgAAAAAAAAABACAAAAApAQAA&#10;ZHJzL2Uyb0RvYy54bWxQSwUGAAAAAAYABgBZAQAARwYAAAAA&#10;" adj="-3046,38968">
                <v:fill on="f" focussize="0,0"/>
                <v:stroke weight="2pt" color="#385D8A [3204]" joinstyle="round"/>
                <v:imagedata o:title=""/>
                <o:lock v:ext="edit" aspectratio="f"/>
                <v:textbox>
                  <w:txbxContent>
                    <w:p w14:paraId="57273DF9">
                      <w:pPr>
                        <w:jc w:val="center"/>
                        <w:rPr>
                          <w:color w:val="000000" w:themeColor="text1"/>
                          <w:sz w:val="18"/>
                          <w:szCs w:val="21"/>
                          <w14:textFill>
                            <w14:solidFill>
                              <w14:schemeClr w14:val="tx1"/>
                            </w14:solidFill>
                          </w14:textFill>
                        </w:rPr>
                      </w:pPr>
                      <w:r>
                        <w:rPr>
                          <w:rFonts w:hint="eastAsia"/>
                          <w:color w:val="000000" w:themeColor="text1"/>
                          <w:sz w:val="18"/>
                          <w:szCs w:val="21"/>
                          <w14:textFill>
                            <w14:solidFill>
                              <w14:schemeClr w14:val="tx1"/>
                            </w14:solidFill>
                          </w14:textFill>
                        </w:rPr>
                        <w:t>本项目位置</w:t>
                      </w:r>
                    </w:p>
                  </w:txbxContent>
                </v:textbox>
              </v:shape>
            </w:pict>
          </mc:Fallback>
        </mc:AlternateContent>
      </w:r>
      <w:r>
        <w:rPr>
          <w:rFonts w:hint="eastAsia" w:eastAsiaTheme="minorEastAsia"/>
          <w:lang w:eastAsia="zh-CN"/>
        </w:rPr>
        <w:drawing>
          <wp:inline distT="0" distB="0" distL="114300" distR="114300">
            <wp:extent cx="5266690" cy="7459980"/>
            <wp:effectExtent l="0" t="0" r="10160" b="7620"/>
            <wp:docPr id="68" name="图片 68" descr="淄博市国土空间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淄博市国土空间规划图"/>
                    <pic:cNvPicPr>
                      <a:picLocks noChangeAspect="1"/>
                    </pic:cNvPicPr>
                  </pic:nvPicPr>
                  <pic:blipFill>
                    <a:blip r:embed="rId44"/>
                    <a:stretch>
                      <a:fillRect/>
                    </a:stretch>
                  </pic:blipFill>
                  <pic:spPr>
                    <a:xfrm>
                      <a:off x="0" y="0"/>
                      <a:ext cx="5266690" cy="7459980"/>
                    </a:xfrm>
                    <a:prstGeom prst="rect">
                      <a:avLst/>
                    </a:prstGeom>
                  </pic:spPr>
                </pic:pic>
              </a:graphicData>
            </a:graphic>
          </wp:inline>
        </w:drawing>
      </w:r>
    </w:p>
    <w:p w14:paraId="0E38313B">
      <w:pPr>
        <w:jc w:val="center"/>
        <w:rPr>
          <w:rFonts w:hint="default" w:ascii="Times New Roman" w:hAnsi="Times New Roman" w:cs="Times New Roman"/>
          <w:b/>
          <w:bCs/>
          <w:sz w:val="24"/>
          <w:szCs w:val="32"/>
          <w:lang w:val="en-US" w:eastAsia="zh-CN"/>
        </w:rPr>
      </w:pPr>
      <w:r>
        <w:rPr>
          <w:rFonts w:hint="default" w:ascii="Times New Roman" w:hAnsi="Times New Roman" w:cs="Times New Roman"/>
          <w:b/>
          <w:bCs/>
          <w:sz w:val="24"/>
          <w:szCs w:val="32"/>
          <w:lang w:val="en-US" w:eastAsia="zh-CN"/>
        </w:rPr>
        <w:t>附图</w:t>
      </w:r>
      <w:r>
        <w:rPr>
          <w:rFonts w:hint="eastAsia" w:ascii="Times New Roman" w:hAnsi="Times New Roman" w:cs="Times New Roman"/>
          <w:b/>
          <w:bCs/>
          <w:sz w:val="24"/>
          <w:szCs w:val="32"/>
          <w:lang w:val="en-US" w:eastAsia="zh-CN"/>
        </w:rPr>
        <w:t>1-1a</w:t>
      </w:r>
      <w:r>
        <w:rPr>
          <w:rFonts w:hint="default" w:ascii="Times New Roman" w:hAnsi="Times New Roman" w:cs="Times New Roman"/>
          <w:b/>
          <w:bCs/>
          <w:sz w:val="24"/>
          <w:szCs w:val="32"/>
          <w:lang w:val="en-US" w:eastAsia="zh-CN"/>
        </w:rPr>
        <w:t xml:space="preserve"> 淄博市国土</w:t>
      </w:r>
      <w:r>
        <w:rPr>
          <w:rFonts w:hint="eastAsia" w:ascii="Times New Roman" w:hAnsi="Times New Roman" w:cs="Times New Roman"/>
          <w:b/>
          <w:bCs/>
          <w:sz w:val="24"/>
          <w:szCs w:val="32"/>
          <w:lang w:val="en-US" w:eastAsia="zh-CN"/>
        </w:rPr>
        <w:t>空间</w:t>
      </w:r>
      <w:r>
        <w:rPr>
          <w:rFonts w:hint="default" w:ascii="Times New Roman" w:hAnsi="Times New Roman" w:cs="Times New Roman"/>
          <w:b/>
          <w:bCs/>
          <w:sz w:val="24"/>
          <w:szCs w:val="32"/>
          <w:lang w:val="en-US" w:eastAsia="zh-CN"/>
        </w:rPr>
        <w:t>总体规划图</w:t>
      </w:r>
    </w:p>
    <w:p w14:paraId="6792F704">
      <w:pPr>
        <w:jc w:val="center"/>
        <w:rPr>
          <w:rFonts w:hint="default" w:ascii="Times New Roman" w:hAnsi="Times New Roman" w:cs="Times New Roman"/>
          <w:b/>
          <w:bCs/>
          <w:sz w:val="24"/>
          <w:szCs w:val="32"/>
          <w:lang w:val="en-US" w:eastAsia="zh-CN"/>
        </w:rPr>
      </w:pPr>
    </w:p>
    <w:p w14:paraId="5EB3C2E3">
      <w:pPr>
        <w:jc w:val="center"/>
        <w:rPr>
          <w:rFonts w:hint="default" w:ascii="Times New Roman" w:hAnsi="Times New Roman" w:cs="Times New Roman"/>
          <w:b/>
          <w:bCs/>
          <w:sz w:val="24"/>
          <w:szCs w:val="32"/>
          <w:lang w:val="en-US" w:eastAsia="zh-CN"/>
        </w:rPr>
      </w:pPr>
    </w:p>
    <w:p w14:paraId="4FCD464A">
      <w:pPr>
        <w:jc w:val="center"/>
        <w:rPr>
          <w:rFonts w:hint="default" w:ascii="Times New Roman" w:hAnsi="Times New Roman" w:cs="Times New Roman"/>
          <w:b/>
          <w:bCs/>
          <w:sz w:val="24"/>
          <w:szCs w:val="32"/>
          <w:lang w:val="en-US" w:eastAsia="zh-CN"/>
        </w:rPr>
      </w:pPr>
    </w:p>
    <w:p w14:paraId="39D48131">
      <w:pPr>
        <w:jc w:val="center"/>
        <w:rPr>
          <w:rFonts w:hint="default" w:ascii="Times New Roman" w:hAnsi="Times New Roman" w:cs="Times New Roman"/>
          <w:b/>
          <w:bCs/>
          <w:sz w:val="24"/>
          <w:szCs w:val="32"/>
          <w:lang w:val="en-US" w:eastAsia="zh-CN"/>
        </w:rPr>
      </w:pPr>
    </w:p>
    <w:p w14:paraId="661E38FD">
      <w:pPr>
        <w:jc w:val="center"/>
        <w:rPr>
          <w:rFonts w:hint="default" w:ascii="Times New Roman" w:hAnsi="Times New Roman" w:cs="Times New Roman"/>
          <w:b/>
          <w:bCs/>
          <w:sz w:val="24"/>
          <w:szCs w:val="32"/>
          <w:lang w:val="en-US" w:eastAsia="zh-CN"/>
        </w:rPr>
      </w:pPr>
    </w:p>
    <w:p w14:paraId="48579AB2">
      <w:pPr>
        <w:jc w:val="center"/>
        <w:rPr>
          <w:rFonts w:hint="default" w:ascii="Times New Roman" w:hAnsi="Times New Roman" w:cs="Times New Roman"/>
          <w:b/>
          <w:bCs/>
          <w:sz w:val="24"/>
          <w:szCs w:val="32"/>
          <w:lang w:val="en-US" w:eastAsia="zh-CN"/>
        </w:rPr>
        <w:sectPr>
          <w:pgSz w:w="11906" w:h="16838"/>
          <w:pgMar w:top="1440" w:right="1800" w:bottom="1440" w:left="1800" w:header="851" w:footer="992" w:gutter="0"/>
          <w:cols w:space="425" w:num="1"/>
          <w:docGrid w:type="lines" w:linePitch="312" w:charSpace="0"/>
        </w:sectPr>
      </w:pPr>
    </w:p>
    <w:p w14:paraId="017759EC">
      <w:pPr>
        <w:jc w:val="center"/>
        <w:rPr>
          <w:rFonts w:hint="default" w:ascii="Times New Roman" w:hAnsi="Times New Roman" w:cs="Times New Roman"/>
          <w:b/>
          <w:bCs/>
          <w:sz w:val="24"/>
          <w:szCs w:val="32"/>
          <w:lang w:val="en-US" w:eastAsia="zh-CN"/>
        </w:rPr>
      </w:pPr>
      <w:r>
        <w:drawing>
          <wp:anchor distT="0" distB="0" distL="114300" distR="114300" simplePos="0" relativeHeight="251674624" behindDoc="0" locked="0" layoutInCell="1" allowOverlap="1">
            <wp:simplePos x="0" y="0"/>
            <wp:positionH relativeFrom="column">
              <wp:posOffset>7358380</wp:posOffset>
            </wp:positionH>
            <wp:positionV relativeFrom="paragraph">
              <wp:posOffset>159385</wp:posOffset>
            </wp:positionV>
            <wp:extent cx="1543685" cy="1409700"/>
            <wp:effectExtent l="0" t="0" r="18415" b="0"/>
            <wp:wrapNone/>
            <wp:docPr id="69" name="图片 69" descr="6a3da35c0d5b5828421b6909acb88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6a3da35c0d5b5828421b6909acb887e"/>
                    <pic:cNvPicPr>
                      <a:picLocks noChangeAspect="1"/>
                    </pic:cNvPicPr>
                  </pic:nvPicPr>
                  <pic:blipFill>
                    <a:blip r:embed="rId45"/>
                    <a:stretch>
                      <a:fillRect/>
                    </a:stretch>
                  </pic:blipFill>
                  <pic:spPr>
                    <a:xfrm>
                      <a:off x="0" y="0"/>
                      <a:ext cx="1543685" cy="1409700"/>
                    </a:xfrm>
                    <a:prstGeom prst="rect">
                      <a:avLst/>
                    </a:prstGeom>
                    <a:noFill/>
                    <a:ln>
                      <a:noFill/>
                    </a:ln>
                  </pic:spPr>
                </pic:pic>
              </a:graphicData>
            </a:graphic>
          </wp:anchor>
        </w:drawing>
      </w:r>
    </w:p>
    <w:p w14:paraId="7AE0B391">
      <w:pPr>
        <w:jc w:val="center"/>
      </w:pPr>
      <w:r>
        <mc:AlternateContent>
          <mc:Choice Requires="wps">
            <w:drawing>
              <wp:anchor distT="0" distB="0" distL="114300" distR="114300" simplePos="0" relativeHeight="251673600" behindDoc="0" locked="0" layoutInCell="1" allowOverlap="1">
                <wp:simplePos x="0" y="0"/>
                <wp:positionH relativeFrom="column">
                  <wp:posOffset>3519805</wp:posOffset>
                </wp:positionH>
                <wp:positionV relativeFrom="paragraph">
                  <wp:posOffset>1427480</wp:posOffset>
                </wp:positionV>
                <wp:extent cx="1217295" cy="490220"/>
                <wp:effectExtent l="184150" t="12700" r="27305" b="411480"/>
                <wp:wrapNone/>
                <wp:docPr id="70" name="矩形标注 70"/>
                <wp:cNvGraphicFramePr/>
                <a:graphic xmlns:a="http://schemas.openxmlformats.org/drawingml/2006/main">
                  <a:graphicData uri="http://schemas.microsoft.com/office/word/2010/wordprocessingShape">
                    <wps:wsp>
                      <wps:cNvSpPr/>
                      <wps:spPr>
                        <a:xfrm>
                          <a:off x="0" y="0"/>
                          <a:ext cx="1217295" cy="490220"/>
                        </a:xfrm>
                        <a:prstGeom prst="wedgeRectCallout">
                          <a:avLst>
                            <a:gd name="adj1" fmla="val -64104"/>
                            <a:gd name="adj2" fmla="val 130408"/>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4D096C5">
                            <w:pPr>
                              <w:jc w:val="center"/>
                              <w:rPr>
                                <w:b/>
                                <w:bCs/>
                                <w:color w:val="000000" w:themeColor="text1"/>
                                <w:sz w:val="28"/>
                                <w:szCs w:val="36"/>
                                <w14:textFill>
                                  <w14:solidFill>
                                    <w14:schemeClr w14:val="tx1"/>
                                  </w14:solidFill>
                                </w14:textFill>
                              </w:rPr>
                            </w:pPr>
                            <w:r>
                              <w:rPr>
                                <w:rFonts w:hint="eastAsia"/>
                                <w:b/>
                                <w:bCs/>
                                <w:color w:val="000000" w:themeColor="text1"/>
                                <w:sz w:val="28"/>
                                <w:szCs w:val="36"/>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77.15pt;margin-top:112.4pt;height:38.6pt;width:95.85pt;z-index:251673600;v-text-anchor:middle;mso-width-relative:page;mso-height-relative:page;" filled="f" stroked="t" coordsize="21600,21600" o:gfxdata="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vQIRKNkAAAALAQAADwAAAAAAAAABACAAAAAiAAAAZHJz&#10;L2Rvd25yZXYueG1sUEsBAhQAFAAAAAgAh07iQG+zhPuuAgAARwUAAA4AAAAAAAAAAQAgAAAAKAEA&#10;AGRycy9lMm9Eb2MueG1sUEsFBgAAAAAGAAYAWQEAAEgGAAAAAA==&#10;" adj="-3046,38968">
                <v:fill on="f" focussize="0,0"/>
                <v:stroke weight="2pt" color="#385D8A [3204]" joinstyle="round"/>
                <v:imagedata o:title=""/>
                <o:lock v:ext="edit" aspectratio="f"/>
                <v:textbox>
                  <w:txbxContent>
                    <w:p w14:paraId="24D096C5">
                      <w:pPr>
                        <w:jc w:val="center"/>
                        <w:rPr>
                          <w:b/>
                          <w:bCs/>
                          <w:color w:val="000000" w:themeColor="text1"/>
                          <w:sz w:val="28"/>
                          <w:szCs w:val="36"/>
                          <w14:textFill>
                            <w14:solidFill>
                              <w14:schemeClr w14:val="tx1"/>
                            </w14:solidFill>
                          </w14:textFill>
                        </w:rPr>
                      </w:pPr>
                      <w:r>
                        <w:rPr>
                          <w:rFonts w:hint="eastAsia"/>
                          <w:b/>
                          <w:bCs/>
                          <w:color w:val="000000" w:themeColor="text1"/>
                          <w:sz w:val="28"/>
                          <w:szCs w:val="36"/>
                          <w14:textFill>
                            <w14:solidFill>
                              <w14:schemeClr w14:val="tx1"/>
                            </w14:solidFill>
                          </w14:textFill>
                        </w:rPr>
                        <w:t>本项目位置</w:t>
                      </w:r>
                    </w:p>
                  </w:txbxContent>
                </v:textbox>
              </v:shape>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3183255</wp:posOffset>
                </wp:positionH>
                <wp:positionV relativeFrom="paragraph">
                  <wp:posOffset>2287270</wp:posOffset>
                </wp:positionV>
                <wp:extent cx="139065" cy="128905"/>
                <wp:effectExtent l="12700" t="12700" r="19685" b="29845"/>
                <wp:wrapNone/>
                <wp:docPr id="71" name="五角星 71"/>
                <wp:cNvGraphicFramePr/>
                <a:graphic xmlns:a="http://schemas.openxmlformats.org/drawingml/2006/main">
                  <a:graphicData uri="http://schemas.microsoft.com/office/word/2010/wordprocessingShape">
                    <wps:wsp>
                      <wps:cNvSpPr/>
                      <wps:spPr>
                        <a:xfrm>
                          <a:off x="0" y="0"/>
                          <a:ext cx="139065" cy="12890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50.65pt;margin-top:180.1pt;height:10.15pt;width:10.95pt;z-index:251672576;v-text-anchor:middle;mso-width-relative:page;mso-height-relative:page;" fillcolor="#FF0000" filled="t" stroked="t" coordsize="139065,128905" o:gfxdata="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EzCLenaAAAACwEAAA8AAAAAAAAAAQAgAAAAIgAAAGRycy9kb3ducmV2LnhtbFBL&#10;AQIUABQAAAAIAIdO4kAiVldzZgIAAOIEAAAOAAAAAAAAAAEAIAAAACkBAABkcnMvZTJvRG9jLnht&#10;bFBLBQYAAAAABgAGAFkBAAABBgAAAAA=&#10;" path="m0,49237l53118,49237,69532,0,85946,49237,139064,49237,96091,79667,112505,128904,69532,98473,26559,128904,42973,79667xe">
                <v:path o:connectlocs="69532,0;0,49237;26559,128904;112505,128904;139064,49237" o:connectangles="247,164,82,82,0"/>
                <v:fill on="t" focussize="0,0"/>
                <v:stroke weight="2pt" color="#FF0000 [3204]" joinstyle="round"/>
                <v:imagedata o:title=""/>
                <o:lock v:ext="edit" aspectratio="f"/>
              </v:shape>
            </w:pict>
          </mc:Fallback>
        </mc:AlternateContent>
      </w:r>
      <w:r>
        <w:drawing>
          <wp:inline distT="0" distB="0" distL="114300" distR="114300">
            <wp:extent cx="7115175" cy="4227830"/>
            <wp:effectExtent l="0" t="0" r="9525" b="1270"/>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pic:cNvPicPr>
                  </pic:nvPicPr>
                  <pic:blipFill>
                    <a:blip r:embed="rId46"/>
                    <a:stretch>
                      <a:fillRect/>
                    </a:stretch>
                  </pic:blipFill>
                  <pic:spPr>
                    <a:xfrm>
                      <a:off x="0" y="0"/>
                      <a:ext cx="7115175" cy="4227830"/>
                    </a:xfrm>
                    <a:prstGeom prst="rect">
                      <a:avLst/>
                    </a:prstGeom>
                    <a:noFill/>
                    <a:ln>
                      <a:noFill/>
                    </a:ln>
                  </pic:spPr>
                </pic:pic>
              </a:graphicData>
            </a:graphic>
          </wp:inline>
        </w:drawing>
      </w:r>
      <w:r>
        <w:drawing>
          <wp:inline distT="0" distB="0" distL="114300" distR="114300">
            <wp:extent cx="1345565" cy="1760220"/>
            <wp:effectExtent l="0" t="0" r="6985" b="11430"/>
            <wp:docPr id="7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
                    <pic:cNvPicPr>
                      <a:picLocks noChangeAspect="1"/>
                    </pic:cNvPicPr>
                  </pic:nvPicPr>
                  <pic:blipFill>
                    <a:blip r:embed="rId47"/>
                    <a:stretch>
                      <a:fillRect/>
                    </a:stretch>
                  </pic:blipFill>
                  <pic:spPr>
                    <a:xfrm>
                      <a:off x="0" y="0"/>
                      <a:ext cx="1345565" cy="1760220"/>
                    </a:xfrm>
                    <a:prstGeom prst="rect">
                      <a:avLst/>
                    </a:prstGeom>
                    <a:noFill/>
                    <a:ln>
                      <a:noFill/>
                    </a:ln>
                  </pic:spPr>
                </pic:pic>
              </a:graphicData>
            </a:graphic>
          </wp:inline>
        </w:drawing>
      </w:r>
    </w:p>
    <w:p w14:paraId="653254DA">
      <w:pPr>
        <w:pStyle w:val="200"/>
        <w:spacing w:before="192" w:beforeLines="80" w:after="24" w:line="420" w:lineRule="exact"/>
        <w:jc w:val="center"/>
        <w:rPr>
          <w:rFonts w:hint="eastAsia" w:ascii="Times New Roman" w:hAnsi="Times New Roman" w:cs="Times New Roman"/>
          <w:b/>
          <w:bCs/>
          <w:sz w:val="24"/>
          <w:szCs w:val="32"/>
          <w:lang w:val="en-US" w:eastAsia="zh-CN"/>
        </w:rPr>
      </w:pPr>
      <w:r>
        <w:rPr>
          <w:rFonts w:hint="default" w:ascii="Times New Roman" w:hAnsi="Times New Roman" w:cs="Times New Roman"/>
          <w:b/>
          <w:bCs/>
          <w:sz w:val="24"/>
          <w:szCs w:val="32"/>
          <w:lang w:val="en-US" w:eastAsia="zh-CN"/>
        </w:rPr>
        <w:t>附图</w:t>
      </w:r>
      <w:r>
        <w:rPr>
          <w:rFonts w:hint="eastAsia" w:ascii="Times New Roman" w:hAnsi="Times New Roman" w:cs="Times New Roman"/>
          <w:b/>
          <w:bCs/>
          <w:sz w:val="24"/>
          <w:szCs w:val="32"/>
          <w:lang w:val="en-US" w:eastAsia="zh-CN"/>
        </w:rPr>
        <w:t>1-2b</w:t>
      </w:r>
      <w:r>
        <w:rPr>
          <w:rFonts w:hint="default" w:ascii="Times New Roman" w:hAnsi="Times New Roman" w:cs="Times New Roman"/>
          <w:b/>
          <w:bCs/>
          <w:sz w:val="24"/>
          <w:szCs w:val="32"/>
          <w:lang w:val="en-US" w:eastAsia="zh-CN"/>
        </w:rPr>
        <w:t xml:space="preserve"> 淄博市国土</w:t>
      </w:r>
      <w:r>
        <w:rPr>
          <w:rFonts w:hint="eastAsia" w:ascii="Times New Roman" w:hAnsi="Times New Roman" w:cs="Times New Roman"/>
          <w:b/>
          <w:bCs/>
          <w:sz w:val="24"/>
          <w:szCs w:val="32"/>
          <w:lang w:val="en-US" w:eastAsia="zh-CN"/>
        </w:rPr>
        <w:t>空间</w:t>
      </w:r>
      <w:r>
        <w:rPr>
          <w:rFonts w:hint="default" w:ascii="Times New Roman" w:hAnsi="Times New Roman" w:cs="Times New Roman"/>
          <w:b/>
          <w:bCs/>
          <w:sz w:val="24"/>
          <w:szCs w:val="32"/>
          <w:lang w:val="en-US" w:eastAsia="zh-CN"/>
        </w:rPr>
        <w:t>总体规划图</w:t>
      </w:r>
      <w:r>
        <w:rPr>
          <w:rFonts w:hint="eastAsia" w:ascii="Times New Roman" w:hAnsi="Times New Roman" w:cs="Times New Roman"/>
          <w:b/>
          <w:bCs/>
          <w:sz w:val="24"/>
          <w:szCs w:val="32"/>
          <w:lang w:val="en-US" w:eastAsia="zh-CN"/>
        </w:rPr>
        <w:t>（局部放大图）</w:t>
      </w:r>
    </w:p>
    <w:p w14:paraId="1A71E0FD">
      <w:pPr>
        <w:pStyle w:val="200"/>
        <w:spacing w:before="192" w:beforeLines="80" w:after="24" w:line="420" w:lineRule="exact"/>
        <w:jc w:val="left"/>
        <w:rPr>
          <w:rFonts w:hint="eastAsia" w:ascii="Times New Roman" w:hAnsi="Times New Roman" w:cs="Times New Roman"/>
          <w:b/>
          <w:bCs/>
          <w:sz w:val="24"/>
          <w:szCs w:val="32"/>
          <w:lang w:val="en-US" w:eastAsia="zh-CN"/>
        </w:rPr>
      </w:pPr>
    </w:p>
    <w:p w14:paraId="075E3DC3">
      <w:pPr>
        <w:pStyle w:val="200"/>
        <w:spacing w:before="192" w:beforeLines="80" w:after="24" w:line="420" w:lineRule="exact"/>
        <w:jc w:val="left"/>
        <w:rPr>
          <w:rFonts w:hint="eastAsia" w:ascii="Times New Roman" w:hAnsi="Times New Roman" w:cs="Times New Roman"/>
          <w:b/>
          <w:bCs/>
          <w:sz w:val="24"/>
          <w:szCs w:val="32"/>
          <w:lang w:val="en-US" w:eastAsia="zh-CN"/>
        </w:rPr>
      </w:pPr>
    </w:p>
    <w:p w14:paraId="1B5FACD9">
      <w:pPr>
        <w:pStyle w:val="200"/>
        <w:spacing w:before="192" w:beforeLines="80" w:after="24" w:line="420" w:lineRule="exact"/>
        <w:jc w:val="left"/>
        <w:rPr>
          <w:rFonts w:hint="eastAsia" w:ascii="Times New Roman" w:cs="Times New Roman"/>
          <w:snapToGrid w:val="0"/>
          <w:color w:val="auto"/>
          <w:spacing w:val="-6"/>
          <w:kern w:val="21"/>
          <w:szCs w:val="21"/>
          <w:lang w:eastAsia="zh-CN"/>
        </w:rPr>
        <w:sectPr>
          <w:pgSz w:w="16838" w:h="11906" w:orient="landscape"/>
          <w:pgMar w:top="1531" w:right="1701" w:bottom="1531" w:left="1701" w:header="851" w:footer="850" w:gutter="0"/>
          <w:paperSrc/>
          <w:pgBorders>
            <w:top w:val="none" w:sz="0" w:space="0"/>
            <w:left w:val="none" w:sz="0" w:space="0"/>
            <w:bottom w:val="none" w:sz="0" w:space="0"/>
            <w:right w:val="none" w:sz="0" w:space="0"/>
          </w:pgBorders>
          <w:pgNumType w:fmt="decimal"/>
          <w:cols w:space="0" w:num="1"/>
          <w:rtlGutter w:val="0"/>
          <w:docGrid w:linePitch="312" w:charSpace="0"/>
        </w:sectPr>
      </w:pPr>
    </w:p>
    <w:p w14:paraId="01EC0E4F">
      <w:pPr>
        <w:rPr>
          <w:rFonts w:hint="default" w:eastAsiaTheme="minorEastAsia"/>
          <w:lang w:val="en-US" w:eastAsia="zh-CN"/>
        </w:rPr>
      </w:pPr>
      <w:r>
        <mc:AlternateContent>
          <mc:Choice Requires="wps">
            <w:drawing>
              <wp:anchor distT="0" distB="0" distL="114300" distR="114300" simplePos="0" relativeHeight="251676672" behindDoc="0" locked="0" layoutInCell="1" allowOverlap="1">
                <wp:simplePos x="0" y="0"/>
                <wp:positionH relativeFrom="column">
                  <wp:posOffset>3604260</wp:posOffset>
                </wp:positionH>
                <wp:positionV relativeFrom="paragraph">
                  <wp:posOffset>1539240</wp:posOffset>
                </wp:positionV>
                <wp:extent cx="724535" cy="308610"/>
                <wp:effectExtent l="514985" t="12700" r="17780" b="440690"/>
                <wp:wrapNone/>
                <wp:docPr id="11" name="矩形标注 11"/>
                <wp:cNvGraphicFramePr/>
                <a:graphic xmlns:a="http://schemas.openxmlformats.org/drawingml/2006/main">
                  <a:graphicData uri="http://schemas.microsoft.com/office/word/2010/wordprocessingShape">
                    <wps:wsp>
                      <wps:cNvSpPr/>
                      <wps:spPr>
                        <a:xfrm>
                          <a:off x="0" y="0"/>
                          <a:ext cx="724535" cy="308610"/>
                        </a:xfrm>
                        <a:prstGeom prst="wedgeRectCallout">
                          <a:avLst>
                            <a:gd name="adj1" fmla="val -119325"/>
                            <a:gd name="adj2" fmla="val 188424"/>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10E7CE">
                            <w:pPr>
                              <w:jc w:val="center"/>
                              <w:rPr>
                                <w:rFonts w:hint="eastAsia" w:eastAsiaTheme="minorEastAsia"/>
                                <w:color w:val="FF0000"/>
                                <w:lang w:val="en-US" w:eastAsia="zh-CN"/>
                              </w:rPr>
                            </w:pPr>
                            <w:r>
                              <w:rPr>
                                <w:rFonts w:hint="eastAsia"/>
                                <w:color w:val="FF0000"/>
                                <w:lang w:val="en-US"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83.8pt;margin-top:121.2pt;height:24.3pt;width:57.05pt;z-index:251676672;v-text-anchor:middle;mso-width-relative:page;mso-height-relative:page;" filled="f" stroked="t" coordsize="21600,21600" o:gfxdata="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DPjssw2gAAAAsBAAAPAAAAAAAAAAEAIAAAACIAAABkcnMvZG93bnJldi54bWxQ&#10;SwECFAAUAAAACACHTuJAarmz5aACAAAmBQAADgAAAAAAAAABACAAAAApAQAAZHJzL2Uyb0RvYy54&#10;bWxQSwUGAAAAAAYABgBZAQAAOwYAAAAA&#10;" adj="-14974,51500">
                <v:fill on="f" focussize="0,0"/>
                <v:stroke weight="2pt" color="#FF0000 [3204]" joinstyle="round"/>
                <v:imagedata o:title=""/>
                <o:lock v:ext="edit" aspectratio="f"/>
                <v:textbox>
                  <w:txbxContent>
                    <w:p w14:paraId="2D10E7CE">
                      <w:pPr>
                        <w:jc w:val="center"/>
                        <w:rPr>
                          <w:rFonts w:hint="eastAsia" w:eastAsiaTheme="minorEastAsia"/>
                          <w:color w:val="FF0000"/>
                          <w:lang w:val="en-US" w:eastAsia="zh-CN"/>
                        </w:rPr>
                      </w:pPr>
                      <w:r>
                        <w:rPr>
                          <w:rFonts w:hint="eastAsia"/>
                          <w:color w:val="FF0000"/>
                          <w:lang w:val="en-US" w:eastAsia="zh-CN"/>
                        </w:rPr>
                        <w:t>项目地</w:t>
                      </w:r>
                    </w:p>
                  </w:txbxContent>
                </v:textbox>
              </v:shape>
            </w:pict>
          </mc:Fallback>
        </mc:AlternateContent>
      </w:r>
      <w:r>
        <w:rPr>
          <w:sz w:val="21"/>
        </w:rPr>
        <mc:AlternateContent>
          <mc:Choice Requires="wps">
            <w:drawing>
              <wp:anchor distT="0" distB="0" distL="114300" distR="114300" simplePos="0" relativeHeight="251675648" behindDoc="0" locked="0" layoutInCell="1" allowOverlap="1">
                <wp:simplePos x="0" y="0"/>
                <wp:positionH relativeFrom="column">
                  <wp:posOffset>3020060</wp:posOffset>
                </wp:positionH>
                <wp:positionV relativeFrom="paragraph">
                  <wp:posOffset>2235835</wp:posOffset>
                </wp:positionV>
                <wp:extent cx="76200" cy="76200"/>
                <wp:effectExtent l="12700" t="12700" r="25400" b="25400"/>
                <wp:wrapNone/>
                <wp:docPr id="74" name="椭圆 74"/>
                <wp:cNvGraphicFramePr/>
                <a:graphic xmlns:a="http://schemas.openxmlformats.org/drawingml/2006/main">
                  <a:graphicData uri="http://schemas.microsoft.com/office/word/2010/wordprocessingShape">
                    <wps:wsp>
                      <wps:cNvSpPr/>
                      <wps:spPr>
                        <a:xfrm>
                          <a:off x="2831465" y="4003675"/>
                          <a:ext cx="76200" cy="76200"/>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37.8pt;margin-top:176.05pt;height:6pt;width:6pt;z-index:251675648;v-text-anchor:middle;mso-width-relative:page;mso-height-relative:page;" fillcolor="#FF0000" filled="t" stroked="t" coordsize="21600,21600" o:gfxdata="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t8YocNcAAAALAQAADwAAAAAAAAABACAAAAAiAAAAZHJzL2Rvd25yZXYueG1s&#10;UEsBAhQAFAAAAAgAh07iQBaBX8VrAgAA6wQAAA4AAAAAAAAAAQAgAAAAJgEAAGRycy9lMm9Eb2Mu&#10;eG1sUEsFBgAAAAAGAAYAWQEAAAMGAAAAAA==&#10;">
                <v:fill on="t" focussize="0,0"/>
                <v:stroke weight="2pt" color="#FF0000 [2404]" joinstyle="round"/>
                <v:imagedata o:title=""/>
                <o:lock v:ext="edit" aspectratio="f"/>
              </v:shape>
            </w:pict>
          </mc:Fallback>
        </mc:AlternateContent>
      </w:r>
      <w:r>
        <w:rPr>
          <w:sz w:val="21"/>
        </w:rPr>
        <mc:AlternateContent>
          <mc:Choice Requires="wps">
            <w:drawing>
              <wp:anchor distT="0" distB="0" distL="114300" distR="114300" simplePos="0" relativeHeight="251677696" behindDoc="0" locked="0" layoutInCell="1" allowOverlap="1">
                <wp:simplePos x="0" y="0"/>
                <wp:positionH relativeFrom="column">
                  <wp:posOffset>417830</wp:posOffset>
                </wp:positionH>
                <wp:positionV relativeFrom="paragraph">
                  <wp:posOffset>7878445</wp:posOffset>
                </wp:positionV>
                <wp:extent cx="5229225" cy="466725"/>
                <wp:effectExtent l="0" t="0" r="0" b="0"/>
                <wp:wrapNone/>
                <wp:docPr id="75" name="文本框 75"/>
                <wp:cNvGraphicFramePr/>
                <a:graphic xmlns:a="http://schemas.openxmlformats.org/drawingml/2006/main">
                  <a:graphicData uri="http://schemas.microsoft.com/office/word/2010/wordprocessingShape">
                    <wps:wsp>
                      <wps:cNvSpPr txBox="1"/>
                      <wps:spPr>
                        <a:xfrm>
                          <a:off x="1208405" y="9078595"/>
                          <a:ext cx="5229225" cy="4667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83EA75">
                            <w:pPr>
                              <w:pStyle w:val="80"/>
                              <w:ind w:left="0" w:leftChars="0" w:firstLine="0" w:firstLineChars="0"/>
                              <w:jc w:val="both"/>
                              <w:rPr>
                                <w:rFonts w:hint="default"/>
                                <w:b/>
                                <w:bCs/>
                                <w:sz w:val="30"/>
                                <w:szCs w:val="30"/>
                                <w:lang w:val="en-US" w:eastAsia="zh-CN"/>
                              </w:rPr>
                            </w:pPr>
                            <w:r>
                              <w:rPr>
                                <w:rFonts w:hint="eastAsia"/>
                                <w:b/>
                                <w:bCs/>
                                <w:sz w:val="30"/>
                                <w:szCs w:val="30"/>
                                <w:lang w:val="en-US" w:eastAsia="zh-CN"/>
                              </w:rPr>
                              <w:t>附图1-2拟建项目与淄川区三区三线规划成果位置关系图</w:t>
                            </w:r>
                          </w:p>
                          <w:p w14:paraId="076B9AD3"/>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9pt;margin-top:620.35pt;height:36.75pt;width:411.75pt;z-index:251677696;mso-width-relative:page;mso-height-relative:page;" filled="f" stroked="f" coordsize="21600,21600" o:gfxdata="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g6ZJbcAAAADAEAAA8AAAAA&#10;AAAAAQAgAAAAIgAAAGRycy9kb3ducmV2LnhtbFBLAQIUABQAAAAIAIdO4kDv/LE9SQIAAHQEAAAO&#10;AAAAAAAAAAEAIAAAACsBAABkcnMvZTJvRG9jLnhtbFBLBQYAAAAABgAGAFkBAADmBQAAAAA=&#10;">
                <v:fill on="f" focussize="0,0"/>
                <v:stroke on="f" weight="0.5pt"/>
                <v:imagedata o:title=""/>
                <o:lock v:ext="edit" aspectratio="f"/>
                <v:textbox>
                  <w:txbxContent>
                    <w:p w14:paraId="0B83EA75">
                      <w:pPr>
                        <w:pStyle w:val="80"/>
                        <w:ind w:left="0" w:leftChars="0" w:firstLine="0" w:firstLineChars="0"/>
                        <w:jc w:val="both"/>
                        <w:rPr>
                          <w:rFonts w:hint="default"/>
                          <w:b/>
                          <w:bCs/>
                          <w:sz w:val="30"/>
                          <w:szCs w:val="30"/>
                          <w:lang w:val="en-US" w:eastAsia="zh-CN"/>
                        </w:rPr>
                      </w:pPr>
                      <w:r>
                        <w:rPr>
                          <w:rFonts w:hint="eastAsia"/>
                          <w:b/>
                          <w:bCs/>
                          <w:sz w:val="30"/>
                          <w:szCs w:val="30"/>
                          <w:lang w:val="en-US" w:eastAsia="zh-CN"/>
                        </w:rPr>
                        <w:t>附图1-2拟建项目与淄川区三区三线规划成果位置关系图</w:t>
                      </w:r>
                    </w:p>
                    <w:p w14:paraId="076B9AD3"/>
                  </w:txbxContent>
                </v:textbox>
              </v:shape>
            </w:pict>
          </mc:Fallback>
        </mc:AlternateContent>
      </w:r>
      <w:r>
        <w:rPr>
          <w:rFonts w:hint="eastAsia" w:eastAsiaTheme="minorEastAsia"/>
          <w:lang w:eastAsia="zh-CN"/>
        </w:rPr>
        <w:drawing>
          <wp:inline distT="0" distB="0" distL="114300" distR="114300">
            <wp:extent cx="5619750" cy="7934325"/>
            <wp:effectExtent l="0" t="0" r="0" b="9525"/>
            <wp:docPr id="76" name="图片 76" descr="7c25130a6388d396e810f72f1909a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7c25130a6388d396e810f72f1909af8"/>
                    <pic:cNvPicPr>
                      <a:picLocks noChangeAspect="1"/>
                    </pic:cNvPicPr>
                  </pic:nvPicPr>
                  <pic:blipFill>
                    <a:blip r:embed="rId48"/>
                    <a:stretch>
                      <a:fillRect/>
                    </a:stretch>
                  </pic:blipFill>
                  <pic:spPr>
                    <a:xfrm>
                      <a:off x="0" y="0"/>
                      <a:ext cx="5619750" cy="7934325"/>
                    </a:xfrm>
                    <a:prstGeom prst="rect">
                      <a:avLst/>
                    </a:prstGeom>
                  </pic:spPr>
                </pic:pic>
              </a:graphicData>
            </a:graphic>
          </wp:inline>
        </w:drawing>
      </w:r>
    </w:p>
    <w:p w14:paraId="185487E3">
      <w:pPr>
        <w:pStyle w:val="200"/>
        <w:spacing w:before="192" w:beforeLines="80" w:after="24" w:line="420" w:lineRule="exact"/>
        <w:jc w:val="left"/>
        <w:rPr>
          <w:rFonts w:hint="eastAsia" w:ascii="Times New Roman" w:cs="Times New Roman"/>
          <w:snapToGrid w:val="0"/>
          <w:color w:val="auto"/>
          <w:spacing w:val="-6"/>
          <w:kern w:val="21"/>
          <w:szCs w:val="21"/>
          <w:lang w:eastAsia="zh-CN"/>
        </w:rPr>
      </w:pPr>
    </w:p>
    <w:p w14:paraId="00636416">
      <w:pPr>
        <w:pStyle w:val="200"/>
        <w:spacing w:before="192" w:beforeLines="80" w:after="24" w:line="420" w:lineRule="exact"/>
        <w:jc w:val="left"/>
        <w:rPr>
          <w:rFonts w:hint="eastAsia" w:ascii="Times New Roman" w:cs="Times New Roman"/>
          <w:snapToGrid w:val="0"/>
          <w:color w:val="auto"/>
          <w:spacing w:val="-6"/>
          <w:kern w:val="21"/>
          <w:szCs w:val="21"/>
          <w:lang w:eastAsia="zh-CN"/>
        </w:rPr>
        <w:sectPr>
          <w:pgSz w:w="11906" w:h="16838"/>
          <w:pgMar w:top="1701" w:right="1531" w:bottom="1701" w:left="1531" w:header="851" w:footer="850" w:gutter="0"/>
          <w:paperSrc/>
          <w:pgBorders>
            <w:top w:val="none" w:sz="0" w:space="0"/>
            <w:left w:val="none" w:sz="0" w:space="0"/>
            <w:bottom w:val="none" w:sz="0" w:space="0"/>
            <w:right w:val="none" w:sz="0" w:space="0"/>
          </w:pgBorders>
          <w:pgNumType w:fmt="decimal"/>
          <w:cols w:space="0" w:num="1"/>
          <w:rtlGutter w:val="0"/>
          <w:docGrid w:linePitch="312" w:charSpace="0"/>
        </w:sectPr>
      </w:pPr>
    </w:p>
    <w:p w14:paraId="44F9609A">
      <w:pPr>
        <w:jc w:val="center"/>
        <w:rPr>
          <w:rFonts w:hint="eastAsia" w:eastAsiaTheme="minorEastAsia"/>
          <w:lang w:eastAsia="zh-CN"/>
        </w:rPr>
      </w:pPr>
      <w:r>
        <w:rPr>
          <w:sz w:val="21"/>
        </w:rPr>
        <mc:AlternateContent>
          <mc:Choice Requires="wps">
            <w:drawing>
              <wp:anchor distT="0" distB="0" distL="114300" distR="114300" simplePos="0" relativeHeight="251679744" behindDoc="0" locked="0" layoutInCell="1" allowOverlap="1">
                <wp:simplePos x="0" y="0"/>
                <wp:positionH relativeFrom="column">
                  <wp:posOffset>4411345</wp:posOffset>
                </wp:positionH>
                <wp:positionV relativeFrom="paragraph">
                  <wp:posOffset>1904365</wp:posOffset>
                </wp:positionV>
                <wp:extent cx="730250" cy="294005"/>
                <wp:effectExtent l="438150" t="4445" r="12700" b="311150"/>
                <wp:wrapNone/>
                <wp:docPr id="77" name="矩形标注 77"/>
                <wp:cNvGraphicFramePr/>
                <a:graphic xmlns:a="http://schemas.openxmlformats.org/drawingml/2006/main">
                  <a:graphicData uri="http://schemas.microsoft.com/office/word/2010/wordprocessingShape">
                    <wps:wsp>
                      <wps:cNvSpPr/>
                      <wps:spPr>
                        <a:xfrm>
                          <a:off x="5019675" y="3221355"/>
                          <a:ext cx="730250" cy="294005"/>
                        </a:xfrm>
                        <a:prstGeom prst="wedgeRectCallout">
                          <a:avLst>
                            <a:gd name="adj1" fmla="val -109391"/>
                            <a:gd name="adj2" fmla="val 151727"/>
                          </a:avLst>
                        </a:prstGeom>
                        <a:no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EF66948">
                            <w:pPr>
                              <w:jc w:val="center"/>
                              <w:rPr>
                                <w:rFonts w:hint="eastAsia" w:eastAsiaTheme="minorEastAsia"/>
                                <w:color w:val="FF0000"/>
                                <w:lang w:val="en-US" w:eastAsia="zh-CN"/>
                              </w:rPr>
                            </w:pPr>
                            <w:r>
                              <w:rPr>
                                <w:rFonts w:hint="eastAsia"/>
                                <w:color w:val="FF0000"/>
                                <w:lang w:val="en-US"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7.35pt;margin-top:149.95pt;height:23.15pt;width:57.5pt;z-index:251679744;v-text-anchor:middle;mso-width-relative:page;mso-height-relative:page;" filled="f" stroked="t" coordsize="21600,21600" o:gfxdata="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LGg/0jZAAAACwEAAA8AAAAAAAAAAQAgAAAAIgAAAGRycy9kb3du&#10;cmV2LnhtbFBLAQIUABQAAAAIAIdO4kDvffcnqQIAADEFAAAOAAAAAAAAAAEAIAAAACgBAABkcnMv&#10;ZTJvRG9jLnhtbFBLBQYAAAAABgAGAFkBAABDBgAAAAA=&#10;" adj="-12828,43573">
                <v:fill on="f" focussize="0,0"/>
                <v:stroke weight="0.25pt" color="#000000 [3213]" joinstyle="round"/>
                <v:imagedata o:title=""/>
                <o:lock v:ext="edit" aspectratio="f"/>
                <v:textbox>
                  <w:txbxContent>
                    <w:p w14:paraId="3EF66948">
                      <w:pPr>
                        <w:jc w:val="center"/>
                        <w:rPr>
                          <w:rFonts w:hint="eastAsia" w:eastAsiaTheme="minorEastAsia"/>
                          <w:color w:val="FF0000"/>
                          <w:lang w:val="en-US" w:eastAsia="zh-CN"/>
                        </w:rPr>
                      </w:pPr>
                      <w:r>
                        <w:rPr>
                          <w:rFonts w:hint="eastAsia"/>
                          <w:color w:val="FF0000"/>
                          <w:lang w:val="en-US" w:eastAsia="zh-CN"/>
                        </w:rPr>
                        <w:t>项目地</w:t>
                      </w:r>
                    </w:p>
                  </w:txbxContent>
                </v:textbox>
              </v:shape>
            </w:pict>
          </mc:Fallback>
        </mc:AlternateContent>
      </w:r>
      <w:r>
        <w:rPr>
          <w:sz w:val="21"/>
        </w:rPr>
        <mc:AlternateContent>
          <mc:Choice Requires="wps">
            <w:drawing>
              <wp:anchor distT="0" distB="0" distL="114300" distR="114300" simplePos="0" relativeHeight="251678720" behindDoc="0" locked="0" layoutInCell="1" allowOverlap="1">
                <wp:simplePos x="0" y="0"/>
                <wp:positionH relativeFrom="column">
                  <wp:posOffset>3883025</wp:posOffset>
                </wp:positionH>
                <wp:positionV relativeFrom="paragraph">
                  <wp:posOffset>2455545</wp:posOffset>
                </wp:positionV>
                <wp:extent cx="151130" cy="76200"/>
                <wp:effectExtent l="10795" t="15875" r="9525" b="22225"/>
                <wp:wrapNone/>
                <wp:docPr id="78" name="任意多边形 78"/>
                <wp:cNvGraphicFramePr/>
                <a:graphic xmlns:a="http://schemas.openxmlformats.org/drawingml/2006/main">
                  <a:graphicData uri="http://schemas.microsoft.com/office/word/2010/wordprocessingShape">
                    <wps:wsp>
                      <wps:cNvSpPr/>
                      <wps:spPr>
                        <a:xfrm rot="21300000">
                          <a:off x="0" y="0"/>
                          <a:ext cx="151130" cy="76200"/>
                        </a:xfrm>
                        <a:custGeom>
                          <a:avLst/>
                          <a:gdLst>
                            <a:gd name="connisteX0" fmla="*/ 279400 w 1285875"/>
                            <a:gd name="connsiteY0" fmla="*/ 128905 h 455930"/>
                            <a:gd name="connisteX1" fmla="*/ 47625 w 1285875"/>
                            <a:gd name="connsiteY1" fmla="*/ 251460 h 455930"/>
                            <a:gd name="connisteX2" fmla="*/ 0 w 1285875"/>
                            <a:gd name="connsiteY2" fmla="*/ 319405 h 455930"/>
                            <a:gd name="connisteX3" fmla="*/ 1163955 w 1285875"/>
                            <a:gd name="connsiteY3" fmla="*/ 455930 h 455930"/>
                            <a:gd name="connisteX4" fmla="*/ 1285875 w 1285875"/>
                            <a:gd name="connsiteY4" fmla="*/ 20320 h 455930"/>
                            <a:gd name="connisteX5" fmla="*/ 979805 w 1285875"/>
                            <a:gd name="connsiteY5" fmla="*/ 0 h 455930"/>
                            <a:gd name="connisteX6" fmla="*/ 986790 w 1285875"/>
                            <a:gd name="connsiteY6" fmla="*/ 115570 h 455930"/>
                            <a:gd name="connisteX7" fmla="*/ 836930 w 1285875"/>
                            <a:gd name="connsiteY7" fmla="*/ 102235 h 455930"/>
                            <a:gd name="connisteX8" fmla="*/ 836930 w 1285875"/>
                            <a:gd name="connsiteY8" fmla="*/ 13335 h 455930"/>
                            <a:gd name="connisteX9" fmla="*/ 387985 w 1285875"/>
                            <a:gd name="connsiteY9" fmla="*/ 47625 h 455930"/>
                            <a:gd name="connisteX10" fmla="*/ 279400 w 1285875"/>
                            <a:gd name="connsiteY10" fmla="*/ 128905 h 45593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1285875" h="455930">
                              <a:moveTo>
                                <a:pt x="279400" y="128905"/>
                              </a:moveTo>
                              <a:lnTo>
                                <a:pt x="47625" y="251460"/>
                              </a:lnTo>
                              <a:lnTo>
                                <a:pt x="0" y="319405"/>
                              </a:lnTo>
                              <a:lnTo>
                                <a:pt x="1163955" y="455930"/>
                              </a:lnTo>
                              <a:lnTo>
                                <a:pt x="1285875" y="20320"/>
                              </a:lnTo>
                              <a:lnTo>
                                <a:pt x="979805" y="0"/>
                              </a:lnTo>
                              <a:lnTo>
                                <a:pt x="986790" y="115570"/>
                              </a:lnTo>
                              <a:lnTo>
                                <a:pt x="836930" y="102235"/>
                              </a:lnTo>
                              <a:lnTo>
                                <a:pt x="836930" y="13335"/>
                              </a:lnTo>
                              <a:lnTo>
                                <a:pt x="387985" y="47625"/>
                              </a:lnTo>
                              <a:lnTo>
                                <a:pt x="279400" y="128905"/>
                              </a:lnTo>
                              <a:close/>
                            </a:path>
                          </a:pathLst>
                        </a:cu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05.75pt;margin-top:193.35pt;height:6pt;width:11.9pt;rotation:-327680f;z-index:251678720;mso-width-relative:page;mso-height-relative:page;" filled="f" stroked="t" coordsize="1285875,455930" o:gfxdata="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" path="m279400,128905l47625,251460,0,319405,1163955,455930,1285875,20320,979805,0,986790,115570,836930,102235,836930,13335,387985,47625,279400,128905xe">
                <v:path o:connectlocs="32838,21544;5597,42026;0,53382;136800,76200;151130,3396;115157,0;115978,19315;98365,17086;98365,2228;45600,7959;32838,21544" o:connectangles="0,0,0,0,0,0,0,0,0,0,0"/>
                <v:fill on="f" focussize="0,0"/>
                <v:stroke weight="2pt" color="#000000 [3213]" joinstyle="round"/>
                <v:imagedata o:title=""/>
                <o:lock v:ext="edit" aspectratio="f"/>
              </v:shape>
            </w:pict>
          </mc:Fallback>
        </mc:AlternateContent>
      </w:r>
      <w:r>
        <w:rPr>
          <w:rFonts w:hint="eastAsia" w:eastAsiaTheme="minorEastAsia"/>
          <w:lang w:eastAsia="zh-CN"/>
        </w:rPr>
        <w:drawing>
          <wp:inline distT="0" distB="0" distL="114300" distR="114300">
            <wp:extent cx="6591300" cy="4797425"/>
            <wp:effectExtent l="0" t="0" r="0" b="3175"/>
            <wp:docPr id="79" name="图片 79" descr="双杨镇总体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双杨镇总体规划图"/>
                    <pic:cNvPicPr>
                      <a:picLocks noChangeAspect="1"/>
                    </pic:cNvPicPr>
                  </pic:nvPicPr>
                  <pic:blipFill>
                    <a:blip r:embed="rId49"/>
                    <a:srcRect l="7892" t="5169" r="4735" b="4819"/>
                    <a:stretch>
                      <a:fillRect/>
                    </a:stretch>
                  </pic:blipFill>
                  <pic:spPr>
                    <a:xfrm>
                      <a:off x="0" y="0"/>
                      <a:ext cx="6591300" cy="4797425"/>
                    </a:xfrm>
                    <a:prstGeom prst="rect">
                      <a:avLst/>
                    </a:prstGeom>
                  </pic:spPr>
                </pic:pic>
              </a:graphicData>
            </a:graphic>
          </wp:inline>
        </w:drawing>
      </w:r>
    </w:p>
    <w:p w14:paraId="7505BAB0">
      <w:pPr>
        <w:jc w:val="center"/>
        <w:rPr>
          <w:rFonts w:hint="eastAsia" w:eastAsiaTheme="minorEastAsia"/>
          <w:b/>
          <w:bCs/>
          <w:lang w:eastAsia="zh-CN"/>
        </w:rPr>
      </w:pPr>
      <w:r>
        <w:rPr>
          <w:rFonts w:hint="eastAsia" w:ascii="Times New Roman" w:hAnsi="Times New Roman" w:cs="Times New Roman"/>
          <w:b/>
          <w:bCs/>
          <w:color w:val="auto"/>
          <w:highlight w:val="none"/>
          <w:lang w:val="en-US" w:eastAsia="zh-CN"/>
        </w:rPr>
        <w:t xml:space="preserve">图1-3 </w:t>
      </w:r>
      <w:r>
        <w:rPr>
          <w:rFonts w:hint="eastAsia" w:ascii="Times New Roman" w:hAnsi="Times New Roman" w:cs="Times New Roman"/>
          <w:b/>
          <w:bCs/>
          <w:color w:val="auto"/>
          <w:highlight w:val="none"/>
          <w:lang w:eastAsia="zh-CN"/>
        </w:rPr>
        <w:t>《淄博市淄川区双杨镇总体规划（2017-2035年）》</w:t>
      </w:r>
      <w:r>
        <w:rPr>
          <w:rFonts w:hint="eastAsia" w:ascii="Times New Roman" w:hAnsi="Times New Roman" w:cs="Times New Roman"/>
          <w:b/>
          <w:bCs/>
          <w:color w:val="auto"/>
          <w:highlight w:val="none"/>
          <w:lang w:val="en-US" w:eastAsia="zh-CN"/>
        </w:rPr>
        <w:t>-镇域土地利用规划图</w:t>
      </w:r>
    </w:p>
    <w:p w14:paraId="46DE3378">
      <w:pPr>
        <w:pStyle w:val="200"/>
        <w:spacing w:before="192" w:beforeLines="80" w:after="24" w:line="420" w:lineRule="exact"/>
        <w:jc w:val="left"/>
        <w:rPr>
          <w:rFonts w:hint="eastAsia" w:ascii="Times New Roman" w:cs="Times New Roman"/>
          <w:snapToGrid w:val="0"/>
          <w:color w:val="auto"/>
          <w:spacing w:val="-6"/>
          <w:kern w:val="21"/>
          <w:szCs w:val="21"/>
          <w:lang w:eastAsia="zh-CN"/>
        </w:rPr>
      </w:pPr>
    </w:p>
    <w:p w14:paraId="63198741">
      <w:pPr>
        <w:jc w:val="center"/>
      </w:pPr>
      <w:r>
        <mc:AlternateContent>
          <mc:Choice Requires="wps">
            <w:drawing>
              <wp:anchor distT="0" distB="0" distL="114300" distR="114300" simplePos="0" relativeHeight="251703296" behindDoc="0" locked="0" layoutInCell="1" allowOverlap="1">
                <wp:simplePos x="0" y="0"/>
                <wp:positionH relativeFrom="column">
                  <wp:posOffset>2901950</wp:posOffset>
                </wp:positionH>
                <wp:positionV relativeFrom="paragraph">
                  <wp:posOffset>480060</wp:posOffset>
                </wp:positionV>
                <wp:extent cx="1741805" cy="462280"/>
                <wp:effectExtent l="5080" t="4445" r="996315" b="504825"/>
                <wp:wrapNone/>
                <wp:docPr id="101" name="矩形标注 101"/>
                <wp:cNvGraphicFramePr/>
                <a:graphic xmlns:a="http://schemas.openxmlformats.org/drawingml/2006/main">
                  <a:graphicData uri="http://schemas.microsoft.com/office/word/2010/wordprocessingShape">
                    <wps:wsp>
                      <wps:cNvSpPr>
                        <a:spLocks noChangeArrowheads="1"/>
                      </wps:cNvSpPr>
                      <wps:spPr bwMode="auto">
                        <a:xfrm>
                          <a:off x="0" y="0"/>
                          <a:ext cx="1741805" cy="462280"/>
                        </a:xfrm>
                        <a:prstGeom prst="wedgeRectCallout">
                          <a:avLst>
                            <a:gd name="adj1" fmla="val 104794"/>
                            <a:gd name="adj2" fmla="val 155769"/>
                          </a:avLst>
                        </a:prstGeom>
                        <a:solidFill>
                          <a:srgbClr val="FFFFFF"/>
                        </a:solidFill>
                        <a:ln w="9525">
                          <a:solidFill>
                            <a:srgbClr val="000000"/>
                          </a:solidFill>
                          <a:miter lim="800000"/>
                        </a:ln>
                      </wps:spPr>
                      <wps:txbx>
                        <w:txbxContent>
                          <w:p w14:paraId="01F79932">
                            <w:pPr>
                              <w:rPr>
                                <w:rFonts w:hint="default" w:ascii="Times New Roman" w:hAnsi="Times New Roman" w:cs="Times New Roman"/>
                                <w:sz w:val="24"/>
                                <w:szCs w:val="24"/>
                              </w:rPr>
                            </w:pPr>
                            <w:r>
                              <w:rPr>
                                <w:rFonts w:hint="eastAsia"/>
                                <w:sz w:val="28"/>
                                <w:szCs w:val="28"/>
                              </w:rPr>
                              <w:t>项目所在地</w:t>
                            </w:r>
                          </w:p>
                        </w:txbxContent>
                      </wps:txbx>
                      <wps:bodyPr rot="0" vert="horz" wrap="square" lIns="91440" tIns="0" rIns="91440" bIns="0" anchor="t" anchorCtr="0" upright="1">
                        <a:noAutofit/>
                      </wps:bodyPr>
                    </wps:wsp>
                  </a:graphicData>
                </a:graphic>
              </wp:anchor>
            </w:drawing>
          </mc:Choice>
          <mc:Fallback>
            <w:pict>
              <v:shape id="_x0000_s1026" o:spid="_x0000_s1026" o:spt="61" type="#_x0000_t61" style="position:absolute;left:0pt;margin-left:228.5pt;margin-top:37.8pt;height:36.4pt;width:137.15pt;z-index:251703296;mso-width-relative:page;mso-height-relative:page;" fillcolor="#FFFFFF" filled="t" stroked="t" coordsize="21600,21600" o:gfxdata="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MEB/Y2gAAAAoBAAAPAAAAAAAAAAEAIAAAACIAAABkcnMvZG93bnJl&#10;di54bWxQSwECFAAUAAAACACHTuJAPO2xDm0CAADbBAAADgAAAAAAAAABACAAAAApAQAAZHJzL2Uy&#10;b0RvYy54bWxQSwUGAAAAAAYABgBZAQAACAYAAAAA&#10;" adj="33436,44446">
                <v:fill on="t" focussize="0,0"/>
                <v:stroke color="#000000" miterlimit="8" joinstyle="miter"/>
                <v:imagedata o:title=""/>
                <o:lock v:ext="edit" aspectratio="f"/>
                <v:textbox inset="2.54mm,0mm,2.54mm,0mm">
                  <w:txbxContent>
                    <w:p w14:paraId="01F79932">
                      <w:pPr>
                        <w:rPr>
                          <w:rFonts w:hint="default" w:ascii="Times New Roman" w:hAnsi="Times New Roman" w:cs="Times New Roman"/>
                          <w:sz w:val="24"/>
                          <w:szCs w:val="24"/>
                        </w:rPr>
                      </w:pPr>
                      <w:r>
                        <w:rPr>
                          <w:rFonts w:hint="eastAsia"/>
                          <w:sz w:val="28"/>
                          <w:szCs w:val="28"/>
                        </w:rPr>
                        <w:t>项目所在地</w:t>
                      </w:r>
                    </w:p>
                  </w:txbxContent>
                </v:textbox>
              </v:shape>
            </w:pict>
          </mc:Fallback>
        </mc:AlternateContent>
      </w:r>
      <w:r>
        <mc:AlternateContent>
          <mc:Choice Requires="wps">
            <w:drawing>
              <wp:anchor distT="0" distB="0" distL="114300" distR="114300" simplePos="0" relativeHeight="251704320" behindDoc="0" locked="0" layoutInCell="1" allowOverlap="1">
                <wp:simplePos x="0" y="0"/>
                <wp:positionH relativeFrom="column">
                  <wp:posOffset>5589270</wp:posOffset>
                </wp:positionH>
                <wp:positionV relativeFrom="paragraph">
                  <wp:posOffset>1391920</wp:posOffset>
                </wp:positionV>
                <wp:extent cx="189865" cy="175895"/>
                <wp:effectExtent l="4445" t="4445" r="15240" b="10160"/>
                <wp:wrapNone/>
                <wp:docPr id="102" name="任意多边形 102"/>
                <wp:cNvGraphicFramePr/>
                <a:graphic xmlns:a="http://schemas.openxmlformats.org/drawingml/2006/main">
                  <a:graphicData uri="http://schemas.microsoft.com/office/word/2010/wordprocessingShape">
                    <wps:wsp>
                      <wps:cNvSpPr/>
                      <wps:spPr bwMode="auto">
                        <a:xfrm>
                          <a:off x="0" y="0"/>
                          <a:ext cx="189865" cy="175895"/>
                        </a:xfrm>
                        <a:custGeom>
                          <a:avLst/>
                          <a:gdLst>
                            <a:gd name="T0" fmla="*/ 298 w 597"/>
                            <a:gd name="T1" fmla="*/ 0 h 554"/>
                            <a:gd name="T2" fmla="*/ 368 w 597"/>
                            <a:gd name="T3" fmla="*/ 212 h 554"/>
                            <a:gd name="T4" fmla="*/ 597 w 597"/>
                            <a:gd name="T5" fmla="*/ 211 h 554"/>
                            <a:gd name="T6" fmla="*/ 412 w 597"/>
                            <a:gd name="T7" fmla="*/ 341 h 554"/>
                            <a:gd name="T8" fmla="*/ 482 w 597"/>
                            <a:gd name="T9" fmla="*/ 554 h 554"/>
                            <a:gd name="T10" fmla="*/ 298 w 597"/>
                            <a:gd name="T11" fmla="*/ 423 h 554"/>
                            <a:gd name="T12" fmla="*/ 113 w 597"/>
                            <a:gd name="T13" fmla="*/ 554 h 554"/>
                            <a:gd name="T14" fmla="*/ 184 w 597"/>
                            <a:gd name="T15" fmla="*/ 341 h 554"/>
                            <a:gd name="T16" fmla="*/ 0 w 597"/>
                            <a:gd name="T17" fmla="*/ 211 h 554"/>
                            <a:gd name="T18" fmla="*/ 228 w 597"/>
                            <a:gd name="T19" fmla="*/ 212 h 554"/>
                            <a:gd name="T20" fmla="*/ 298 w 597"/>
                            <a:gd name="T21" fmla="*/ 0 h 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97" h="554">
                              <a:moveTo>
                                <a:pt x="298" y="0"/>
                              </a:moveTo>
                              <a:lnTo>
                                <a:pt x="368" y="212"/>
                              </a:lnTo>
                              <a:lnTo>
                                <a:pt x="597" y="211"/>
                              </a:lnTo>
                              <a:lnTo>
                                <a:pt x="412" y="341"/>
                              </a:lnTo>
                              <a:lnTo>
                                <a:pt x="482" y="554"/>
                              </a:lnTo>
                              <a:lnTo>
                                <a:pt x="298" y="423"/>
                              </a:lnTo>
                              <a:lnTo>
                                <a:pt x="113" y="554"/>
                              </a:lnTo>
                              <a:lnTo>
                                <a:pt x="184" y="341"/>
                              </a:lnTo>
                              <a:lnTo>
                                <a:pt x="0" y="211"/>
                              </a:lnTo>
                              <a:lnTo>
                                <a:pt x="228" y="212"/>
                              </a:lnTo>
                              <a:lnTo>
                                <a:pt x="298" y="0"/>
                              </a:lnTo>
                              <a:close/>
                            </a:path>
                          </a:pathLst>
                        </a:custGeom>
                        <a:solidFill>
                          <a:srgbClr val="FF0000"/>
                        </a:solidFill>
                        <a:ln w="1905">
                          <a:solidFill>
                            <a:srgbClr val="1F1A17"/>
                          </a:solidFill>
                          <a:prstDash val="solid"/>
                          <a:round/>
                        </a:ln>
                      </wps:spPr>
                      <wps:bodyPr rot="0" vert="horz" wrap="square" lIns="91440" tIns="45720" rIns="91440" bIns="45720" anchor="t" anchorCtr="0" upright="1">
                        <a:noAutofit/>
                      </wps:bodyPr>
                    </wps:wsp>
                  </a:graphicData>
                </a:graphic>
              </wp:anchor>
            </w:drawing>
          </mc:Choice>
          <mc:Fallback>
            <w:pict>
              <v:shape id="_x0000_s1026" o:spid="_x0000_s1026" o:spt="100" style="position:absolute;left:0pt;margin-left:440.1pt;margin-top:109.6pt;height:13.85pt;width:14.95pt;z-index:251704320;mso-width-relative:page;mso-height-relative:page;" fillcolor="#FF0000" filled="t" stroked="t" coordsize="597,554" o:gfxdata="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" path="m298,0l368,212,597,211,412,341,482,554,298,423,113,554,184,341,0,211,228,212,298,0xe">
                <v:path o:connectlocs="94773,0;117035,67310;189865,66992;131029,108267;153291,175895;94773,134302;35937,175895;58517,108267;0,66992;72511,67310;94773,0" o:connectangles="0,0,0,0,0,0,0,0,0,0,0"/>
                <v:fill on="t" focussize="0,0"/>
                <v:stroke weight="0.15pt" color="#1F1A17" joinstyle="round"/>
                <v:imagedata o:title=""/>
                <o:lock v:ext="edit" aspectratio="f"/>
              </v:shape>
            </w:pict>
          </mc:Fallback>
        </mc:AlternateContent>
      </w:r>
      <w:r>
        <mc:AlternateContent>
          <mc:Choice Requires="wps">
            <w:drawing>
              <wp:anchor distT="0" distB="0" distL="114300" distR="114300" simplePos="0" relativeHeight="251702272" behindDoc="0" locked="0" layoutInCell="1" allowOverlap="1">
                <wp:simplePos x="0" y="0"/>
                <wp:positionH relativeFrom="column">
                  <wp:posOffset>1428750</wp:posOffset>
                </wp:positionH>
                <wp:positionV relativeFrom="paragraph">
                  <wp:posOffset>5553710</wp:posOffset>
                </wp:positionV>
                <wp:extent cx="6172200" cy="396240"/>
                <wp:effectExtent l="0" t="0" r="0" b="0"/>
                <wp:wrapNone/>
                <wp:docPr id="103" name="矩形 103"/>
                <wp:cNvGraphicFramePr/>
                <a:graphic xmlns:a="http://schemas.openxmlformats.org/drawingml/2006/main">
                  <a:graphicData uri="http://schemas.microsoft.com/office/word/2010/wordprocessingShape">
                    <wps:wsp>
                      <wps:cNvSpPr>
                        <a:spLocks noChangeArrowheads="1"/>
                      </wps:cNvSpPr>
                      <wps:spPr bwMode="auto">
                        <a:xfrm>
                          <a:off x="0" y="0"/>
                          <a:ext cx="6172200" cy="396240"/>
                        </a:xfrm>
                        <a:prstGeom prst="rect">
                          <a:avLst/>
                        </a:prstGeom>
                        <a:solidFill>
                          <a:srgbClr val="FFFFFF">
                            <a:alpha val="0"/>
                          </a:srgbClr>
                        </a:solidFill>
                        <a:ln>
                          <a:noFill/>
                        </a:ln>
                      </wps:spPr>
                      <wps:txbx>
                        <w:txbxContent>
                          <w:p w14:paraId="7F5D241E">
                            <w:pPr>
                              <w:jc w:val="center"/>
                              <w:rPr>
                                <w:b/>
                                <w:sz w:val="30"/>
                                <w:szCs w:val="30"/>
                              </w:rPr>
                            </w:pPr>
                            <w:r>
                              <w:rPr>
                                <w:rFonts w:hint="eastAsia"/>
                                <w:b/>
                                <w:sz w:val="30"/>
                                <w:szCs w:val="30"/>
                              </w:rPr>
                              <w:t>附图</w:t>
                            </w:r>
                            <w:r>
                              <w:rPr>
                                <w:rFonts w:hint="eastAsia"/>
                                <w:b/>
                                <w:sz w:val="30"/>
                                <w:szCs w:val="30"/>
                                <w:lang w:val="en-US" w:eastAsia="zh-CN"/>
                              </w:rPr>
                              <w:t>2-</w:t>
                            </w:r>
                            <w:r>
                              <w:rPr>
                                <w:rFonts w:hint="eastAsia"/>
                                <w:b/>
                                <w:sz w:val="30"/>
                                <w:szCs w:val="30"/>
                              </w:rPr>
                              <w:t>1 项目地理位置图</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12.5pt;margin-top:437.3pt;height:31.2pt;width:486pt;z-index:251702272;mso-width-relative:page;mso-height-relative:page;" fillcolor="#FFFFFF" filled="t" stroked="f" coordsize="21600,21600" o:gfxdata="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NB31YNsAAAAMAQAADwAAAAAAAAABACAAAAAiAAAAZHJzL2Rvd25yZXYueG1s&#10;UEsBAhQAFAAAAAgAh07iQJP7BfUuAgAAUgQAAA4AAAAAAAAAAQAgAAAAKgEAAGRycy9lMm9Eb2Mu&#10;eG1sUEsFBgAAAAAGAAYAWQEAAMoFAAAAAA==&#10;">
                <v:fill on="t" opacity="0f" focussize="0,0"/>
                <v:stroke on="f"/>
                <v:imagedata o:title=""/>
                <o:lock v:ext="edit" aspectratio="f"/>
                <v:textbox>
                  <w:txbxContent>
                    <w:p w14:paraId="7F5D241E">
                      <w:pPr>
                        <w:jc w:val="center"/>
                        <w:rPr>
                          <w:b/>
                          <w:sz w:val="30"/>
                          <w:szCs w:val="30"/>
                        </w:rPr>
                      </w:pPr>
                      <w:r>
                        <w:rPr>
                          <w:rFonts w:hint="eastAsia"/>
                          <w:b/>
                          <w:sz w:val="30"/>
                          <w:szCs w:val="30"/>
                        </w:rPr>
                        <w:t>附图</w:t>
                      </w:r>
                      <w:r>
                        <w:rPr>
                          <w:rFonts w:hint="eastAsia"/>
                          <w:b/>
                          <w:sz w:val="30"/>
                          <w:szCs w:val="30"/>
                          <w:lang w:val="en-US" w:eastAsia="zh-CN"/>
                        </w:rPr>
                        <w:t>2-</w:t>
                      </w:r>
                      <w:r>
                        <w:rPr>
                          <w:rFonts w:hint="eastAsia"/>
                          <w:b/>
                          <w:sz w:val="30"/>
                          <w:szCs w:val="30"/>
                        </w:rPr>
                        <w:t>1 项目地理位置图</w:t>
                      </w:r>
                    </w:p>
                  </w:txbxContent>
                </v:textbox>
              </v:rect>
            </w:pict>
          </mc:Fallback>
        </mc:AlternateContent>
      </w:r>
      <w:r>
        <w:drawing>
          <wp:inline distT="0" distB="0" distL="0" distR="0">
            <wp:extent cx="8248650" cy="5543550"/>
            <wp:effectExtent l="19050" t="19050" r="19050" b="19050"/>
            <wp:docPr id="104" name="图片 104" descr="未标题-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未标题-2"/>
                    <pic:cNvPicPr>
                      <a:picLocks noChangeAspect="1" noChangeArrowheads="1"/>
                    </pic:cNvPicPr>
                  </pic:nvPicPr>
                  <pic:blipFill>
                    <a:blip r:embed="rId50">
                      <a:extLst>
                        <a:ext uri="{28A0092B-C50C-407E-A947-70E740481C1C}">
                          <a14:useLocalDpi xmlns:a14="http://schemas.microsoft.com/office/drawing/2010/main" val="0"/>
                        </a:ext>
                      </a:extLst>
                    </a:blip>
                    <a:srcRect l="5441" t="37445" r="6993" b="23450"/>
                    <a:stretch>
                      <a:fillRect/>
                    </a:stretch>
                  </pic:blipFill>
                  <pic:spPr>
                    <a:xfrm>
                      <a:off x="0" y="0"/>
                      <a:ext cx="8248650" cy="5543550"/>
                    </a:xfrm>
                    <a:prstGeom prst="rect">
                      <a:avLst/>
                    </a:prstGeom>
                    <a:noFill/>
                    <a:ln w="19050" cmpd="sng">
                      <a:solidFill>
                        <a:srgbClr val="000000"/>
                      </a:solidFill>
                      <a:miter lim="800000"/>
                      <a:headEnd/>
                      <a:tailEnd/>
                    </a:ln>
                    <a:effectLst/>
                  </pic:spPr>
                </pic:pic>
              </a:graphicData>
            </a:graphic>
          </wp:inline>
        </w:drawing>
      </w:r>
      <w:r>
        <w:drawing>
          <wp:anchor distT="0" distB="0" distL="114300" distR="114300" simplePos="0" relativeHeight="251706368" behindDoc="0" locked="0" layoutInCell="1" allowOverlap="1">
            <wp:simplePos x="0" y="0"/>
            <wp:positionH relativeFrom="column">
              <wp:posOffset>6972935</wp:posOffset>
            </wp:positionH>
            <wp:positionV relativeFrom="paragraph">
              <wp:posOffset>114300</wp:posOffset>
            </wp:positionV>
            <wp:extent cx="1543685" cy="1409700"/>
            <wp:effectExtent l="0" t="0" r="18415" b="0"/>
            <wp:wrapNone/>
            <wp:docPr id="105" name="图片 105" descr="6a3da35c0d5b5828421b6909acb88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6a3da35c0d5b5828421b6909acb887e"/>
                    <pic:cNvPicPr>
                      <a:picLocks noChangeAspect="1"/>
                    </pic:cNvPicPr>
                  </pic:nvPicPr>
                  <pic:blipFill>
                    <a:blip r:embed="rId45"/>
                    <a:stretch>
                      <a:fillRect/>
                    </a:stretch>
                  </pic:blipFill>
                  <pic:spPr>
                    <a:xfrm>
                      <a:off x="0" y="0"/>
                      <a:ext cx="1543685" cy="1409700"/>
                    </a:xfrm>
                    <a:prstGeom prst="rect">
                      <a:avLst/>
                    </a:prstGeom>
                    <a:noFill/>
                    <a:ln>
                      <a:noFill/>
                    </a:ln>
                  </pic:spPr>
                </pic:pic>
              </a:graphicData>
            </a:graphic>
          </wp:anchor>
        </w:drawing>
      </w:r>
      <w:r>
        <w:drawing>
          <wp:anchor distT="0" distB="0" distL="114300" distR="114300" simplePos="0" relativeHeight="251705344" behindDoc="0" locked="0" layoutInCell="1" allowOverlap="1">
            <wp:simplePos x="0" y="0"/>
            <wp:positionH relativeFrom="column">
              <wp:posOffset>133350</wp:posOffset>
            </wp:positionH>
            <wp:positionV relativeFrom="paragraph">
              <wp:posOffset>5346065</wp:posOffset>
            </wp:positionV>
            <wp:extent cx="2733675" cy="304800"/>
            <wp:effectExtent l="0" t="0" r="0" b="0"/>
            <wp:wrapNone/>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2733675" cy="304800"/>
                    </a:xfrm>
                    <a:prstGeom prst="rect">
                      <a:avLst/>
                    </a:prstGeom>
                    <a:noFill/>
                    <a:ln>
                      <a:noFill/>
                    </a:ln>
                  </pic:spPr>
                </pic:pic>
              </a:graphicData>
            </a:graphic>
          </wp:anchor>
        </w:drawing>
      </w:r>
    </w:p>
    <w:p w14:paraId="3B9840EC">
      <w:pPr>
        <w:pStyle w:val="80"/>
        <w:ind w:left="0" w:leftChars="0" w:firstLine="0" w:firstLineChars="0"/>
        <w:jc w:val="center"/>
      </w:pPr>
      <w:r>
        <w:rPr>
          <w:sz w:val="21"/>
        </w:rPr>
        <mc:AlternateContent>
          <mc:Choice Requires="wps">
            <w:drawing>
              <wp:anchor distT="0" distB="0" distL="114300" distR="114300" simplePos="0" relativeHeight="251701248" behindDoc="0" locked="0" layoutInCell="1" allowOverlap="1">
                <wp:simplePos x="0" y="0"/>
                <wp:positionH relativeFrom="column">
                  <wp:posOffset>3733800</wp:posOffset>
                </wp:positionH>
                <wp:positionV relativeFrom="paragraph">
                  <wp:posOffset>2082165</wp:posOffset>
                </wp:positionV>
                <wp:extent cx="1285875" cy="455930"/>
                <wp:effectExtent l="12700" t="12700" r="15875" b="26670"/>
                <wp:wrapNone/>
                <wp:docPr id="80" name="任意多边形 80"/>
                <wp:cNvGraphicFramePr/>
                <a:graphic xmlns:a="http://schemas.openxmlformats.org/drawingml/2006/main">
                  <a:graphicData uri="http://schemas.microsoft.com/office/word/2010/wordprocessingShape">
                    <wps:wsp>
                      <wps:cNvSpPr/>
                      <wps:spPr>
                        <a:xfrm>
                          <a:off x="4419600" y="2996565"/>
                          <a:ext cx="1285875" cy="455930"/>
                        </a:xfrm>
                        <a:custGeom>
                          <a:avLst/>
                          <a:gdLst>
                            <a:gd name="connisteX0" fmla="*/ 279400 w 1285875"/>
                            <a:gd name="connsiteY0" fmla="*/ 128905 h 455930"/>
                            <a:gd name="connisteX1" fmla="*/ 47625 w 1285875"/>
                            <a:gd name="connsiteY1" fmla="*/ 251460 h 455930"/>
                            <a:gd name="connisteX2" fmla="*/ 0 w 1285875"/>
                            <a:gd name="connsiteY2" fmla="*/ 319405 h 455930"/>
                            <a:gd name="connisteX3" fmla="*/ 1163955 w 1285875"/>
                            <a:gd name="connsiteY3" fmla="*/ 455930 h 455930"/>
                            <a:gd name="connisteX4" fmla="*/ 1285875 w 1285875"/>
                            <a:gd name="connsiteY4" fmla="*/ 20320 h 455930"/>
                            <a:gd name="connisteX5" fmla="*/ 979805 w 1285875"/>
                            <a:gd name="connsiteY5" fmla="*/ 0 h 455930"/>
                            <a:gd name="connisteX6" fmla="*/ 986790 w 1285875"/>
                            <a:gd name="connsiteY6" fmla="*/ 115570 h 455930"/>
                            <a:gd name="connisteX7" fmla="*/ 836930 w 1285875"/>
                            <a:gd name="connsiteY7" fmla="*/ 102235 h 455930"/>
                            <a:gd name="connisteX8" fmla="*/ 836930 w 1285875"/>
                            <a:gd name="connsiteY8" fmla="*/ 13335 h 455930"/>
                            <a:gd name="connisteX9" fmla="*/ 387985 w 1285875"/>
                            <a:gd name="connsiteY9" fmla="*/ 47625 h 455930"/>
                            <a:gd name="connisteX10" fmla="*/ 279400 w 1285875"/>
                            <a:gd name="connsiteY10" fmla="*/ 128905 h 45593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1285875" h="455930">
                              <a:moveTo>
                                <a:pt x="279400" y="128905"/>
                              </a:moveTo>
                              <a:lnTo>
                                <a:pt x="47625" y="251460"/>
                              </a:lnTo>
                              <a:lnTo>
                                <a:pt x="0" y="319405"/>
                              </a:lnTo>
                              <a:lnTo>
                                <a:pt x="1163955" y="455930"/>
                              </a:lnTo>
                              <a:lnTo>
                                <a:pt x="1285875" y="20320"/>
                              </a:lnTo>
                              <a:lnTo>
                                <a:pt x="979805" y="0"/>
                              </a:lnTo>
                              <a:lnTo>
                                <a:pt x="986790" y="115570"/>
                              </a:lnTo>
                              <a:lnTo>
                                <a:pt x="836930" y="102235"/>
                              </a:lnTo>
                              <a:lnTo>
                                <a:pt x="836930" y="13335"/>
                              </a:lnTo>
                              <a:lnTo>
                                <a:pt x="387985" y="47625"/>
                              </a:lnTo>
                              <a:lnTo>
                                <a:pt x="279400" y="128905"/>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94pt;margin-top:163.95pt;height:35.9pt;width:101.25pt;z-index:251701248;mso-width-relative:page;mso-height-relative:page;" filled="f" stroked="t" coordsize="1285875,455930" o:gfxdata="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" path="m279400,128905l47625,251460,0,319405,1163955,455930,1285875,20320,979805,0,986790,115570,836930,102235,836930,13335,387985,47625,279400,128905xe">
                <v:path o:connectlocs="279400,128905;47625,251460;0,319405;1163955,455930;1285875,20320;979805,0;986790,115570;836930,102235;836930,13335;387985,47625;279400,128905" o:connectangles="0,0,0,0,0,0,0,0,0,0,0"/>
                <v:fill on="f" focussize="0,0"/>
                <v:stroke weight="2pt" color="#FF0000 [2404]" joinstyle="round"/>
                <v:imagedata o:title=""/>
                <o:lock v:ext="edit" aspectratio="f"/>
              </v:shape>
            </w:pict>
          </mc:Fallback>
        </mc:AlternateContent>
      </w:r>
      <w:r>
        <mc:AlternateContent>
          <mc:Choice Requires="wps">
            <w:drawing>
              <wp:anchor distT="0" distB="0" distL="114300" distR="114300" simplePos="0" relativeHeight="251686912" behindDoc="0" locked="0" layoutInCell="1" allowOverlap="1">
                <wp:simplePos x="0" y="0"/>
                <wp:positionH relativeFrom="column">
                  <wp:posOffset>3992245</wp:posOffset>
                </wp:positionH>
                <wp:positionV relativeFrom="paragraph">
                  <wp:posOffset>319405</wp:posOffset>
                </wp:positionV>
                <wp:extent cx="1551940" cy="563245"/>
                <wp:effectExtent l="12700" t="12700" r="16510" b="948055"/>
                <wp:wrapNone/>
                <wp:docPr id="81" name="对话气泡: 矩形 15"/>
                <wp:cNvGraphicFramePr/>
                <a:graphic xmlns:a="http://schemas.openxmlformats.org/drawingml/2006/main">
                  <a:graphicData uri="http://schemas.microsoft.com/office/word/2010/wordprocessingShape">
                    <wps:wsp>
                      <wps:cNvSpPr/>
                      <wps:spPr>
                        <a:xfrm>
                          <a:off x="0" y="0"/>
                          <a:ext cx="1551940" cy="563245"/>
                        </a:xfrm>
                        <a:prstGeom prst="wedgeRectCallout">
                          <a:avLst>
                            <a:gd name="adj1" fmla="val -15981"/>
                            <a:gd name="adj2" fmla="val 213719"/>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9E2155">
                            <w:pPr>
                              <w:rPr>
                                <w:rFonts w:hint="default" w:eastAsiaTheme="minorEastAsia"/>
                                <w:b/>
                                <w:bCs/>
                                <w:lang w:val="en-US" w:eastAsia="zh-CN"/>
                              </w:rPr>
                            </w:pPr>
                            <w:r>
                              <w:rPr>
                                <w:rFonts w:hint="eastAsia"/>
                                <w:b/>
                                <w:bCs/>
                                <w:spacing w:val="10"/>
                                <w:highlight w:val="none"/>
                                <w:lang w:eastAsia="zh-CN"/>
                              </w:rPr>
                              <w:t>北：</w:t>
                            </w:r>
                            <w:r>
                              <w:rPr>
                                <w:rFonts w:hint="eastAsia"/>
                                <w:b/>
                                <w:bCs/>
                                <w:spacing w:val="10"/>
                                <w:highlight w:val="none"/>
                                <w:lang w:val="en-US" w:eastAsia="zh-CN"/>
                              </w:rPr>
                              <w:t>山东东瓷科技有限公司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5" o:spid="_x0000_s1026" o:spt="61" type="#_x0000_t61" style="position:absolute;left:0pt;margin-left:314.35pt;margin-top:25.15pt;height:44.35pt;width:122.2pt;z-index:251686912;v-text-anchor:middle;mso-width-relative:page;mso-height-relative:page;" filled="f" stroked="t" coordsize="21600,21600" o:gfxdata="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S04/2wAAAAoBAAAPAAAAAAAAAAEAIAAAACIAAABkcnMvZG93&#10;bnJldi54bWxQSwECFAAUAAAACACHTuJAzCdLaqgCAAAuBQAADgAAAAAAAAABACAAAAAqAQAAZHJz&#10;L2Uyb0RvYy54bWxQSwUGAAAAAAYABgBZAQAARAYAAAAA&#10;" adj="7348,56963">
                <v:fill on="f" focussize="0,0"/>
                <v:stroke weight="2pt" color="#FFFFFF [3212]" joinstyle="round"/>
                <v:imagedata o:title=""/>
                <o:lock v:ext="edit" aspectratio="f"/>
                <v:textbox>
                  <w:txbxContent>
                    <w:p w14:paraId="7C9E2155">
                      <w:pPr>
                        <w:rPr>
                          <w:rFonts w:hint="default" w:eastAsiaTheme="minorEastAsia"/>
                          <w:b/>
                          <w:bCs/>
                          <w:lang w:val="en-US" w:eastAsia="zh-CN"/>
                        </w:rPr>
                      </w:pPr>
                      <w:r>
                        <w:rPr>
                          <w:rFonts w:hint="eastAsia"/>
                          <w:b/>
                          <w:bCs/>
                          <w:spacing w:val="10"/>
                          <w:highlight w:val="none"/>
                          <w:lang w:eastAsia="zh-CN"/>
                        </w:rPr>
                        <w:t>北：</w:t>
                      </w:r>
                      <w:r>
                        <w:rPr>
                          <w:rFonts w:hint="eastAsia"/>
                          <w:b/>
                          <w:bCs/>
                          <w:spacing w:val="10"/>
                          <w:highlight w:val="none"/>
                          <w:lang w:val="en-US" w:eastAsia="zh-CN"/>
                        </w:rPr>
                        <w:t>山东东瓷科技有限公司</w:t>
                      </w:r>
                    </w:p>
                  </w:txbxContent>
                </v:textbox>
              </v:shape>
            </w:pict>
          </mc:Fallback>
        </mc:AlternateContent>
      </w:r>
      <w:r>
        <mc:AlternateContent>
          <mc:Choice Requires="wps">
            <w:drawing>
              <wp:anchor distT="0" distB="0" distL="114300" distR="114300" simplePos="0" relativeHeight="251700224" behindDoc="0" locked="0" layoutInCell="1" allowOverlap="1">
                <wp:simplePos x="0" y="0"/>
                <wp:positionH relativeFrom="column">
                  <wp:posOffset>2132330</wp:posOffset>
                </wp:positionH>
                <wp:positionV relativeFrom="paragraph">
                  <wp:posOffset>2962275</wp:posOffset>
                </wp:positionV>
                <wp:extent cx="615950" cy="372745"/>
                <wp:effectExtent l="0" t="0" r="0" b="0"/>
                <wp:wrapNone/>
                <wp:docPr id="82" name="对话气泡: 矩形 4"/>
                <wp:cNvGraphicFramePr/>
                <a:graphic xmlns:a="http://schemas.openxmlformats.org/drawingml/2006/main">
                  <a:graphicData uri="http://schemas.microsoft.com/office/word/2010/wordprocessingShape">
                    <wps:wsp>
                      <wps:cNvSpPr/>
                      <wps:spPr>
                        <a:xfrm>
                          <a:off x="0" y="0"/>
                          <a:ext cx="615950" cy="372745"/>
                        </a:xfrm>
                        <a:prstGeom prst="wedgeRectCallou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6CAEC6">
                            <w:pPr>
                              <w:jc w:val="center"/>
                              <w:rPr>
                                <w:rFonts w:hint="default" w:eastAsiaTheme="minorEastAsia"/>
                                <w:b w:val="0"/>
                                <w:bCs w:val="0"/>
                                <w:color w:val="FFFF00"/>
                                <w:lang w:val="en-US" w:eastAsia="zh-CN"/>
                              </w:rPr>
                            </w:pPr>
                            <w:r>
                              <w:rPr>
                                <w:rFonts w:hint="eastAsia"/>
                                <w:b w:val="0"/>
                                <w:bCs w:val="0"/>
                                <w:color w:val="FFFF00"/>
                                <w:lang w:val="en-US" w:eastAsia="zh-CN"/>
                              </w:rPr>
                              <w:t>496m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4" o:spid="_x0000_s1026" o:spt="61" type="#_x0000_t61" style="position:absolute;left:0pt;margin-left:167.9pt;margin-top:233.25pt;height:29.35pt;width:48.5pt;z-index:251700224;v-text-anchor:middle;mso-width-relative:page;mso-height-relative:page;" filled="f" stroked="f" coordsize="21600,21600" o:gfxdata="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Yqj4Y9kAAAALAQAADwAAAAAAAAABACAAAAAiAAAAZHJzL2Rv&#10;d25yZXYueG1sUEsBAhQAFAAAAAgAh07iQAMKQE9yAgAAsAQAAA4AAAAAAAAAAQAgAAAAKAEAAGRy&#10;cy9lMm9Eb2MueG1sUEsFBgAAAAAGAAYAWQEAAAwGAAAAAA==&#10;" adj="6300,24300">
                <v:fill on="f" focussize="0,0"/>
                <v:stroke on="f" weight="2pt"/>
                <v:imagedata o:title=""/>
                <o:lock v:ext="edit" aspectratio="f"/>
                <v:textbox>
                  <w:txbxContent>
                    <w:p w14:paraId="326CAEC6">
                      <w:pPr>
                        <w:jc w:val="center"/>
                        <w:rPr>
                          <w:rFonts w:hint="default" w:eastAsiaTheme="minorEastAsia"/>
                          <w:b w:val="0"/>
                          <w:bCs w:val="0"/>
                          <w:color w:val="FFFF00"/>
                          <w:lang w:val="en-US" w:eastAsia="zh-CN"/>
                        </w:rPr>
                      </w:pPr>
                      <w:r>
                        <w:rPr>
                          <w:rFonts w:hint="eastAsia"/>
                          <w:b w:val="0"/>
                          <w:bCs w:val="0"/>
                          <w:color w:val="FFFF00"/>
                          <w:lang w:val="en-US" w:eastAsia="zh-CN"/>
                        </w:rPr>
                        <w:t>496m</w:t>
                      </w:r>
                    </w:p>
                  </w:txbxContent>
                </v:textbox>
              </v:shape>
            </w:pict>
          </mc:Fallback>
        </mc:AlternateContent>
      </w:r>
      <w:r>
        <mc:AlternateContent>
          <mc:Choice Requires="wps">
            <w:drawing>
              <wp:anchor distT="0" distB="0" distL="114300" distR="114300" simplePos="0" relativeHeight="251699200" behindDoc="0" locked="0" layoutInCell="1" allowOverlap="1">
                <wp:simplePos x="0" y="0"/>
                <wp:positionH relativeFrom="column">
                  <wp:posOffset>2795905</wp:posOffset>
                </wp:positionH>
                <wp:positionV relativeFrom="paragraph">
                  <wp:posOffset>4182110</wp:posOffset>
                </wp:positionV>
                <wp:extent cx="894080" cy="482600"/>
                <wp:effectExtent l="0" t="0" r="0" b="0"/>
                <wp:wrapNone/>
                <wp:docPr id="83" name="对话气泡: 矩形 4"/>
                <wp:cNvGraphicFramePr/>
                <a:graphic xmlns:a="http://schemas.openxmlformats.org/drawingml/2006/main">
                  <a:graphicData uri="http://schemas.microsoft.com/office/word/2010/wordprocessingShape">
                    <wps:wsp>
                      <wps:cNvSpPr/>
                      <wps:spPr>
                        <a:xfrm>
                          <a:off x="0" y="0"/>
                          <a:ext cx="894080" cy="482600"/>
                        </a:xfrm>
                        <a:prstGeom prst="wedgeRectCallou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3564AC">
                            <w:pPr>
                              <w:jc w:val="center"/>
                              <w:rPr>
                                <w:rFonts w:hint="default" w:eastAsiaTheme="minorEastAsia"/>
                                <w:b/>
                                <w:bCs/>
                                <w:color w:val="FFFF00"/>
                                <w:lang w:val="en-US" w:eastAsia="zh-CN"/>
                              </w:rPr>
                            </w:pPr>
                            <w:r>
                              <w:rPr>
                                <w:rFonts w:hint="eastAsia"/>
                                <w:b/>
                                <w:bCs/>
                                <w:color w:val="FFFF00"/>
                                <w:lang w:val="en-US" w:eastAsia="zh-CN"/>
                              </w:rPr>
                              <w:t>杨兰村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4" o:spid="_x0000_s1026" o:spt="61" type="#_x0000_t61" style="position:absolute;left:0pt;margin-left:220.15pt;margin-top:329.3pt;height:38pt;width:70.4pt;z-index:251699200;v-text-anchor:middle;mso-width-relative:page;mso-height-relative:page;" filled="f" stroked="f" coordsize="21600,21600" o:gfxdata="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dZmL0NkAAAALAQAADwAAAAAAAAABACAAAAAiAAAAZHJzL2Rv&#10;d25yZXYueG1sUEsBAhQAFAAAAAgAh07iQGdBD7dyAgAAsAQAAA4AAAAAAAAAAQAgAAAAKAEAAGRy&#10;cy9lMm9Eb2MueG1sUEsFBgAAAAAGAAYAWQEAAAwGAAAAAA==&#10;" adj="6300,24300">
                <v:fill on="f" focussize="0,0"/>
                <v:stroke on="f" weight="2pt"/>
                <v:imagedata o:title=""/>
                <o:lock v:ext="edit" aspectratio="f"/>
                <v:textbox>
                  <w:txbxContent>
                    <w:p w14:paraId="2B3564AC">
                      <w:pPr>
                        <w:jc w:val="center"/>
                        <w:rPr>
                          <w:rFonts w:hint="default" w:eastAsiaTheme="minorEastAsia"/>
                          <w:b/>
                          <w:bCs/>
                          <w:color w:val="FFFF00"/>
                          <w:lang w:val="en-US" w:eastAsia="zh-CN"/>
                        </w:rPr>
                      </w:pPr>
                      <w:r>
                        <w:rPr>
                          <w:rFonts w:hint="eastAsia"/>
                          <w:b/>
                          <w:bCs/>
                          <w:color w:val="FFFF00"/>
                          <w:lang w:val="en-US" w:eastAsia="zh-CN"/>
                        </w:rPr>
                        <w:t>杨兰村</w:t>
                      </w:r>
                    </w:p>
                  </w:txbxContent>
                </v:textbox>
              </v:shape>
            </w:pict>
          </mc:Fallback>
        </mc:AlternateContent>
      </w:r>
      <w:r>
        <mc:AlternateContent>
          <mc:Choice Requires="wps">
            <w:drawing>
              <wp:anchor distT="0" distB="0" distL="114300" distR="114300" simplePos="0" relativeHeight="251694080" behindDoc="0" locked="0" layoutInCell="1" allowOverlap="1">
                <wp:simplePos x="0" y="0"/>
                <wp:positionH relativeFrom="column">
                  <wp:posOffset>6148705</wp:posOffset>
                </wp:positionH>
                <wp:positionV relativeFrom="paragraph">
                  <wp:posOffset>4058285</wp:posOffset>
                </wp:positionV>
                <wp:extent cx="894080" cy="482600"/>
                <wp:effectExtent l="0" t="0" r="0" b="0"/>
                <wp:wrapNone/>
                <wp:docPr id="84" name="对话气泡: 矩形 4"/>
                <wp:cNvGraphicFramePr/>
                <a:graphic xmlns:a="http://schemas.openxmlformats.org/drawingml/2006/main">
                  <a:graphicData uri="http://schemas.microsoft.com/office/word/2010/wordprocessingShape">
                    <wps:wsp>
                      <wps:cNvSpPr/>
                      <wps:spPr>
                        <a:xfrm>
                          <a:off x="0" y="0"/>
                          <a:ext cx="894080" cy="482600"/>
                        </a:xfrm>
                        <a:prstGeom prst="wedgeRectCallou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05076F">
                            <w:pPr>
                              <w:jc w:val="center"/>
                              <w:rPr>
                                <w:rFonts w:hint="default" w:eastAsiaTheme="minorEastAsia"/>
                                <w:b/>
                                <w:bCs/>
                                <w:color w:val="FFFF00"/>
                                <w:lang w:val="en-US" w:eastAsia="zh-CN"/>
                              </w:rPr>
                            </w:pPr>
                            <w:r>
                              <w:rPr>
                                <w:rFonts w:hint="eastAsia"/>
                                <w:b/>
                                <w:bCs/>
                                <w:color w:val="FFFF00"/>
                                <w:lang w:val="en-US" w:eastAsia="zh-CN"/>
                              </w:rPr>
                              <w:t>凤凰村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4" o:spid="_x0000_s1026" o:spt="61" type="#_x0000_t61" style="position:absolute;left:0pt;margin-left:484.15pt;margin-top:319.55pt;height:38pt;width:70.4pt;z-index:251694080;v-text-anchor:middle;mso-width-relative:page;mso-height-relative:page;" filled="f" stroked="f" coordsize="21600,21600" o:gfxdata="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jENPk2AAAAAwBAAAPAAAAAAAAAAEAIAAAACIAAABkcnMvZG93&#10;bnJldi54bWxQSwECFAAUAAAACACHTuJAkTCKlXICAACwBAAADgAAAAAAAAABACAAAAAnAQAAZHJz&#10;L2Uyb0RvYy54bWxQSwUGAAAAAAYABgBZAQAACwYAAAAA&#10;" adj="6300,24300">
                <v:fill on="f" focussize="0,0"/>
                <v:stroke on="f" weight="2pt"/>
                <v:imagedata o:title=""/>
                <o:lock v:ext="edit" aspectratio="f"/>
                <v:textbox>
                  <w:txbxContent>
                    <w:p w14:paraId="4905076F">
                      <w:pPr>
                        <w:jc w:val="center"/>
                        <w:rPr>
                          <w:rFonts w:hint="default" w:eastAsiaTheme="minorEastAsia"/>
                          <w:b/>
                          <w:bCs/>
                          <w:color w:val="FFFF00"/>
                          <w:lang w:val="en-US" w:eastAsia="zh-CN"/>
                        </w:rPr>
                      </w:pPr>
                      <w:r>
                        <w:rPr>
                          <w:rFonts w:hint="eastAsia"/>
                          <w:b/>
                          <w:bCs/>
                          <w:color w:val="FFFF00"/>
                          <w:lang w:val="en-US" w:eastAsia="zh-CN"/>
                        </w:rPr>
                        <w:t>凤凰村</w:t>
                      </w:r>
                    </w:p>
                  </w:txbxContent>
                </v:textbox>
              </v:shape>
            </w:pict>
          </mc:Fallback>
        </mc:AlternateContent>
      </w:r>
      <w:r>
        <mc:AlternateContent>
          <mc:Choice Requires="wps">
            <w:drawing>
              <wp:anchor distT="0" distB="0" distL="114300" distR="114300" simplePos="0" relativeHeight="251697152" behindDoc="0" locked="0" layoutInCell="1" allowOverlap="1">
                <wp:simplePos x="0" y="0"/>
                <wp:positionH relativeFrom="column">
                  <wp:posOffset>2970530</wp:posOffset>
                </wp:positionH>
                <wp:positionV relativeFrom="paragraph">
                  <wp:posOffset>3333750</wp:posOffset>
                </wp:positionV>
                <wp:extent cx="615950" cy="372745"/>
                <wp:effectExtent l="0" t="0" r="0" b="0"/>
                <wp:wrapNone/>
                <wp:docPr id="85" name="对话气泡: 矩形 4"/>
                <wp:cNvGraphicFramePr/>
                <a:graphic xmlns:a="http://schemas.openxmlformats.org/drawingml/2006/main">
                  <a:graphicData uri="http://schemas.microsoft.com/office/word/2010/wordprocessingShape">
                    <wps:wsp>
                      <wps:cNvSpPr/>
                      <wps:spPr>
                        <a:xfrm>
                          <a:off x="0" y="0"/>
                          <a:ext cx="615950" cy="372745"/>
                        </a:xfrm>
                        <a:prstGeom prst="wedgeRectCallou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CDA8E7">
                            <w:pPr>
                              <w:jc w:val="center"/>
                              <w:rPr>
                                <w:rFonts w:hint="default" w:eastAsiaTheme="minorEastAsia"/>
                                <w:b w:val="0"/>
                                <w:bCs w:val="0"/>
                                <w:color w:val="FFFF00"/>
                                <w:lang w:val="en-US" w:eastAsia="zh-CN"/>
                              </w:rPr>
                            </w:pPr>
                            <w:r>
                              <w:rPr>
                                <w:rFonts w:hint="eastAsia"/>
                                <w:b w:val="0"/>
                                <w:bCs w:val="0"/>
                                <w:color w:val="FFFF00"/>
                                <w:lang w:val="en-US" w:eastAsia="zh-CN"/>
                              </w:rPr>
                              <w:t>537m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4" o:spid="_x0000_s1026" o:spt="61" type="#_x0000_t61" style="position:absolute;left:0pt;margin-left:233.9pt;margin-top:262.5pt;height:29.35pt;width:48.5pt;z-index:251697152;v-text-anchor:middle;mso-width-relative:page;mso-height-relative:page;" filled="f" stroked="f" coordsize="21600,21600" o:gfxdata="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npS2pNkAAAALAQAADwAAAAAAAAABACAAAAAiAAAAZHJzL2Rv&#10;d25yZXYueG1sUEsBAhQAFAAAAAgAh07iQPV7xW1yAgAAsAQAAA4AAAAAAAAAAQAgAAAAKAEAAGRy&#10;cy9lMm9Eb2MueG1sUEsFBgAAAAAGAAYAWQEAAAwGAAAAAA==&#10;" adj="6300,24300">
                <v:fill on="f" focussize="0,0"/>
                <v:stroke on="f" weight="2pt"/>
                <v:imagedata o:title=""/>
                <o:lock v:ext="edit" aspectratio="f"/>
                <v:textbox>
                  <w:txbxContent>
                    <w:p w14:paraId="4ACDA8E7">
                      <w:pPr>
                        <w:jc w:val="center"/>
                        <w:rPr>
                          <w:rFonts w:hint="default" w:eastAsiaTheme="minorEastAsia"/>
                          <w:b w:val="0"/>
                          <w:bCs w:val="0"/>
                          <w:color w:val="FFFF00"/>
                          <w:lang w:val="en-US" w:eastAsia="zh-CN"/>
                        </w:rPr>
                      </w:pPr>
                      <w:r>
                        <w:rPr>
                          <w:rFonts w:hint="eastAsia"/>
                          <w:b w:val="0"/>
                          <w:bCs w:val="0"/>
                          <w:color w:val="FFFF00"/>
                          <w:lang w:val="en-US" w:eastAsia="zh-CN"/>
                        </w:rPr>
                        <w:t>537m</w:t>
                      </w:r>
                    </w:p>
                  </w:txbxContent>
                </v:textbox>
              </v:shap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5615940</wp:posOffset>
                </wp:positionH>
                <wp:positionV relativeFrom="paragraph">
                  <wp:posOffset>2961005</wp:posOffset>
                </wp:positionV>
                <wp:extent cx="615950" cy="372745"/>
                <wp:effectExtent l="0" t="0" r="0" b="0"/>
                <wp:wrapNone/>
                <wp:docPr id="86" name="对话气泡: 矩形 4"/>
                <wp:cNvGraphicFramePr/>
                <a:graphic xmlns:a="http://schemas.openxmlformats.org/drawingml/2006/main">
                  <a:graphicData uri="http://schemas.microsoft.com/office/word/2010/wordprocessingShape">
                    <wps:wsp>
                      <wps:cNvSpPr/>
                      <wps:spPr>
                        <a:xfrm>
                          <a:off x="0" y="0"/>
                          <a:ext cx="615950" cy="372745"/>
                        </a:xfrm>
                        <a:prstGeom prst="wedgeRectCallou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95CC3D">
                            <w:pPr>
                              <w:jc w:val="center"/>
                              <w:rPr>
                                <w:rFonts w:hint="default" w:eastAsiaTheme="minorEastAsia"/>
                                <w:b w:val="0"/>
                                <w:bCs w:val="0"/>
                                <w:color w:val="FFFF00"/>
                                <w:lang w:val="en-US" w:eastAsia="zh-CN"/>
                              </w:rPr>
                            </w:pPr>
                            <w:r>
                              <w:rPr>
                                <w:rFonts w:hint="eastAsia"/>
                                <w:b w:val="0"/>
                                <w:bCs w:val="0"/>
                                <w:color w:val="FFFF00"/>
                                <w:lang w:val="en-US" w:eastAsia="zh-CN"/>
                              </w:rPr>
                              <w:t>540m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4" o:spid="_x0000_s1026" o:spt="61" type="#_x0000_t61" style="position:absolute;left:0pt;margin-left:442.2pt;margin-top:233.15pt;height:29.35pt;width:48.5pt;z-index:251696128;v-text-anchor:middle;mso-width-relative:page;mso-height-relative:page;" filled="f" stroked="f" coordsize="21600,21600" o:gfxdata="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em28rdkAAAALAQAADwAAAAAAAAABACAAAAAiAAAAZHJzL2Rv&#10;d25yZXYueG1sUEsBAhQAFAAAAAgAh07iQAYlGrVyAgAAsAQAAA4AAAAAAAAAAQAgAAAAKAEAAGRy&#10;cy9lMm9Eb2MueG1sUEsFBgAAAAAGAAYAWQEAAAwGAAAAAA==&#10;" adj="6300,24300">
                <v:fill on="f" focussize="0,0"/>
                <v:stroke on="f" weight="2pt"/>
                <v:imagedata o:title=""/>
                <o:lock v:ext="edit" aspectratio="f"/>
                <v:textbox>
                  <w:txbxContent>
                    <w:p w14:paraId="6595CC3D">
                      <w:pPr>
                        <w:jc w:val="center"/>
                        <w:rPr>
                          <w:rFonts w:hint="default" w:eastAsiaTheme="minorEastAsia"/>
                          <w:b w:val="0"/>
                          <w:bCs w:val="0"/>
                          <w:color w:val="FFFF00"/>
                          <w:lang w:val="en-US" w:eastAsia="zh-CN"/>
                        </w:rPr>
                      </w:pPr>
                      <w:r>
                        <w:rPr>
                          <w:rFonts w:hint="eastAsia"/>
                          <w:b w:val="0"/>
                          <w:bCs w:val="0"/>
                          <w:color w:val="FFFF00"/>
                          <w:lang w:val="en-US" w:eastAsia="zh-CN"/>
                        </w:rPr>
                        <w:t>540m</w:t>
                      </w:r>
                    </w:p>
                  </w:txbxContent>
                </v:textbox>
              </v:shape>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3350895</wp:posOffset>
                </wp:positionH>
                <wp:positionV relativeFrom="paragraph">
                  <wp:posOffset>2449830</wp:posOffset>
                </wp:positionV>
                <wp:extent cx="600075" cy="1719580"/>
                <wp:effectExtent l="10795" t="1270" r="17780" b="12700"/>
                <wp:wrapNone/>
                <wp:docPr id="87" name="直接箭头连接符 87"/>
                <wp:cNvGraphicFramePr/>
                <a:graphic xmlns:a="http://schemas.openxmlformats.org/drawingml/2006/main">
                  <a:graphicData uri="http://schemas.microsoft.com/office/word/2010/wordprocessingShape">
                    <wps:wsp>
                      <wps:cNvCnPr/>
                      <wps:spPr>
                        <a:xfrm flipH="1">
                          <a:off x="0" y="0"/>
                          <a:ext cx="600075" cy="1719580"/>
                        </a:xfrm>
                        <a:prstGeom prst="straightConnector1">
                          <a:avLst/>
                        </a:prstGeom>
                        <a:ln w="952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63.85pt;margin-top:192.9pt;height:135.4pt;width:47.25pt;z-index:251693056;mso-width-relative:page;mso-height-relative:page;" filled="f" stroked="t" coordsize="21600,21600" o:gfxdata="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UfOZv2AAAAAsBAAAPAAAAAAAAAAEAIAAAACIA&#10;AABkcnMvZG93bnJldi54bWxQSwECFAAUAAAACACHTuJA3YKu5QkCAADbAwAADgAAAAAAAAABACAA&#10;AAAnAQAAZHJzL2Uyb0RvYy54bWxQSwUGAAAAAAYABgBZAQAAogUAAAAA&#10;">
                <v:fill on="f" focussize="0,0"/>
                <v:stroke color="#FFFF00 [3204]" joinstyle="round" endarrow="block"/>
                <v:imagedata o:title=""/>
                <o:lock v:ext="edit" aspectratio="f"/>
              </v:shape>
            </w:pict>
          </mc:Fallback>
        </mc:AlternateContent>
      </w:r>
      <w:r>
        <mc:AlternateContent>
          <mc:Choice Requires="wps">
            <w:drawing>
              <wp:anchor distT="0" distB="0" distL="114300" distR="114300" simplePos="0" relativeHeight="251682816" behindDoc="0" locked="0" layoutInCell="1" allowOverlap="1">
                <wp:simplePos x="0" y="0"/>
                <wp:positionH relativeFrom="column">
                  <wp:posOffset>3808095</wp:posOffset>
                </wp:positionH>
                <wp:positionV relativeFrom="paragraph">
                  <wp:posOffset>4149725</wp:posOffset>
                </wp:positionV>
                <wp:extent cx="1133475" cy="492760"/>
                <wp:effectExtent l="12700" t="1637665" r="15875" b="22225"/>
                <wp:wrapNone/>
                <wp:docPr id="88" name="对话气泡: 矩形 15"/>
                <wp:cNvGraphicFramePr/>
                <a:graphic xmlns:a="http://schemas.openxmlformats.org/drawingml/2006/main">
                  <a:graphicData uri="http://schemas.microsoft.com/office/word/2010/wordprocessingShape">
                    <wps:wsp>
                      <wps:cNvSpPr/>
                      <wps:spPr>
                        <a:xfrm>
                          <a:off x="0" y="0"/>
                          <a:ext cx="1133475" cy="492760"/>
                        </a:xfrm>
                        <a:prstGeom prst="wedgeRectCallout">
                          <a:avLst>
                            <a:gd name="adj1" fmla="val -21428"/>
                            <a:gd name="adj2" fmla="val -379768"/>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EFBF9B">
                            <w:pPr>
                              <w:rPr>
                                <w:rFonts w:hint="default" w:eastAsiaTheme="minorEastAsia"/>
                                <w:b/>
                                <w:bCs/>
                                <w:lang w:val="en-US" w:eastAsia="zh-CN"/>
                              </w:rPr>
                            </w:pPr>
                            <w:r>
                              <w:rPr>
                                <w:rFonts w:hint="eastAsia"/>
                                <w:b/>
                                <w:bCs/>
                                <w:spacing w:val="10"/>
                                <w:highlight w:val="none"/>
                                <w:lang w:eastAsia="zh-CN"/>
                              </w:rPr>
                              <w:t>南：</w:t>
                            </w:r>
                            <w:r>
                              <w:rPr>
                                <w:rFonts w:hint="eastAsia"/>
                                <w:b/>
                                <w:bCs/>
                                <w:spacing w:val="10"/>
                                <w:highlight w:val="none"/>
                                <w:lang w:val="en-US" w:eastAsia="zh-CN"/>
                              </w:rPr>
                              <w:t>102省道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5" o:spid="_x0000_s1026" o:spt="61" type="#_x0000_t61" style="position:absolute;left:0pt;margin-left:299.85pt;margin-top:326.75pt;height:38.8pt;width:89.25pt;z-index:251682816;v-text-anchor:middle;mso-width-relative:page;mso-height-relative:page;" filled="f" stroked="t" coordsize="21600,21600" o:gfxdata="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BbuiO/3QAAAAsBAAAPAAAAAAAAAAEAIAAAACIAAABk&#10;cnMvZG93bnJldi54bWxQSwECFAAUAAAACACHTuJA7hwbdKwCAAAvBQAADgAAAAAAAAABACAAAAAs&#10;AQAAZHJzL2Uyb0RvYy54bWxQSwUGAAAAAAYABgBZAQAASgYAAAAA&#10;" adj="6172,-71230">
                <v:fill on="f" focussize="0,0"/>
                <v:stroke weight="2pt" color="#FFFFFF [3212]" joinstyle="round"/>
                <v:imagedata o:title=""/>
                <o:lock v:ext="edit" aspectratio="f"/>
                <v:textbox>
                  <w:txbxContent>
                    <w:p w14:paraId="7EEFBF9B">
                      <w:pPr>
                        <w:rPr>
                          <w:rFonts w:hint="default" w:eastAsiaTheme="minorEastAsia"/>
                          <w:b/>
                          <w:bCs/>
                          <w:lang w:val="en-US" w:eastAsia="zh-CN"/>
                        </w:rPr>
                      </w:pPr>
                      <w:r>
                        <w:rPr>
                          <w:rFonts w:hint="eastAsia"/>
                          <w:b/>
                          <w:bCs/>
                          <w:spacing w:val="10"/>
                          <w:highlight w:val="none"/>
                          <w:lang w:eastAsia="zh-CN"/>
                        </w:rPr>
                        <w:t>南：</w:t>
                      </w:r>
                      <w:r>
                        <w:rPr>
                          <w:rFonts w:hint="eastAsia"/>
                          <w:b/>
                          <w:bCs/>
                          <w:spacing w:val="10"/>
                          <w:highlight w:val="none"/>
                          <w:lang w:val="en-US" w:eastAsia="zh-CN"/>
                        </w:rPr>
                        <w:t>102省道</w:t>
                      </w:r>
                    </w:p>
                  </w:txbxContent>
                </v:textbox>
              </v:shape>
            </w:pict>
          </mc:Fallback>
        </mc:AlternateContent>
      </w:r>
      <w:r>
        <mc:AlternateContent>
          <mc:Choice Requires="wps">
            <w:drawing>
              <wp:anchor distT="0" distB="0" distL="114300" distR="114300" simplePos="0" relativeHeight="251698176" behindDoc="0" locked="0" layoutInCell="1" allowOverlap="1">
                <wp:simplePos x="0" y="0"/>
                <wp:positionH relativeFrom="column">
                  <wp:posOffset>1624330</wp:posOffset>
                </wp:positionH>
                <wp:positionV relativeFrom="paragraph">
                  <wp:posOffset>1104900</wp:posOffset>
                </wp:positionV>
                <wp:extent cx="615950" cy="372745"/>
                <wp:effectExtent l="0" t="0" r="0" b="0"/>
                <wp:wrapNone/>
                <wp:docPr id="89" name="对话气泡: 矩形 4"/>
                <wp:cNvGraphicFramePr/>
                <a:graphic xmlns:a="http://schemas.openxmlformats.org/drawingml/2006/main">
                  <a:graphicData uri="http://schemas.microsoft.com/office/word/2010/wordprocessingShape">
                    <wps:wsp>
                      <wps:cNvSpPr/>
                      <wps:spPr>
                        <a:xfrm>
                          <a:off x="0" y="0"/>
                          <a:ext cx="615950" cy="372745"/>
                        </a:xfrm>
                        <a:prstGeom prst="wedgeRectCallou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0098F7">
                            <w:pPr>
                              <w:jc w:val="center"/>
                              <w:rPr>
                                <w:rFonts w:hint="default" w:eastAsiaTheme="minorEastAsia"/>
                                <w:b w:val="0"/>
                                <w:bCs w:val="0"/>
                                <w:color w:val="FFFF00"/>
                                <w:lang w:val="en-US" w:eastAsia="zh-CN"/>
                              </w:rPr>
                            </w:pPr>
                            <w:r>
                              <w:rPr>
                                <w:rFonts w:hint="eastAsia"/>
                                <w:b w:val="0"/>
                                <w:bCs w:val="0"/>
                                <w:color w:val="FFFF00"/>
                                <w:lang w:val="en-US" w:eastAsia="zh-CN"/>
                              </w:rPr>
                              <w:t>790m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4" o:spid="_x0000_s1026" o:spt="61" type="#_x0000_t61" style="position:absolute;left:0pt;margin-left:127.9pt;margin-top:87pt;height:29.35pt;width:48.5pt;z-index:251698176;v-text-anchor:middle;mso-width-relative:page;mso-height-relative:page;" filled="f" stroked="f" coordsize="21600,21600" o:gfxdata="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F3Ns/rYAAAACwEAAA8AAAAAAAAAAQAgAAAAIgAAAGRycy9kb3du&#10;cmV2LnhtbFBLAQIUABQAAAAIAIdO4kC7DFq4cQIAALAEAAAOAAAAAAAAAAEAIAAAACcBAABkcnMv&#10;ZTJvRG9jLnhtbFBLBQYAAAAABgAGAFkBAAAKBgAAAAA=&#10;" adj="6300,24300">
                <v:fill on="f" focussize="0,0"/>
                <v:stroke on="f" weight="2pt"/>
                <v:imagedata o:title=""/>
                <o:lock v:ext="edit" aspectratio="f"/>
                <v:textbox>
                  <w:txbxContent>
                    <w:p w14:paraId="720098F7">
                      <w:pPr>
                        <w:jc w:val="center"/>
                        <w:rPr>
                          <w:rFonts w:hint="default" w:eastAsiaTheme="minorEastAsia"/>
                          <w:b w:val="0"/>
                          <w:bCs w:val="0"/>
                          <w:color w:val="FFFF00"/>
                          <w:lang w:val="en-US" w:eastAsia="zh-CN"/>
                        </w:rPr>
                      </w:pPr>
                      <w:r>
                        <w:rPr>
                          <w:rFonts w:hint="eastAsia"/>
                          <w:b w:val="0"/>
                          <w:bCs w:val="0"/>
                          <w:color w:val="FFFF00"/>
                          <w:lang w:val="en-US" w:eastAsia="zh-CN"/>
                        </w:rPr>
                        <w:t>790m</w:t>
                      </w:r>
                    </w:p>
                  </w:txbxContent>
                </v:textbox>
              </v:shape>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1459230</wp:posOffset>
                </wp:positionH>
                <wp:positionV relativeFrom="paragraph">
                  <wp:posOffset>3548380</wp:posOffset>
                </wp:positionV>
                <wp:extent cx="894080" cy="482600"/>
                <wp:effectExtent l="0" t="0" r="0" b="0"/>
                <wp:wrapNone/>
                <wp:docPr id="90" name="对话气泡: 矩形 4"/>
                <wp:cNvGraphicFramePr/>
                <a:graphic xmlns:a="http://schemas.openxmlformats.org/drawingml/2006/main">
                  <a:graphicData uri="http://schemas.microsoft.com/office/word/2010/wordprocessingShape">
                    <wps:wsp>
                      <wps:cNvSpPr/>
                      <wps:spPr>
                        <a:xfrm>
                          <a:off x="0" y="0"/>
                          <a:ext cx="894080" cy="482600"/>
                        </a:xfrm>
                        <a:prstGeom prst="wedgeRectCallou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188C4B">
                            <w:pPr>
                              <w:jc w:val="center"/>
                              <w:rPr>
                                <w:b/>
                                <w:bCs/>
                                <w:color w:val="FFFF00"/>
                              </w:rPr>
                            </w:pPr>
                            <w:r>
                              <w:rPr>
                                <w:rFonts w:hint="eastAsia"/>
                                <w:b/>
                                <w:bCs/>
                                <w:color w:val="FFFF00"/>
                                <w:lang w:val="en-US" w:eastAsia="zh-CN"/>
                              </w:rPr>
                              <w:t>杨兰</w:t>
                            </w:r>
                            <w:r>
                              <w:rPr>
                                <w:rFonts w:hint="eastAsia"/>
                                <w:b/>
                                <w:bCs/>
                                <w:color w:val="FFFF00"/>
                                <w:lang w:eastAsia="zh-CN"/>
                              </w:rPr>
                              <w:t>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4" o:spid="_x0000_s1026" o:spt="61" type="#_x0000_t61" style="position:absolute;left:0pt;margin-left:114.9pt;margin-top:279.4pt;height:38pt;width:70.4pt;z-index:251689984;v-text-anchor:middle;mso-width-relative:page;mso-height-relative:page;" filled="f" stroked="f" coordsize="21600,21600" o:gfxdata="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cM9mdkAAAALAQAADwAAAAAAAAABACAAAAAiAAAAZHJzL2Rv&#10;d25yZXYueG1sUEsBAhQAFAAAAAgAh07iQDw09HNyAgAAsAQAAA4AAAAAAAAAAQAgAAAAKAEAAGRy&#10;cy9lMm9Eb2MueG1sUEsFBgAAAAAGAAYAWQEAAAwGAAAAAA==&#10;" adj="6300,24300">
                <v:fill on="f" focussize="0,0"/>
                <v:stroke on="f" weight="2pt"/>
                <v:imagedata o:title=""/>
                <o:lock v:ext="edit" aspectratio="f"/>
                <v:textbox>
                  <w:txbxContent>
                    <w:p w14:paraId="11188C4B">
                      <w:pPr>
                        <w:jc w:val="center"/>
                        <w:rPr>
                          <w:b/>
                          <w:bCs/>
                          <w:color w:val="FFFF00"/>
                        </w:rPr>
                      </w:pPr>
                      <w:r>
                        <w:rPr>
                          <w:rFonts w:hint="eastAsia"/>
                          <w:b/>
                          <w:bCs/>
                          <w:color w:val="FFFF00"/>
                          <w:lang w:val="en-US" w:eastAsia="zh-CN"/>
                        </w:rPr>
                        <w:t>杨兰</w:t>
                      </w:r>
                      <w:r>
                        <w:rPr>
                          <w:rFonts w:hint="eastAsia"/>
                          <w:b/>
                          <w:bCs/>
                          <w:color w:val="FFFF00"/>
                          <w:lang w:eastAsia="zh-CN"/>
                        </w:rPr>
                        <w:t>村</w:t>
                      </w:r>
                    </w:p>
                  </w:txbxContent>
                </v:textbox>
              </v:shape>
            </w:pict>
          </mc:Fallback>
        </mc:AlternateContent>
      </w:r>
      <w:r>
        <mc:AlternateContent>
          <mc:Choice Requires="wps">
            <w:drawing>
              <wp:anchor distT="0" distB="0" distL="114300" distR="114300" simplePos="0" relativeHeight="251691008" behindDoc="0" locked="0" layoutInCell="1" allowOverlap="1">
                <wp:simplePos x="0" y="0"/>
                <wp:positionH relativeFrom="column">
                  <wp:posOffset>218440</wp:posOffset>
                </wp:positionH>
                <wp:positionV relativeFrom="paragraph">
                  <wp:posOffset>523240</wp:posOffset>
                </wp:positionV>
                <wp:extent cx="953135" cy="417830"/>
                <wp:effectExtent l="0" t="0" r="0" b="0"/>
                <wp:wrapNone/>
                <wp:docPr id="91" name="对话气泡: 矩形 4"/>
                <wp:cNvGraphicFramePr/>
                <a:graphic xmlns:a="http://schemas.openxmlformats.org/drawingml/2006/main">
                  <a:graphicData uri="http://schemas.microsoft.com/office/word/2010/wordprocessingShape">
                    <wps:wsp>
                      <wps:cNvSpPr/>
                      <wps:spPr>
                        <a:xfrm>
                          <a:off x="0" y="0"/>
                          <a:ext cx="953135" cy="417830"/>
                        </a:xfrm>
                        <a:prstGeom prst="wedgeRectCallou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DE1819">
                            <w:pPr>
                              <w:jc w:val="center"/>
                              <w:rPr>
                                <w:b/>
                                <w:bCs/>
                                <w:color w:val="FFFF00"/>
                              </w:rPr>
                            </w:pPr>
                            <w:r>
                              <w:rPr>
                                <w:rFonts w:hint="eastAsia"/>
                                <w:b/>
                                <w:bCs/>
                                <w:color w:val="FFFF00"/>
                                <w:lang w:val="en-US" w:eastAsia="zh-CN"/>
                              </w:rPr>
                              <w:t>宝塔社区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4" o:spid="_x0000_s1026" o:spt="61" type="#_x0000_t61" style="position:absolute;left:0pt;margin-left:17.2pt;margin-top:41.2pt;height:32.9pt;width:75.05pt;z-index:251691008;v-text-anchor:middle;mso-width-relative:page;mso-height-relative:page;" filled="f" stroked="f" coordsize="21600,21600" o:gfxdata="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8t8KD1wAAAAkBAAAPAAAAAAAAAAEAIAAAACIAAABkcnMvZG93&#10;bnJldi54bWxQSwECFAAUAAAACACHTuJArBUS3nMCAACwBAAADgAAAAAAAAABACAAAAAmAQAAZHJz&#10;L2Uyb0RvYy54bWxQSwUGAAAAAAYABgBZAQAACwYAAAAA&#10;" adj="6300,24300">
                <v:fill on="f" focussize="0,0"/>
                <v:stroke on="f" weight="2pt"/>
                <v:imagedata o:title=""/>
                <o:lock v:ext="edit" aspectratio="f"/>
                <v:textbox>
                  <w:txbxContent>
                    <w:p w14:paraId="69DE1819">
                      <w:pPr>
                        <w:jc w:val="center"/>
                        <w:rPr>
                          <w:b/>
                          <w:bCs/>
                          <w:color w:val="FFFF00"/>
                        </w:rPr>
                      </w:pPr>
                      <w:r>
                        <w:rPr>
                          <w:rFonts w:hint="eastAsia"/>
                          <w:b/>
                          <w:bCs/>
                          <w:color w:val="FFFF00"/>
                          <w:lang w:val="en-US" w:eastAsia="zh-CN"/>
                        </w:rPr>
                        <w:t>宝塔社区</w:t>
                      </w:r>
                    </w:p>
                  </w:txbxContent>
                </v:textbox>
              </v:shape>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874395</wp:posOffset>
                </wp:positionH>
                <wp:positionV relativeFrom="paragraph">
                  <wp:posOffset>1007110</wp:posOffset>
                </wp:positionV>
                <wp:extent cx="2834005" cy="1373505"/>
                <wp:effectExtent l="0" t="1270" r="4445" b="15875"/>
                <wp:wrapNone/>
                <wp:docPr id="92" name="直接箭头连接符 92"/>
                <wp:cNvGraphicFramePr/>
                <a:graphic xmlns:a="http://schemas.openxmlformats.org/drawingml/2006/main">
                  <a:graphicData uri="http://schemas.microsoft.com/office/word/2010/wordprocessingShape">
                    <wps:wsp>
                      <wps:cNvCnPr/>
                      <wps:spPr>
                        <a:xfrm flipH="1" flipV="1">
                          <a:off x="0" y="0"/>
                          <a:ext cx="2834005" cy="1373505"/>
                        </a:xfrm>
                        <a:prstGeom prst="straightConnector1">
                          <a:avLst/>
                        </a:prstGeom>
                        <a:ln w="952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68.85pt;margin-top:79.3pt;height:108.15pt;width:223.15pt;z-index:251688960;mso-width-relative:page;mso-height-relative:page;" filled="f" stroked="t" coordsize="21600,21600" o:gfxdata="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heDXdsAAAALAQAADwAAAAAAAAAB&#10;ACAAAAAiAAAAZHJzL2Rvd25yZXYueG1sUEsBAhQAFAAAAAgAh07iQDABfaENAgAA5gMAAA4AAAAA&#10;AAAAAQAgAAAAKgEAAGRycy9lMm9Eb2MueG1sUEsFBgAAAAAGAAYAWQEAAKkFAAAAAA==&#10;">
                <v:fill on="f" focussize="0,0"/>
                <v:stroke color="#FFFF00 [3204]" joinstyle="round" endarrow="block"/>
                <v:imagedata o:title=""/>
                <o:lock v:ext="edit" aspectratio="f"/>
              </v:shap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2287270</wp:posOffset>
                </wp:positionH>
                <wp:positionV relativeFrom="paragraph">
                  <wp:posOffset>581025</wp:posOffset>
                </wp:positionV>
                <wp:extent cx="1049655" cy="454660"/>
                <wp:effectExtent l="12700" t="12700" r="309245" b="1247140"/>
                <wp:wrapNone/>
                <wp:docPr id="93" name="对话气泡: 矩形 15"/>
                <wp:cNvGraphicFramePr/>
                <a:graphic xmlns:a="http://schemas.openxmlformats.org/drawingml/2006/main">
                  <a:graphicData uri="http://schemas.microsoft.com/office/word/2010/wordprocessingShape">
                    <wps:wsp>
                      <wps:cNvSpPr/>
                      <wps:spPr>
                        <a:xfrm>
                          <a:off x="0" y="0"/>
                          <a:ext cx="1049655" cy="454660"/>
                        </a:xfrm>
                        <a:prstGeom prst="wedgeRectCallout">
                          <a:avLst>
                            <a:gd name="adj1" fmla="val 78191"/>
                            <a:gd name="adj2" fmla="val 320670"/>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31591B">
                            <w:pPr>
                              <w:rPr>
                                <w:rFonts w:hint="eastAsia" w:eastAsiaTheme="minorEastAsia"/>
                                <w:b/>
                                <w:bCs/>
                                <w:lang w:eastAsia="zh-CN"/>
                              </w:rPr>
                            </w:pPr>
                            <w:r>
                              <w:rPr>
                                <w:rFonts w:hint="eastAsia"/>
                                <w:b/>
                                <w:bCs/>
                                <w:spacing w:val="10"/>
                                <w:highlight w:val="none"/>
                                <w:lang w:eastAsia="zh-CN"/>
                              </w:rPr>
                              <w:t>西：</w:t>
                            </w:r>
                            <w:r>
                              <w:rPr>
                                <w:rFonts w:hint="eastAsia"/>
                                <w:b/>
                                <w:bCs/>
                                <w:spacing w:val="10"/>
                                <w:highlight w:val="none"/>
                                <w:lang w:val="en-US" w:eastAsia="zh-CN"/>
                              </w:rPr>
                              <w:t>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5" o:spid="_x0000_s1026" o:spt="61" type="#_x0000_t61" style="position:absolute;left:0pt;margin-left:180.1pt;margin-top:45.75pt;height:35.8pt;width:82.65pt;z-index:251685888;v-text-anchor:middle;mso-width-relative:page;mso-height-relative:page;" filled="f" stroked="t" coordsize="21600,21600" o:gfxdata="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0xjL5toAAAAKAQAADwAAAAAAAAABACAAAAAiAAAAZHJzL2Rv&#10;d25yZXYueG1sUEsBAhQAFAAAAAgAh07iQGFs4SmqAgAALQUAAA4AAAAAAAAAAQAgAAAAKQEAAGRy&#10;cy9lMm9Eb2MueG1sUEsFBgAAAAAGAAYAWQEAAEUGAAAAAA==&#10;" adj="27689,80065">
                <v:fill on="f" focussize="0,0"/>
                <v:stroke weight="2pt" color="#FFFFFF [3212]" joinstyle="round"/>
                <v:imagedata o:title=""/>
                <o:lock v:ext="edit" aspectratio="f"/>
                <v:textbox>
                  <w:txbxContent>
                    <w:p w14:paraId="1231591B">
                      <w:pPr>
                        <w:rPr>
                          <w:rFonts w:hint="eastAsia" w:eastAsiaTheme="minorEastAsia"/>
                          <w:b/>
                          <w:bCs/>
                          <w:lang w:eastAsia="zh-CN"/>
                        </w:rPr>
                      </w:pPr>
                      <w:r>
                        <w:rPr>
                          <w:rFonts w:hint="eastAsia"/>
                          <w:b/>
                          <w:bCs/>
                          <w:spacing w:val="10"/>
                          <w:highlight w:val="none"/>
                          <w:lang w:eastAsia="zh-CN"/>
                        </w:rPr>
                        <w:t>西：</w:t>
                      </w:r>
                      <w:r>
                        <w:rPr>
                          <w:rFonts w:hint="eastAsia"/>
                          <w:b/>
                          <w:bCs/>
                          <w:spacing w:val="10"/>
                          <w:highlight w:val="none"/>
                          <w:lang w:val="en-US" w:eastAsia="zh-CN"/>
                        </w:rPr>
                        <w:t>空地</w:t>
                      </w:r>
                    </w:p>
                  </w:txbxContent>
                </v:textbox>
              </v:shape>
            </w:pict>
          </mc:Fallback>
        </mc:AlternateContent>
      </w:r>
      <w:r>
        <mc:AlternateContent>
          <mc:Choice Requires="wps">
            <w:drawing>
              <wp:anchor distT="0" distB="0" distL="114300" distR="114300" simplePos="0" relativeHeight="251684864" behindDoc="0" locked="0" layoutInCell="1" allowOverlap="1">
                <wp:simplePos x="0" y="0"/>
                <wp:positionH relativeFrom="column">
                  <wp:posOffset>6230620</wp:posOffset>
                </wp:positionH>
                <wp:positionV relativeFrom="paragraph">
                  <wp:posOffset>1187450</wp:posOffset>
                </wp:positionV>
                <wp:extent cx="962025" cy="423545"/>
                <wp:effectExtent l="1066800" t="12700" r="28575" b="744855"/>
                <wp:wrapNone/>
                <wp:docPr id="94" name="对话气泡: 矩形 15"/>
                <wp:cNvGraphicFramePr/>
                <a:graphic xmlns:a="http://schemas.openxmlformats.org/drawingml/2006/main">
                  <a:graphicData uri="http://schemas.microsoft.com/office/word/2010/wordprocessingShape">
                    <wps:wsp>
                      <wps:cNvSpPr/>
                      <wps:spPr>
                        <a:xfrm>
                          <a:off x="0" y="0"/>
                          <a:ext cx="962025" cy="423545"/>
                        </a:xfrm>
                        <a:prstGeom prst="wedgeRectCallout">
                          <a:avLst>
                            <a:gd name="adj1" fmla="val -159570"/>
                            <a:gd name="adj2" fmla="val 220764"/>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8A25B6">
                            <w:pPr>
                              <w:rPr>
                                <w:rFonts w:hint="eastAsia" w:eastAsiaTheme="minorEastAsia"/>
                                <w:b/>
                                <w:bCs/>
                                <w:lang w:eastAsia="zh-CN"/>
                              </w:rPr>
                            </w:pPr>
                            <w:r>
                              <w:rPr>
                                <w:rFonts w:hint="eastAsia"/>
                                <w:b/>
                                <w:bCs/>
                                <w:spacing w:val="10"/>
                                <w:highlight w:val="none"/>
                                <w:lang w:eastAsia="zh-CN"/>
                              </w:rPr>
                              <w:t>东：</w:t>
                            </w:r>
                            <w:r>
                              <w:rPr>
                                <w:rFonts w:hint="eastAsia"/>
                                <w:b/>
                                <w:bCs/>
                                <w:spacing w:val="10"/>
                                <w:highlight w:val="none"/>
                                <w:lang w:val="en-US" w:eastAsia="zh-CN"/>
                              </w:rPr>
                              <w:t>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5" o:spid="_x0000_s1026" o:spt="61" type="#_x0000_t61" style="position:absolute;left:0pt;margin-left:490.6pt;margin-top:93.5pt;height:33.35pt;width:75.75pt;z-index:251684864;v-text-anchor:middle;mso-width-relative:page;mso-height-relative:page;" filled="f" stroked="t" coordsize="21600,21600" o:gfxdata="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C3Wuf2QAAAAwBAAAPAAAAAAAAAAEAIAAAACIAAABkcnMvZG93&#10;bnJldi54bWxQSwECFAAUAAAACACHTuJAiZiQuqoCAAAuBQAADgAAAAAAAAABACAAAAAoAQAAZHJz&#10;L2Uyb0RvYy54bWxQSwUGAAAAAAYABgBZAQAARAYAAAAA&#10;" adj="-23667,58485">
                <v:fill on="f" focussize="0,0"/>
                <v:stroke weight="2pt" color="#FFFFFF [3212]" joinstyle="round"/>
                <v:imagedata o:title=""/>
                <o:lock v:ext="edit" aspectratio="f"/>
                <v:textbox>
                  <w:txbxContent>
                    <w:p w14:paraId="6E8A25B6">
                      <w:pPr>
                        <w:rPr>
                          <w:rFonts w:hint="eastAsia" w:eastAsiaTheme="minorEastAsia"/>
                          <w:b/>
                          <w:bCs/>
                          <w:lang w:eastAsia="zh-CN"/>
                        </w:rPr>
                      </w:pPr>
                      <w:r>
                        <w:rPr>
                          <w:rFonts w:hint="eastAsia"/>
                          <w:b/>
                          <w:bCs/>
                          <w:spacing w:val="10"/>
                          <w:highlight w:val="none"/>
                          <w:lang w:eastAsia="zh-CN"/>
                        </w:rPr>
                        <w:t>东：</w:t>
                      </w:r>
                      <w:r>
                        <w:rPr>
                          <w:rFonts w:hint="eastAsia"/>
                          <w:b/>
                          <w:bCs/>
                          <w:spacing w:val="10"/>
                          <w:highlight w:val="none"/>
                          <w:lang w:val="en-US" w:eastAsia="zh-CN"/>
                        </w:rPr>
                        <w:t>空地</w:t>
                      </w:r>
                    </w:p>
                  </w:txbxContent>
                </v:textbox>
              </v:shape>
            </w:pict>
          </mc:Fallback>
        </mc:AlternateContent>
      </w:r>
      <w:r>
        <mc:AlternateContent>
          <mc:Choice Requires="wps">
            <w:drawing>
              <wp:anchor distT="0" distB="0" distL="114300" distR="114300" simplePos="0" relativeHeight="251695104" behindDoc="0" locked="0" layoutInCell="1" allowOverlap="1">
                <wp:simplePos x="0" y="0"/>
                <wp:positionH relativeFrom="column">
                  <wp:posOffset>4912995</wp:posOffset>
                </wp:positionH>
                <wp:positionV relativeFrom="paragraph">
                  <wp:posOffset>2540635</wp:posOffset>
                </wp:positionV>
                <wp:extent cx="1143000" cy="1600200"/>
                <wp:effectExtent l="3810" t="2540" r="15240" b="16510"/>
                <wp:wrapNone/>
                <wp:docPr id="95" name="直接箭头连接符 95"/>
                <wp:cNvGraphicFramePr/>
                <a:graphic xmlns:a="http://schemas.openxmlformats.org/drawingml/2006/main">
                  <a:graphicData uri="http://schemas.microsoft.com/office/word/2010/wordprocessingShape">
                    <wps:wsp>
                      <wps:cNvCnPr/>
                      <wps:spPr>
                        <a:xfrm>
                          <a:off x="0" y="0"/>
                          <a:ext cx="1143000" cy="1600200"/>
                        </a:xfrm>
                        <a:prstGeom prst="straightConnector1">
                          <a:avLst/>
                        </a:prstGeom>
                        <a:ln w="952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86.85pt;margin-top:200.05pt;height:126pt;width:90pt;z-index:251695104;mso-width-relative:page;mso-height-relative:page;" filled="f" stroked="t" coordsize="21600,21600" o:gfxdata="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VjVp72wAAAAsBAAAPAAAAAAAAAAEAIAAAACIAAABkcnMvZG93&#10;bnJldi54bWxQSwECFAAUAAAACACHTuJAAusWJf0BAADSAwAADgAAAAAAAAABACAAAAAqAQAAZHJz&#10;L2Uyb0RvYy54bWxQSwUGAAAAAAYABgBZAQAAmQUAAAAA&#10;">
                <v:fill on="f" focussize="0,0"/>
                <v:stroke color="#FFFF00 [3204]" joinstyle="round" endarrow="block"/>
                <v:imagedata o:title=""/>
                <o:lock v:ext="edit" aspectratio="f"/>
              </v:shape>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2169795</wp:posOffset>
                </wp:positionH>
                <wp:positionV relativeFrom="paragraph">
                  <wp:posOffset>2435860</wp:posOffset>
                </wp:positionV>
                <wp:extent cx="1533525" cy="1085850"/>
                <wp:effectExtent l="0" t="3810" r="9525" b="15240"/>
                <wp:wrapNone/>
                <wp:docPr id="96" name="直接箭头连接符 96"/>
                <wp:cNvGraphicFramePr/>
                <a:graphic xmlns:a="http://schemas.openxmlformats.org/drawingml/2006/main">
                  <a:graphicData uri="http://schemas.microsoft.com/office/word/2010/wordprocessingShape">
                    <wps:wsp>
                      <wps:cNvCnPr/>
                      <wps:spPr>
                        <a:xfrm flipH="1">
                          <a:off x="0" y="0"/>
                          <a:ext cx="1533525" cy="1085850"/>
                        </a:xfrm>
                        <a:prstGeom prst="straightConnector1">
                          <a:avLst/>
                        </a:prstGeom>
                        <a:ln w="952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70.85pt;margin-top:191.8pt;height:85.5pt;width:120.75pt;z-index:251692032;mso-width-relative:page;mso-height-relative:page;" filled="f" stroked="t" coordsize="21600,21600" o:gfxdata="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R9Y3r2QAAAAsBAAAPAAAAAAAAAAEAIAAAACIA&#10;AABkcnMvZG93bnJldi54bWxQSwECFAAUAAAACACHTuJAgBVAnAgCAADcAwAADgAAAAAAAAABACAA&#10;AAAoAQAAZHJzL2Uyb0RvYy54bWxQSwUGAAAAAAYABgBZAQAAogUAAAAA&#10;">
                <v:fill on="f" focussize="0,0"/>
                <v:stroke color="#FFFF00 [3204]" joinstyle="round" endarrow="block"/>
                <v:imagedata o:title=""/>
                <o:lock v:ext="edit" aspectratio="f"/>
              </v:shape>
            </w:pict>
          </mc:Fallback>
        </mc:AlternateContent>
      </w:r>
      <w:r>
        <w:drawing>
          <wp:inline distT="0" distB="0" distL="114300" distR="114300">
            <wp:extent cx="9314815" cy="5252720"/>
            <wp:effectExtent l="0" t="0" r="635" b="5080"/>
            <wp:docPr id="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
                    <pic:cNvPicPr>
                      <a:picLocks noChangeAspect="1"/>
                    </pic:cNvPicPr>
                  </pic:nvPicPr>
                  <pic:blipFill>
                    <a:blip r:embed="rId52"/>
                    <a:stretch>
                      <a:fillRect/>
                    </a:stretch>
                  </pic:blipFill>
                  <pic:spPr>
                    <a:xfrm>
                      <a:off x="0" y="0"/>
                      <a:ext cx="9314815" cy="5252720"/>
                    </a:xfrm>
                    <a:prstGeom prst="rect">
                      <a:avLst/>
                    </a:prstGeom>
                    <a:noFill/>
                    <a:ln>
                      <a:noFill/>
                    </a:ln>
                  </pic:spPr>
                </pic:pic>
              </a:graphicData>
            </a:graphic>
          </wp:inline>
        </w:drawing>
      </w:r>
      <w:r>
        <mc:AlternateContent>
          <mc:Choice Requires="wps">
            <w:drawing>
              <wp:anchor distT="45720" distB="45720" distL="114300" distR="114300" simplePos="0" relativeHeight="251680768" behindDoc="0" locked="0" layoutInCell="1" allowOverlap="1">
                <wp:simplePos x="0" y="0"/>
                <wp:positionH relativeFrom="column">
                  <wp:posOffset>3116580</wp:posOffset>
                </wp:positionH>
                <wp:positionV relativeFrom="paragraph">
                  <wp:posOffset>5299075</wp:posOffset>
                </wp:positionV>
                <wp:extent cx="2360930" cy="1404620"/>
                <wp:effectExtent l="0" t="0" r="1270" b="5080"/>
                <wp:wrapNone/>
                <wp:docPr id="2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ln>
                      </wps:spPr>
                      <wps:txbx>
                        <w:txbxContent>
                          <w:p w14:paraId="176FF838">
                            <w:pPr>
                              <w:jc w:val="center"/>
                              <w:rPr>
                                <w:rFonts w:hint="eastAsia" w:ascii="宋体" w:hAnsi="宋体" w:eastAsia="宋体" w:cs="宋体"/>
                                <w:b/>
                                <w:bCs/>
                                <w:sz w:val="32"/>
                                <w:szCs w:val="32"/>
                              </w:rPr>
                            </w:pPr>
                            <w:r>
                              <w:rPr>
                                <w:rFonts w:hint="eastAsia" w:ascii="宋体" w:hAnsi="宋体" w:eastAsia="宋体" w:cs="宋体"/>
                                <w:b/>
                                <w:bCs/>
                                <w:sz w:val="32"/>
                                <w:szCs w:val="32"/>
                              </w:rPr>
                              <w:t>附图2-</w:t>
                            </w:r>
                            <w:r>
                              <w:rPr>
                                <w:rFonts w:hint="eastAsia" w:ascii="宋体" w:hAnsi="宋体" w:eastAsia="宋体" w:cs="宋体"/>
                                <w:b/>
                                <w:bCs/>
                                <w:sz w:val="32"/>
                                <w:szCs w:val="32"/>
                                <w:lang w:val="en-US" w:eastAsia="zh-CN"/>
                              </w:rPr>
                              <w:t>2</w:t>
                            </w:r>
                            <w:r>
                              <w:rPr>
                                <w:rFonts w:hint="eastAsia" w:ascii="宋体" w:hAnsi="宋体" w:eastAsia="宋体" w:cs="宋体"/>
                                <w:b/>
                                <w:bCs/>
                                <w:sz w:val="32"/>
                                <w:szCs w:val="32"/>
                              </w:rPr>
                              <w:t xml:space="preserve"> 项目周边关系图</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文本框 2" o:spid="_x0000_s1026" o:spt="202" type="#_x0000_t202" style="position:absolute;left:0pt;margin-left:245.4pt;margin-top:417.25pt;height:110.6pt;width:185.9pt;z-index:251680768;mso-width-relative:margin;mso-height-relative:margin;mso-width-percent:400;mso-height-percent:200;" fillcolor="#FFFFFF" filled="t" stroked="f" coordsize="21600,21600" o:gfxdata="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JR+0ZdwAAAAMAQAADwAAAAAAAAABACAAAAAiAAAA&#10;ZHJzL2Rvd25yZXYueG1sUEsBAhQAFAAAAAgAh07iQBzOMQM8AgAAVQQAAA4AAAAAAAAAAQAgAAAA&#10;KwEAAGRycy9lMm9Eb2MueG1sUEsFBgAAAAAGAAYAWQEAANkFAAAAAA==&#10;">
                <v:fill on="t" focussize="0,0"/>
                <v:stroke on="f" miterlimit="8" joinstyle="miter"/>
                <v:imagedata o:title=""/>
                <o:lock v:ext="edit" aspectratio="f"/>
                <v:textbox style="mso-fit-shape-to-text:t;">
                  <w:txbxContent>
                    <w:p w14:paraId="176FF838">
                      <w:pPr>
                        <w:jc w:val="center"/>
                        <w:rPr>
                          <w:rFonts w:hint="eastAsia" w:ascii="宋体" w:hAnsi="宋体" w:eastAsia="宋体" w:cs="宋体"/>
                          <w:b/>
                          <w:bCs/>
                          <w:sz w:val="32"/>
                          <w:szCs w:val="32"/>
                        </w:rPr>
                      </w:pPr>
                      <w:r>
                        <w:rPr>
                          <w:rFonts w:hint="eastAsia" w:ascii="宋体" w:hAnsi="宋体" w:eastAsia="宋体" w:cs="宋体"/>
                          <w:b/>
                          <w:bCs/>
                          <w:sz w:val="32"/>
                          <w:szCs w:val="32"/>
                        </w:rPr>
                        <w:t>附图2-</w:t>
                      </w:r>
                      <w:r>
                        <w:rPr>
                          <w:rFonts w:hint="eastAsia" w:ascii="宋体" w:hAnsi="宋体" w:eastAsia="宋体" w:cs="宋体"/>
                          <w:b/>
                          <w:bCs/>
                          <w:sz w:val="32"/>
                          <w:szCs w:val="32"/>
                          <w:lang w:val="en-US" w:eastAsia="zh-CN"/>
                        </w:rPr>
                        <w:t>2</w:t>
                      </w:r>
                      <w:r>
                        <w:rPr>
                          <w:rFonts w:hint="eastAsia" w:ascii="宋体" w:hAnsi="宋体" w:eastAsia="宋体" w:cs="宋体"/>
                          <w:b/>
                          <w:bCs/>
                          <w:sz w:val="32"/>
                          <w:szCs w:val="32"/>
                        </w:rPr>
                        <w:t xml:space="preserve"> 项目周边关系图</w:t>
                      </w:r>
                    </w:p>
                  </w:txbxContent>
                </v:textbox>
              </v:shape>
            </w:pict>
          </mc:Fallback>
        </mc:AlternateContent>
      </w:r>
      <w:r>
        <w:drawing>
          <wp:anchor distT="0" distB="0" distL="114300" distR="114300" simplePos="0" relativeHeight="251687936" behindDoc="0" locked="0" layoutInCell="1" allowOverlap="1">
            <wp:simplePos x="0" y="0"/>
            <wp:positionH relativeFrom="column">
              <wp:posOffset>8002270</wp:posOffset>
            </wp:positionH>
            <wp:positionV relativeFrom="paragraph">
              <wp:posOffset>4724400</wp:posOffset>
            </wp:positionV>
            <wp:extent cx="1141095" cy="281305"/>
            <wp:effectExtent l="0" t="0" r="1905" b="4445"/>
            <wp:wrapNone/>
            <wp:docPr id="9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
                    <pic:cNvPicPr>
                      <a:picLocks noChangeAspect="1"/>
                    </pic:cNvPicPr>
                  </pic:nvPicPr>
                  <pic:blipFill>
                    <a:blip r:embed="rId53"/>
                    <a:stretch>
                      <a:fillRect/>
                    </a:stretch>
                  </pic:blipFill>
                  <pic:spPr>
                    <a:xfrm>
                      <a:off x="0" y="0"/>
                      <a:ext cx="1141095" cy="281305"/>
                    </a:xfrm>
                    <a:prstGeom prst="rect">
                      <a:avLst/>
                    </a:prstGeom>
                    <a:noFill/>
                    <a:ln>
                      <a:noFill/>
                    </a:ln>
                  </pic:spPr>
                </pic:pic>
              </a:graphicData>
            </a:graphic>
          </wp:anchor>
        </w:drawing>
      </w:r>
      <w:r>
        <w:drawing>
          <wp:anchor distT="0" distB="0" distL="114300" distR="114300" simplePos="0" relativeHeight="251683840" behindDoc="0" locked="0" layoutInCell="1" allowOverlap="1">
            <wp:simplePos x="0" y="0"/>
            <wp:positionH relativeFrom="column">
              <wp:posOffset>8143240</wp:posOffset>
            </wp:positionH>
            <wp:positionV relativeFrom="paragraph">
              <wp:posOffset>61595</wp:posOffset>
            </wp:positionV>
            <wp:extent cx="1152525" cy="1052830"/>
            <wp:effectExtent l="0" t="0" r="9525" b="13970"/>
            <wp:wrapNone/>
            <wp:docPr id="99"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08"/>
                    <pic:cNvPicPr>
                      <a:picLocks noChangeAspect="1"/>
                    </pic:cNvPicPr>
                  </pic:nvPicPr>
                  <pic:blipFill>
                    <a:blip r:embed="rId23"/>
                    <a:stretch>
                      <a:fillRect/>
                    </a:stretch>
                  </pic:blipFill>
                  <pic:spPr>
                    <a:xfrm>
                      <a:off x="0" y="0"/>
                      <a:ext cx="1152525" cy="1052830"/>
                    </a:xfrm>
                    <a:prstGeom prst="rect">
                      <a:avLst/>
                    </a:prstGeom>
                    <a:noFill/>
                    <a:ln>
                      <a:noFill/>
                    </a:ln>
                  </pic:spPr>
                </pic:pic>
              </a:graphicData>
            </a:graphic>
          </wp:anchor>
        </w:drawing>
      </w:r>
      <w:r>
        <mc:AlternateContent>
          <mc:Choice Requires="wps">
            <w:drawing>
              <wp:anchor distT="0" distB="0" distL="114300" distR="114300" simplePos="0" relativeHeight="251681792" behindDoc="0" locked="0" layoutInCell="1" allowOverlap="1">
                <wp:simplePos x="0" y="0"/>
                <wp:positionH relativeFrom="column">
                  <wp:posOffset>3039745</wp:posOffset>
                </wp:positionH>
                <wp:positionV relativeFrom="paragraph">
                  <wp:posOffset>220980</wp:posOffset>
                </wp:positionV>
                <wp:extent cx="755650" cy="349885"/>
                <wp:effectExtent l="0" t="0" r="0" b="0"/>
                <wp:wrapNone/>
                <wp:docPr id="100" name="对话气泡: 矩形 13"/>
                <wp:cNvGraphicFramePr/>
                <a:graphic xmlns:a="http://schemas.openxmlformats.org/drawingml/2006/main">
                  <a:graphicData uri="http://schemas.microsoft.com/office/word/2010/wordprocessingShape">
                    <wps:wsp>
                      <wps:cNvSpPr/>
                      <wps:spPr>
                        <a:xfrm>
                          <a:off x="0" y="0"/>
                          <a:ext cx="755374" cy="349857"/>
                        </a:xfrm>
                        <a:prstGeom prst="wedgeRectCallou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6B49AB">
                            <w:pPr>
                              <w:jc w:val="center"/>
                              <w:rPr>
                                <w:b/>
                                <w:bCs/>
                                <w:color w:val="FF000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3" o:spid="_x0000_s1026" o:spt="61" type="#_x0000_t61" style="position:absolute;left:0pt;margin-left:239.35pt;margin-top:17.4pt;height:27.55pt;width:59.5pt;z-index:251681792;v-text-anchor:middle;mso-width-relative:page;mso-height-relative:page;" filled="f" stroked="f" coordsize="21600,21600" o:gfxdata="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HV3E4nWAAAACQEAAA8AAAAAAAAAAQAgAAAAIgAAAGRycy9kb3du&#10;cmV2LnhtbFBLAQIUABQAAAAIAIdO4kBLT0UOcwIAALIEAAAOAAAAAAAAAAEAIAAAACUBAABkcnMv&#10;ZTJvRG9jLnhtbFBLBQYAAAAABgAGAFkBAAAKBgAAAAA=&#10;" adj="6300,24300">
                <v:fill on="f" focussize="0,0"/>
                <v:stroke on="f" weight="2pt"/>
                <v:imagedata o:title=""/>
                <o:lock v:ext="edit" aspectratio="f"/>
                <v:textbox>
                  <w:txbxContent>
                    <w:p w14:paraId="3A6B49AB">
                      <w:pPr>
                        <w:jc w:val="center"/>
                        <w:rPr>
                          <w:b/>
                          <w:bCs/>
                          <w:color w:val="FF0000"/>
                        </w:rPr>
                      </w:pPr>
                    </w:p>
                  </w:txbxContent>
                </v:textbox>
              </v:shape>
            </w:pict>
          </mc:Fallback>
        </mc:AlternateContent>
      </w:r>
    </w:p>
    <w:p w14:paraId="61FA74D6">
      <w:pPr>
        <w:jc w:val="center"/>
      </w:pPr>
      <w:r>
        <w:rPr>
          <w:sz w:val="21"/>
        </w:rPr>
        <mc:AlternateContent>
          <mc:Choice Requires="wps">
            <w:drawing>
              <wp:anchor distT="0" distB="0" distL="114300" distR="114300" simplePos="0" relativeHeight="251713536" behindDoc="0" locked="0" layoutInCell="1" allowOverlap="1">
                <wp:simplePos x="0" y="0"/>
                <wp:positionH relativeFrom="column">
                  <wp:posOffset>-146050</wp:posOffset>
                </wp:positionH>
                <wp:positionV relativeFrom="paragraph">
                  <wp:posOffset>19685</wp:posOffset>
                </wp:positionV>
                <wp:extent cx="9937750" cy="5365750"/>
                <wp:effectExtent l="12700" t="12700" r="12700" b="12700"/>
                <wp:wrapNone/>
                <wp:docPr id="107" name="矩形 107"/>
                <wp:cNvGraphicFramePr/>
                <a:graphic xmlns:a="http://schemas.openxmlformats.org/drawingml/2006/main">
                  <a:graphicData uri="http://schemas.microsoft.com/office/word/2010/wordprocessingShape">
                    <wps:wsp>
                      <wps:cNvSpPr/>
                      <wps:spPr>
                        <a:xfrm>
                          <a:off x="311150" y="476885"/>
                          <a:ext cx="9937750" cy="536575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5pt;margin-top:1.55pt;height:422.5pt;width:782.5pt;z-index:251713536;v-text-anchor:middle;mso-width-relative:page;mso-height-relative:page;" filled="f" stroked="t" coordsize="21600,21600" o:gfxdata="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ClxrY9kAAAAKAQAADwAAAAAAAAABACAAAAAiAAAAZHJzL2Rvd25yZXYueG1s&#10;UEsBAhQAFAAAAAgAh07iQB4uKtxpAgAAwwQAAA4AAAAAAAAAAQAgAAAAKAEAAGRycy9lMm9Eb2Mu&#10;eG1sUEsFBgAAAAAGAAYAWQEAAAMGAAAAAA==&#10;">
                <v:fill on="f" focussize="0,0"/>
                <v:stroke weight="2pt" color="#000000 [3213]" joinstyle="round"/>
                <v:imagedata o:title=""/>
                <o:lock v:ext="edit" aspectratio="f"/>
              </v:rect>
            </w:pict>
          </mc:Fallback>
        </mc:AlternateContent>
      </w:r>
      <w:r>
        <w:drawing>
          <wp:anchor distT="0" distB="0" distL="114300" distR="114300" simplePos="0" relativeHeight="251712512" behindDoc="0" locked="0" layoutInCell="1" allowOverlap="1">
            <wp:simplePos x="0" y="0"/>
            <wp:positionH relativeFrom="column">
              <wp:posOffset>-63500</wp:posOffset>
            </wp:positionH>
            <wp:positionV relativeFrom="paragraph">
              <wp:posOffset>4780915</wp:posOffset>
            </wp:positionV>
            <wp:extent cx="1734820" cy="342900"/>
            <wp:effectExtent l="0" t="0" r="17780" b="0"/>
            <wp:wrapNone/>
            <wp:docPr id="1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
                    <pic:cNvPicPr>
                      <a:picLocks noChangeAspect="1"/>
                    </pic:cNvPicPr>
                  </pic:nvPicPr>
                  <pic:blipFill>
                    <a:blip r:embed="rId54"/>
                    <a:stretch>
                      <a:fillRect/>
                    </a:stretch>
                  </pic:blipFill>
                  <pic:spPr>
                    <a:xfrm>
                      <a:off x="0" y="0"/>
                      <a:ext cx="1734820" cy="342900"/>
                    </a:xfrm>
                    <a:prstGeom prst="rect">
                      <a:avLst/>
                    </a:prstGeom>
                    <a:noFill/>
                    <a:ln>
                      <a:noFill/>
                    </a:ln>
                  </pic:spPr>
                </pic:pic>
              </a:graphicData>
            </a:graphic>
          </wp:anchor>
        </w:drawing>
      </w:r>
      <w:r>
        <mc:AlternateContent>
          <mc:Choice Requires="wps">
            <w:drawing>
              <wp:anchor distT="0" distB="0" distL="114300" distR="114300" simplePos="0" relativeHeight="251710464" behindDoc="0" locked="0" layoutInCell="1" allowOverlap="1">
                <wp:simplePos x="0" y="0"/>
                <wp:positionH relativeFrom="column">
                  <wp:posOffset>3350260</wp:posOffset>
                </wp:positionH>
                <wp:positionV relativeFrom="paragraph">
                  <wp:posOffset>5484495</wp:posOffset>
                </wp:positionV>
                <wp:extent cx="3351530" cy="487680"/>
                <wp:effectExtent l="0" t="0" r="1270" b="7620"/>
                <wp:wrapNone/>
                <wp:docPr id="109" name="文本框 109"/>
                <wp:cNvGraphicFramePr/>
                <a:graphic xmlns:a="http://schemas.openxmlformats.org/drawingml/2006/main">
                  <a:graphicData uri="http://schemas.microsoft.com/office/word/2010/wordprocessingShape">
                    <wps:wsp>
                      <wps:cNvSpPr txBox="1"/>
                      <wps:spPr>
                        <a:xfrm>
                          <a:off x="0" y="0"/>
                          <a:ext cx="3351530" cy="487680"/>
                        </a:xfrm>
                        <a:prstGeom prst="rect">
                          <a:avLst/>
                        </a:prstGeom>
                        <a:solidFill>
                          <a:srgbClr val="FFFFFF"/>
                        </a:solidFill>
                        <a:ln>
                          <a:noFill/>
                        </a:ln>
                      </wps:spPr>
                      <wps:txbx>
                        <w:txbxContent>
                          <w:p w14:paraId="2320F71B">
                            <w:pPr>
                              <w:jc w:val="center"/>
                              <w:rPr>
                                <w:rFonts w:hint="eastAsia" w:eastAsiaTheme="minorEastAsia"/>
                                <w:b/>
                                <w:bCs/>
                                <w:sz w:val="32"/>
                                <w:szCs w:val="32"/>
                                <w:lang w:eastAsia="zh-CN"/>
                              </w:rPr>
                            </w:pPr>
                            <w:r>
                              <w:rPr>
                                <w:rFonts w:hint="eastAsia"/>
                                <w:b/>
                                <w:bCs/>
                                <w:sz w:val="32"/>
                                <w:szCs w:val="32"/>
                              </w:rPr>
                              <w:t>附图2</w:t>
                            </w:r>
                            <w:r>
                              <w:rPr>
                                <w:b/>
                                <w:bCs/>
                                <w:sz w:val="32"/>
                                <w:szCs w:val="32"/>
                              </w:rPr>
                              <w:t>-</w:t>
                            </w:r>
                            <w:r>
                              <w:rPr>
                                <w:rFonts w:hint="eastAsia"/>
                                <w:b/>
                                <w:bCs/>
                                <w:sz w:val="32"/>
                                <w:szCs w:val="32"/>
                                <w:lang w:val="en-US" w:eastAsia="zh-CN"/>
                              </w:rPr>
                              <w:t>3（1）</w:t>
                            </w:r>
                            <w:r>
                              <w:rPr>
                                <w:b/>
                                <w:bCs/>
                                <w:sz w:val="32"/>
                                <w:szCs w:val="32"/>
                              </w:rPr>
                              <w:t xml:space="preserve"> </w:t>
                            </w:r>
                            <w:r>
                              <w:rPr>
                                <w:rFonts w:hint="eastAsia"/>
                                <w:b/>
                                <w:bCs/>
                                <w:sz w:val="32"/>
                                <w:szCs w:val="32"/>
                                <w:lang w:val="en-US" w:eastAsia="zh-CN"/>
                              </w:rPr>
                              <w:t>全厂</w:t>
                            </w:r>
                            <w:r>
                              <w:rPr>
                                <w:rFonts w:hint="eastAsia"/>
                                <w:b/>
                                <w:bCs/>
                                <w:sz w:val="32"/>
                                <w:szCs w:val="32"/>
                              </w:rPr>
                              <w:t>平面布置图</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263.8pt;margin-top:431.85pt;height:38.4pt;width:263.9pt;z-index:251710464;mso-width-relative:page;mso-height-relative:margin;mso-height-percent:200;" fillcolor="#FFFFFF" filled="t" stroked="f" coordsize="21600,21600" o:gfxdata="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mSMUAtsAAAAMAQAADwAAAAAAAAABACAA&#10;AAAiAAAAZHJzL2Rvd25yZXYueG1sUEsBAhQAFAAAAAgAh07iQFmb147RAQAAlQMAAA4AAAAAAAAA&#10;AQAgAAAAKgEAAGRycy9lMm9Eb2MueG1sUEsFBgAAAAAGAAYAWQEAAG0FAAAAAA==&#10;">
                <v:fill on="t" focussize="0,0"/>
                <v:stroke on="f"/>
                <v:imagedata o:title=""/>
                <o:lock v:ext="edit" aspectratio="f"/>
                <v:textbox style="mso-fit-shape-to-text:t;">
                  <w:txbxContent>
                    <w:p w14:paraId="2320F71B">
                      <w:pPr>
                        <w:jc w:val="center"/>
                        <w:rPr>
                          <w:rFonts w:hint="eastAsia" w:eastAsiaTheme="minorEastAsia"/>
                          <w:b/>
                          <w:bCs/>
                          <w:sz w:val="32"/>
                          <w:szCs w:val="32"/>
                          <w:lang w:eastAsia="zh-CN"/>
                        </w:rPr>
                      </w:pPr>
                      <w:r>
                        <w:rPr>
                          <w:rFonts w:hint="eastAsia"/>
                          <w:b/>
                          <w:bCs/>
                          <w:sz w:val="32"/>
                          <w:szCs w:val="32"/>
                        </w:rPr>
                        <w:t>附图2</w:t>
                      </w:r>
                      <w:r>
                        <w:rPr>
                          <w:b/>
                          <w:bCs/>
                          <w:sz w:val="32"/>
                          <w:szCs w:val="32"/>
                        </w:rPr>
                        <w:t>-</w:t>
                      </w:r>
                      <w:r>
                        <w:rPr>
                          <w:rFonts w:hint="eastAsia"/>
                          <w:b/>
                          <w:bCs/>
                          <w:sz w:val="32"/>
                          <w:szCs w:val="32"/>
                          <w:lang w:val="en-US" w:eastAsia="zh-CN"/>
                        </w:rPr>
                        <w:t>3（1）</w:t>
                      </w:r>
                      <w:r>
                        <w:rPr>
                          <w:b/>
                          <w:bCs/>
                          <w:sz w:val="32"/>
                          <w:szCs w:val="32"/>
                        </w:rPr>
                        <w:t xml:space="preserve"> </w:t>
                      </w:r>
                      <w:r>
                        <w:rPr>
                          <w:rFonts w:hint="eastAsia"/>
                          <w:b/>
                          <w:bCs/>
                          <w:sz w:val="32"/>
                          <w:szCs w:val="32"/>
                          <w:lang w:val="en-US" w:eastAsia="zh-CN"/>
                        </w:rPr>
                        <w:t>全厂</w:t>
                      </w:r>
                      <w:r>
                        <w:rPr>
                          <w:rFonts w:hint="eastAsia"/>
                          <w:b/>
                          <w:bCs/>
                          <w:sz w:val="32"/>
                          <w:szCs w:val="32"/>
                        </w:rPr>
                        <w:t>平面布置图</w:t>
                      </w:r>
                    </w:p>
                  </w:txbxContent>
                </v:textbox>
              </v:shape>
            </w:pict>
          </mc:Fallback>
        </mc:AlternateContent>
      </w:r>
      <w:r>
        <w:drawing>
          <wp:anchor distT="0" distB="0" distL="114300" distR="114300" simplePos="0" relativeHeight="251711488" behindDoc="0" locked="0" layoutInCell="1" allowOverlap="1">
            <wp:simplePos x="0" y="0"/>
            <wp:positionH relativeFrom="column">
              <wp:posOffset>33655</wp:posOffset>
            </wp:positionH>
            <wp:positionV relativeFrom="paragraph">
              <wp:posOffset>5080</wp:posOffset>
            </wp:positionV>
            <wp:extent cx="946150" cy="865505"/>
            <wp:effectExtent l="0" t="0" r="6350" b="10795"/>
            <wp:wrapNone/>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46150" cy="865505"/>
                    </a:xfrm>
                    <a:prstGeom prst="rect">
                      <a:avLst/>
                    </a:prstGeom>
                  </pic:spPr>
                </pic:pic>
              </a:graphicData>
            </a:graphic>
          </wp:anchor>
        </w:drawing>
      </w:r>
      <w:r>
        <w:object>
          <v:shape id="_x0000_i1039" o:spt="75" type="#_x0000_t75" style="height:356.7pt;width:766.9pt;" o:ole="t" filled="f" o:preferrelative="t" stroked="f" coordsize="21600,21600">
            <v:path/>
            <v:fill on="f" focussize="0,0"/>
            <v:stroke on="f"/>
            <v:imagedata r:id="rId56" o:title=""/>
            <o:lock v:ext="edit" aspectratio="f"/>
            <w10:wrap type="none"/>
            <w10:anchorlock/>
          </v:shape>
          <o:OLEObject Type="Embed" ProgID="Visio.Drawing.15" ShapeID="_x0000_i1039" DrawAspect="Content" ObjectID="_1468075731" r:id="rId55">
            <o:LockedField>false</o:LockedField>
          </o:OLEObject>
        </w:object>
      </w:r>
    </w:p>
    <w:p w14:paraId="00E32D18">
      <w:pPr>
        <w:jc w:val="center"/>
        <w:sectPr>
          <w:pgSz w:w="16838" w:h="11906" w:orient="landscape"/>
          <w:pgMar w:top="720" w:right="720" w:bottom="720" w:left="720" w:header="851" w:footer="992" w:gutter="0"/>
          <w:cols w:space="425" w:num="1"/>
          <w:docGrid w:type="lines" w:linePitch="312" w:charSpace="0"/>
        </w:sectPr>
      </w:pPr>
    </w:p>
    <w:p w14:paraId="327C11D4">
      <w:pPr>
        <w:jc w:val="center"/>
      </w:pPr>
      <w:r>
        <w:drawing>
          <wp:anchor distT="0" distB="0" distL="114300" distR="114300" simplePos="0" relativeHeight="251707392" behindDoc="0" locked="0" layoutInCell="1" allowOverlap="1">
            <wp:simplePos x="0" y="0"/>
            <wp:positionH relativeFrom="column">
              <wp:posOffset>33655</wp:posOffset>
            </wp:positionH>
            <wp:positionV relativeFrom="paragraph">
              <wp:posOffset>113665</wp:posOffset>
            </wp:positionV>
            <wp:extent cx="946150" cy="865505"/>
            <wp:effectExtent l="0" t="0" r="6350" b="10795"/>
            <wp:wrapNone/>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46150" cy="865505"/>
                    </a:xfrm>
                    <a:prstGeom prst="rect">
                      <a:avLst/>
                    </a:prstGeom>
                  </pic:spPr>
                </pic:pic>
              </a:graphicData>
            </a:graphic>
          </wp:anchor>
        </w:drawing>
      </w:r>
      <w:r>
        <w:object>
          <v:shape id="_x0000_i1040" o:spt="75" alt="" type="#_x0000_t75" style="height:508.2pt;width:477.7pt;" o:ole="t" filled="f" o:preferrelative="t" stroked="t" coordsize="21600,21600">
            <v:path/>
            <v:fill on="f" focussize="0,0"/>
            <v:stroke color="#000000" joinstyle="miter"/>
            <v:imagedata r:id="rId58" o:title=""/>
            <o:lock v:ext="edit" aspectratio="f"/>
            <w10:wrap type="none"/>
            <w10:anchorlock/>
          </v:shape>
          <o:OLEObject Type="Embed" ProgID="Visio.Drawing.15" ShapeID="_x0000_i1040" DrawAspect="Content" ObjectID="_1468075732" r:id="rId57">
            <o:LockedField>false</o:LockedField>
          </o:OLEObject>
        </w:object>
      </w:r>
    </w:p>
    <w:p w14:paraId="2284D610">
      <w:pPr>
        <w:jc w:val="center"/>
      </w:pPr>
    </w:p>
    <w:p w14:paraId="65B093E2">
      <w:r>
        <mc:AlternateContent>
          <mc:Choice Requires="wps">
            <w:drawing>
              <wp:anchor distT="0" distB="0" distL="114300" distR="114300" simplePos="0" relativeHeight="251708416" behindDoc="0" locked="0" layoutInCell="1" allowOverlap="1">
                <wp:simplePos x="0" y="0"/>
                <wp:positionH relativeFrom="column">
                  <wp:posOffset>1247775</wp:posOffset>
                </wp:positionH>
                <wp:positionV relativeFrom="paragraph">
                  <wp:posOffset>948055</wp:posOffset>
                </wp:positionV>
                <wp:extent cx="4385310" cy="487680"/>
                <wp:effectExtent l="0" t="0" r="15240" b="7620"/>
                <wp:wrapNone/>
                <wp:docPr id="112" name="文本框 112"/>
                <wp:cNvGraphicFramePr/>
                <a:graphic xmlns:a="http://schemas.openxmlformats.org/drawingml/2006/main">
                  <a:graphicData uri="http://schemas.microsoft.com/office/word/2010/wordprocessingShape">
                    <wps:wsp>
                      <wps:cNvSpPr txBox="1"/>
                      <wps:spPr>
                        <a:xfrm>
                          <a:off x="0" y="0"/>
                          <a:ext cx="4385310" cy="487680"/>
                        </a:xfrm>
                        <a:prstGeom prst="rect">
                          <a:avLst/>
                        </a:prstGeom>
                        <a:solidFill>
                          <a:srgbClr val="FFFFFF"/>
                        </a:solidFill>
                        <a:ln>
                          <a:noFill/>
                        </a:ln>
                      </wps:spPr>
                      <wps:txbx>
                        <w:txbxContent>
                          <w:p w14:paraId="7BAA8E1A">
                            <w:pPr>
                              <w:jc w:val="center"/>
                              <w:rPr>
                                <w:rFonts w:hint="eastAsia" w:eastAsiaTheme="minorEastAsia"/>
                                <w:b/>
                                <w:bCs/>
                                <w:sz w:val="32"/>
                                <w:szCs w:val="32"/>
                                <w:lang w:eastAsia="zh-CN"/>
                              </w:rPr>
                            </w:pPr>
                            <w:r>
                              <w:rPr>
                                <w:rFonts w:hint="eastAsia"/>
                                <w:b/>
                                <w:bCs/>
                                <w:sz w:val="32"/>
                                <w:szCs w:val="32"/>
                              </w:rPr>
                              <w:t>附图2</w:t>
                            </w:r>
                            <w:r>
                              <w:rPr>
                                <w:b/>
                                <w:bCs/>
                                <w:sz w:val="32"/>
                                <w:szCs w:val="32"/>
                              </w:rPr>
                              <w:t>-</w:t>
                            </w:r>
                            <w:r>
                              <w:rPr>
                                <w:rFonts w:hint="eastAsia"/>
                                <w:b/>
                                <w:bCs/>
                                <w:sz w:val="32"/>
                                <w:szCs w:val="32"/>
                                <w:lang w:val="en-US" w:eastAsia="zh-CN"/>
                              </w:rPr>
                              <w:t>3（2）</w:t>
                            </w:r>
                            <w:r>
                              <w:rPr>
                                <w:b/>
                                <w:bCs/>
                                <w:sz w:val="32"/>
                                <w:szCs w:val="32"/>
                              </w:rPr>
                              <w:t xml:space="preserve"> </w:t>
                            </w:r>
                            <w:r>
                              <w:rPr>
                                <w:rFonts w:hint="eastAsia"/>
                                <w:b/>
                                <w:bCs/>
                                <w:sz w:val="32"/>
                                <w:szCs w:val="32"/>
                              </w:rPr>
                              <w:t>项目平面布置图</w:t>
                            </w:r>
                            <w:r>
                              <w:rPr>
                                <w:rFonts w:hint="eastAsia"/>
                                <w:b/>
                                <w:bCs/>
                                <w:sz w:val="32"/>
                                <w:szCs w:val="32"/>
                                <w:lang w:eastAsia="zh-CN"/>
                              </w:rPr>
                              <w:t>（</w:t>
                            </w:r>
                            <w:r>
                              <w:rPr>
                                <w:rFonts w:hint="eastAsia"/>
                                <w:b/>
                                <w:bCs/>
                                <w:sz w:val="32"/>
                                <w:szCs w:val="32"/>
                                <w:lang w:val="en-US" w:eastAsia="zh-CN"/>
                              </w:rPr>
                              <w:t>局部放大图</w:t>
                            </w:r>
                            <w:r>
                              <w:rPr>
                                <w:rFonts w:hint="eastAsia"/>
                                <w:b/>
                                <w:bCs/>
                                <w:sz w:val="32"/>
                                <w:szCs w:val="32"/>
                                <w:lang w:eastAsia="zh-CN"/>
                              </w:rPr>
                              <w:t>）</w:t>
                            </w:r>
                          </w:p>
                        </w:txbxContent>
                      </wps:txbx>
                      <wps:bodyPr wrap="square" upright="1">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98.25pt;margin-top:74.65pt;height:38.4pt;width:345.3pt;z-index:251708416;mso-width-relative:page;mso-height-relative:margin;mso-height-percent:200;" fillcolor="#FFFFFF" filled="t" stroked="f" coordsize="21600,21600" o:gfxdata="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JcEyZfZAAAACwEAAA8AAAAA&#10;AAAAAQAgAAAAIgAAAGRycy9kb3ducmV2LnhtbFBLAQIUABQAAAAIAIdO4kDy7pRL2gEAAKMDAAAO&#10;AAAAAAAAAAEAIAAAACgBAABkcnMvZTJvRG9jLnhtbFBLBQYAAAAABgAGAFkBAAB0BQAAAAA=&#10;">
                <v:fill on="t" focussize="0,0"/>
                <v:stroke on="f"/>
                <v:imagedata o:title=""/>
                <o:lock v:ext="edit" aspectratio="f"/>
                <v:textbox style="mso-fit-shape-to-text:t;">
                  <w:txbxContent>
                    <w:p w14:paraId="7BAA8E1A">
                      <w:pPr>
                        <w:jc w:val="center"/>
                        <w:rPr>
                          <w:rFonts w:hint="eastAsia" w:eastAsiaTheme="minorEastAsia"/>
                          <w:b/>
                          <w:bCs/>
                          <w:sz w:val="32"/>
                          <w:szCs w:val="32"/>
                          <w:lang w:eastAsia="zh-CN"/>
                        </w:rPr>
                      </w:pPr>
                      <w:r>
                        <w:rPr>
                          <w:rFonts w:hint="eastAsia"/>
                          <w:b/>
                          <w:bCs/>
                          <w:sz w:val="32"/>
                          <w:szCs w:val="32"/>
                        </w:rPr>
                        <w:t>附图2</w:t>
                      </w:r>
                      <w:r>
                        <w:rPr>
                          <w:b/>
                          <w:bCs/>
                          <w:sz w:val="32"/>
                          <w:szCs w:val="32"/>
                        </w:rPr>
                        <w:t>-</w:t>
                      </w:r>
                      <w:r>
                        <w:rPr>
                          <w:rFonts w:hint="eastAsia"/>
                          <w:b/>
                          <w:bCs/>
                          <w:sz w:val="32"/>
                          <w:szCs w:val="32"/>
                          <w:lang w:val="en-US" w:eastAsia="zh-CN"/>
                        </w:rPr>
                        <w:t>3（2）</w:t>
                      </w:r>
                      <w:r>
                        <w:rPr>
                          <w:b/>
                          <w:bCs/>
                          <w:sz w:val="32"/>
                          <w:szCs w:val="32"/>
                        </w:rPr>
                        <w:t xml:space="preserve"> </w:t>
                      </w:r>
                      <w:r>
                        <w:rPr>
                          <w:rFonts w:hint="eastAsia"/>
                          <w:b/>
                          <w:bCs/>
                          <w:sz w:val="32"/>
                          <w:szCs w:val="32"/>
                        </w:rPr>
                        <w:t>项目平面布置图</w:t>
                      </w:r>
                      <w:r>
                        <w:rPr>
                          <w:rFonts w:hint="eastAsia"/>
                          <w:b/>
                          <w:bCs/>
                          <w:sz w:val="32"/>
                          <w:szCs w:val="32"/>
                          <w:lang w:eastAsia="zh-CN"/>
                        </w:rPr>
                        <w:t>（</w:t>
                      </w:r>
                      <w:r>
                        <w:rPr>
                          <w:rFonts w:hint="eastAsia"/>
                          <w:b/>
                          <w:bCs/>
                          <w:sz w:val="32"/>
                          <w:szCs w:val="32"/>
                          <w:lang w:val="en-US" w:eastAsia="zh-CN"/>
                        </w:rPr>
                        <w:t>局部放大图</w:t>
                      </w:r>
                      <w:r>
                        <w:rPr>
                          <w:rFonts w:hint="eastAsia"/>
                          <w:b/>
                          <w:bCs/>
                          <w:sz w:val="32"/>
                          <w:szCs w:val="32"/>
                          <w:lang w:eastAsia="zh-CN"/>
                        </w:rPr>
                        <w:t>）</w:t>
                      </w:r>
                    </w:p>
                  </w:txbxContent>
                </v:textbox>
              </v:shape>
            </w:pict>
          </mc:Fallback>
        </mc:AlternateContent>
      </w:r>
      <w:r>
        <w:drawing>
          <wp:anchor distT="0" distB="0" distL="114300" distR="114300" simplePos="0" relativeHeight="251709440" behindDoc="0" locked="0" layoutInCell="1" allowOverlap="1">
            <wp:simplePos x="0" y="0"/>
            <wp:positionH relativeFrom="column">
              <wp:posOffset>-191135</wp:posOffset>
            </wp:positionH>
            <wp:positionV relativeFrom="paragraph">
              <wp:posOffset>94615</wp:posOffset>
            </wp:positionV>
            <wp:extent cx="2879725" cy="571500"/>
            <wp:effectExtent l="0" t="0" r="15875" b="0"/>
            <wp:wrapNone/>
            <wp:docPr id="1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
                    <pic:cNvPicPr>
                      <a:picLocks noChangeAspect="1"/>
                    </pic:cNvPicPr>
                  </pic:nvPicPr>
                  <pic:blipFill>
                    <a:blip r:embed="rId54"/>
                    <a:stretch>
                      <a:fillRect/>
                    </a:stretch>
                  </pic:blipFill>
                  <pic:spPr>
                    <a:xfrm>
                      <a:off x="0" y="0"/>
                      <a:ext cx="2879725" cy="571500"/>
                    </a:xfrm>
                    <a:prstGeom prst="rect">
                      <a:avLst/>
                    </a:prstGeom>
                    <a:noFill/>
                    <a:ln>
                      <a:noFill/>
                    </a:ln>
                  </pic:spPr>
                </pic:pic>
              </a:graphicData>
            </a:graphic>
          </wp:anchor>
        </w:drawing>
      </w:r>
    </w:p>
    <w:p w14:paraId="12C10E75">
      <w:pPr>
        <w:pStyle w:val="200"/>
        <w:spacing w:before="192" w:beforeLines="80" w:after="24" w:line="420" w:lineRule="exact"/>
        <w:jc w:val="left"/>
        <w:rPr>
          <w:rFonts w:hint="eastAsia" w:ascii="Times New Roman" w:cs="Times New Roman"/>
          <w:snapToGrid w:val="0"/>
          <w:color w:val="auto"/>
          <w:spacing w:val="-6"/>
          <w:kern w:val="21"/>
          <w:szCs w:val="21"/>
          <w:lang w:eastAsia="zh-CN"/>
        </w:rPr>
      </w:pPr>
    </w:p>
    <w:p w14:paraId="372FC135">
      <w:pPr>
        <w:pStyle w:val="200"/>
        <w:spacing w:before="192" w:beforeLines="80" w:after="24" w:line="420" w:lineRule="exact"/>
        <w:jc w:val="left"/>
        <w:rPr>
          <w:rFonts w:hint="eastAsia" w:ascii="Times New Roman" w:cs="Times New Roman"/>
          <w:snapToGrid w:val="0"/>
          <w:color w:val="auto"/>
          <w:spacing w:val="-6"/>
          <w:kern w:val="21"/>
          <w:szCs w:val="21"/>
          <w:lang w:eastAsia="zh-CN"/>
        </w:rPr>
      </w:pPr>
    </w:p>
    <w:p w14:paraId="29310298">
      <w:pPr>
        <w:pStyle w:val="200"/>
        <w:spacing w:before="192" w:beforeLines="80" w:after="24" w:line="420" w:lineRule="exact"/>
        <w:jc w:val="left"/>
        <w:rPr>
          <w:rFonts w:hint="eastAsia" w:ascii="Times New Roman" w:cs="Times New Roman"/>
          <w:snapToGrid w:val="0"/>
          <w:color w:val="auto"/>
          <w:spacing w:val="-6"/>
          <w:kern w:val="21"/>
          <w:szCs w:val="21"/>
          <w:lang w:eastAsia="zh-CN"/>
        </w:rPr>
      </w:pPr>
    </w:p>
    <w:p w14:paraId="37F44553">
      <w:pPr>
        <w:pStyle w:val="200"/>
        <w:spacing w:before="192" w:beforeLines="80" w:after="24" w:line="420" w:lineRule="exact"/>
        <w:jc w:val="left"/>
        <w:rPr>
          <w:rFonts w:hint="eastAsia" w:ascii="Times New Roman" w:cs="Times New Roman"/>
          <w:snapToGrid w:val="0"/>
          <w:color w:val="auto"/>
          <w:spacing w:val="-6"/>
          <w:kern w:val="21"/>
          <w:szCs w:val="21"/>
          <w:lang w:eastAsia="zh-CN"/>
        </w:rPr>
      </w:pPr>
    </w:p>
    <w:p w14:paraId="4A723058">
      <w:pPr>
        <w:jc w:val="center"/>
        <w:rPr>
          <w:rFonts w:hint="eastAsia" w:eastAsiaTheme="minorEastAsia"/>
          <w:lang w:eastAsia="zh-CN"/>
        </w:rPr>
      </w:pPr>
      <w:r>
        <w:rPr>
          <w:rFonts w:hint="eastAsia" w:eastAsiaTheme="minorEastAsia"/>
          <w:lang w:eastAsia="zh-CN"/>
        </w:rPr>
        <w:drawing>
          <wp:inline distT="0" distB="0" distL="114300" distR="114300">
            <wp:extent cx="3022600" cy="4024630"/>
            <wp:effectExtent l="0" t="0" r="6350" b="13970"/>
            <wp:docPr id="114" name="图片 114" descr="9d6dfdaab551d5b793071469ae2b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9d6dfdaab551d5b793071469ae2b819"/>
                    <pic:cNvPicPr>
                      <a:picLocks noChangeAspect="1"/>
                    </pic:cNvPicPr>
                  </pic:nvPicPr>
                  <pic:blipFill>
                    <a:blip r:embed="rId59"/>
                    <a:stretch>
                      <a:fillRect/>
                    </a:stretch>
                  </pic:blipFill>
                  <pic:spPr>
                    <a:xfrm>
                      <a:off x="0" y="0"/>
                      <a:ext cx="3022600" cy="4024630"/>
                    </a:xfrm>
                    <a:prstGeom prst="rect">
                      <a:avLst/>
                    </a:prstGeom>
                  </pic:spPr>
                </pic:pic>
              </a:graphicData>
            </a:graphic>
          </wp:inline>
        </w:drawing>
      </w:r>
    </w:p>
    <w:p w14:paraId="6E723833">
      <w:pPr>
        <w:jc w:val="center"/>
        <w:rPr>
          <w:rFonts w:hint="default" w:eastAsiaTheme="minorEastAsia"/>
          <w:b/>
          <w:bCs/>
          <w:sz w:val="24"/>
          <w:szCs w:val="32"/>
          <w:lang w:val="en-US" w:eastAsia="zh-CN"/>
        </w:rPr>
      </w:pPr>
      <w:r>
        <w:rPr>
          <w:rFonts w:hint="eastAsia"/>
          <w:b/>
          <w:bCs/>
          <w:sz w:val="24"/>
          <w:szCs w:val="32"/>
          <w:lang w:val="en-US" w:eastAsia="zh-CN"/>
        </w:rPr>
        <w:t>工程师现场照片</w:t>
      </w:r>
    </w:p>
    <w:p w14:paraId="24576B34">
      <w:pPr>
        <w:pStyle w:val="200"/>
        <w:spacing w:before="192" w:beforeLines="80" w:after="24" w:line="420" w:lineRule="exact"/>
        <w:jc w:val="left"/>
        <w:rPr>
          <w:rFonts w:hint="eastAsia" w:eastAsia="宋体"/>
          <w:lang w:eastAsia="zh-CN"/>
        </w:rPr>
      </w:pPr>
      <w:bookmarkStart w:id="339" w:name="_GoBack"/>
      <w:bookmarkEnd w:id="339"/>
    </w:p>
    <w:sectPr>
      <w:pgSz w:w="11906" w:h="16838"/>
      <w:pgMar w:top="1701" w:right="1531" w:bottom="1701" w:left="1531" w:header="851" w:footer="850" w:gutter="0"/>
      <w:paperSrc/>
      <w:pgBorders>
        <w:top w:val="none" w:sz="0" w:space="0"/>
        <w:left w:val="none" w:sz="0" w:space="0"/>
        <w:bottom w:val="none" w:sz="0" w:space="0"/>
        <w:right w:val="none" w:sz="0" w:space="0"/>
      </w:pgBorders>
      <w:pgNumType w:fmt="decimal"/>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楷体_GB2312">
    <w:panose1 w:val="02010609030101010101"/>
    <w:charset w:val="86"/>
    <w:family w:val="modern"/>
    <w:pitch w:val="default"/>
    <w:sig w:usb0="00000001" w:usb1="080E0000" w:usb2="00000000" w:usb3="00000000" w:csb0="00040000" w:csb1="00000000"/>
  </w:font>
  <w:font w:name="Arial Black">
    <w:panose1 w:val="020B0A04020102020204"/>
    <w:charset w:val="00"/>
    <w:family w:val="swiss"/>
    <w:pitch w:val="default"/>
    <w:sig w:usb0="A00002AF" w:usb1="400078FB" w:usb2="00000000" w:usb3="00000000" w:csb0="6000009F" w:csb1="DFD70000"/>
  </w:font>
  <w:font w:name="微软雅黑">
    <w:panose1 w:val="020B0503020204020204"/>
    <w:charset w:val="86"/>
    <w:family w:val="swiss"/>
    <w:pitch w:val="default"/>
    <w:sig w:usb0="80000287" w:usb1="2ACF3C50" w:usb2="00000016" w:usb3="00000000" w:csb0="0004001F" w:csb1="00000000"/>
  </w:font>
  <w:font w:name="TimesNewRomanPS-ItalicMT">
    <w:altName w:val="Times New Roman"/>
    <w:panose1 w:val="00000000000000000000"/>
    <w:charset w:val="00"/>
    <w:family w:val="roman"/>
    <w:pitch w:val="default"/>
    <w:sig w:usb0="00000000" w:usb1="00000000" w:usb2="00000000" w:usb3="00000000" w:csb0="00040001" w:csb1="00000000"/>
  </w:font>
  <w:font w:name="Calibri Light">
    <w:panose1 w:val="020F0302020204030204"/>
    <w:charset w:val="00"/>
    <w:family w:val="swiss"/>
    <w:pitch w:val="default"/>
    <w:sig w:usb0="E4002EFF" w:usb1="C000247B" w:usb2="00000009" w:usb3="00000000" w:csb0="200001FF" w:csb1="00000000"/>
  </w:font>
  <w:font w:name="宋体-方正超大字符集">
    <w:altName w:val="宋体"/>
    <w:panose1 w:val="00000000000000000000"/>
    <w:charset w:val="86"/>
    <w:family w:val="script"/>
    <w:pitch w:val="default"/>
    <w:sig w:usb0="00000000" w:usb1="00000000" w:usb2="00000010" w:usb3="00000000" w:csb0="00040000" w:csb1="00000000"/>
  </w:font>
  <w:font w:name="Arial Unicode MS">
    <w:panose1 w:val="020B0604020202020204"/>
    <w:charset w:val="86"/>
    <w:family w:val="swiss"/>
    <w:pitch w:val="default"/>
    <w:sig w:usb0="FFFFFFFF" w:usb1="E9FFFFFF" w:usb2="0000003F" w:usb3="00000000" w:csb0="603F01FF" w:csb1="FFFF0000"/>
  </w:font>
  <w:font w:name="华文细黑">
    <w:panose1 w:val="02010600040101010101"/>
    <w:charset w:val="86"/>
    <w:family w:val="auto"/>
    <w:pitch w:val="default"/>
    <w:sig w:usb0="00000287" w:usb1="080F0000" w:usb2="00000000" w:usb3="00000000" w:csb0="0004009F" w:csb1="DFD70000"/>
  </w:font>
  <w:font w:name="MS Mincho">
    <w:altName w:val="Yu Gothic UI"/>
    <w:panose1 w:val="02020609040205080304"/>
    <w:charset w:val="80"/>
    <w:family w:val="modern"/>
    <w:pitch w:val="default"/>
    <w:sig w:usb0="00000000" w:usb1="00000000" w:usb2="00000010" w:usb3="00000000" w:csb0="4002009F" w:csb1="DFD70000"/>
  </w:font>
  <w:font w:name="Yu Gothic UI">
    <w:panose1 w:val="020B0500000000000000"/>
    <w:charset w:val="80"/>
    <w:family w:val="auto"/>
    <w:pitch w:val="default"/>
    <w:sig w:usb0="E00002FF" w:usb1="2AC7FDFF" w:usb2="00000016" w:usb3="00000000" w:csb0="2002009F" w:csb1="00000000"/>
  </w:font>
  <w:font w:name="Verdana">
    <w:panose1 w:val="020B0604030504040204"/>
    <w:charset w:val="00"/>
    <w:family w:val="swiss"/>
    <w:pitch w:val="default"/>
    <w:sig w:usb0="A0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华文中宋">
    <w:panose1 w:val="02010600040101010101"/>
    <w:charset w:val="86"/>
    <w:family w:val="auto"/>
    <w:pitch w:val="default"/>
    <w:sig w:usb0="00000287" w:usb1="080F0000" w:usb2="00000000" w:usb3="00000000" w:csb0="0004009F" w:csb1="DFD70000"/>
  </w:font>
  <w:font w:name="”“Times New Roman”“">
    <w:altName w:val="宋体"/>
    <w:panose1 w:val="00000000000000000000"/>
    <w:charset w:val="86"/>
    <w:family w:val="roman"/>
    <w:pitch w:val="default"/>
    <w:sig w:usb0="00000000" w:usb1="00000000" w:usb2="00000010" w:usb3="00000000" w:csb0="00040000" w:csb1="00000000"/>
  </w:font>
  <w:font w:name="Sim Sun+ 2">
    <w:altName w:val="宋体"/>
    <w:panose1 w:val="00000000000000000000"/>
    <w:charset w:val="86"/>
    <w:family w:val="swiss"/>
    <w:pitch w:val="default"/>
    <w:sig w:usb0="00000000" w:usb1="00000000" w:usb2="00000010" w:usb3="00000000" w:csb0="00040000" w:csb1="00000000"/>
  </w:font>
  <w:font w:name="Courier">
    <w:panose1 w:val="02060409020205020404"/>
    <w:charset w:val="00"/>
    <w:family w:val="modern"/>
    <w:pitch w:val="default"/>
    <w:sig w:usb0="00000000" w:usb1="00000000" w:usb2="00000000" w:usb3="00000000" w:csb0="00000000" w:csb1="00000000"/>
  </w:font>
  <w:font w:name="PMingLiU">
    <w:altName w:val="PMingLiU-ExtB"/>
    <w:panose1 w:val="02020500000000000000"/>
    <w:charset w:val="88"/>
    <w:family w:val="roma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汉鼎简书宋">
    <w:altName w:val="宋体"/>
    <w:panose1 w:val="00000000000000000000"/>
    <w:charset w:val="86"/>
    <w:family w:val="modern"/>
    <w:pitch w:val="default"/>
    <w:sig w:usb0="00000000" w:usb1="00000000" w:usb2="00000010" w:usb3="00000000" w:csb0="00040000" w:csb1="00000000"/>
  </w:font>
  <w:font w:name="方正宋三简体">
    <w:altName w:val="宋体"/>
    <w:panose1 w:val="00000000000000000000"/>
    <w:charset w:val="86"/>
    <w:family w:val="auto"/>
    <w:pitch w:val="default"/>
    <w:sig w:usb0="00000000" w:usb1="00000000" w:usb2="00000010" w:usb3="00000000" w:csb0="00040000" w:csb1="00000000"/>
  </w:font>
  <w:font w:name="方正仿宋_GBK">
    <w:altName w:val="宋体"/>
    <w:panose1 w:val="00000000000000000000"/>
    <w:charset w:val="86"/>
    <w:family w:val="script"/>
    <w:pitch w:val="default"/>
    <w:sig w:usb0="00000000" w:usb1="00000000" w:usb2="00000010" w:usb3="00000000" w:csb0="00040000" w:csb1="00000000"/>
  </w:font>
  <w:font w:name="Fang Song">
    <w:altName w:val="黑体"/>
    <w:panose1 w:val="00000000000000000000"/>
    <w:charset w:val="86"/>
    <w:family w:val="modern"/>
    <w:pitch w:val="default"/>
    <w:sig w:usb0="00000000" w:usb1="00000000" w:usb2="00000010" w:usb3="00000000" w:csb0="00040000" w:csb1="00000000"/>
  </w:font>
  <w:font w:name="TimesNewRomanPSMT">
    <w:altName w:val="Times New Roman"/>
    <w:panose1 w:val="00000000000000000000"/>
    <w:charset w:val="00"/>
    <w:family w:val="roman"/>
    <w:pitch w:val="default"/>
    <w:sig w:usb0="00000000" w:usb1="00000000" w:usb2="00000000" w:usb3="00000000" w:csb0="00000001" w:csb1="00000000"/>
  </w:font>
  <w:font w:name="等线">
    <w:panose1 w:val="02010600030101010101"/>
    <w:charset w:val="86"/>
    <w:family w:val="auto"/>
    <w:pitch w:val="default"/>
    <w:sig w:usb0="A00002BF" w:usb1="38CF7CFA" w:usb2="00000016" w:usb3="00000000" w:csb0="0004000F" w:csb1="00000000"/>
  </w:font>
  <w:font w:name="方正小标宋_GBK">
    <w:panose1 w:val="03000509000000000000"/>
    <w:charset w:val="86"/>
    <w:family w:val="script"/>
    <w:pitch w:val="default"/>
    <w:sig w:usb0="00000001" w:usb1="080E0000" w:usb2="00000000" w:usb3="00000000" w:csb0="00040000" w:csb1="00000000"/>
  </w:font>
  <w:font w:name="TimesNewRomanPSMT">
    <w:altName w:val="微软雅黑"/>
    <w:panose1 w:val="00000000000000000000"/>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A46B4B">
    <w:pPr>
      <w:pStyle w:val="51"/>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-161925</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C9CEBA">
                          <w:pPr>
                            <w:pStyle w:val="51"/>
                            <w:jc w:val="right"/>
                            <w:rPr>
                              <w:rStyle w:val="90"/>
                              <w:rFonts w:ascii="宋体" w:hAnsi="宋体"/>
                              <w:sz w:val="28"/>
                              <w:szCs w:val="28"/>
                            </w:rPr>
                          </w:pPr>
                          <w:r>
                            <w:rPr>
                              <w:rStyle w:val="90"/>
                              <w:rFonts w:hint="eastAsia" w:ascii="宋体" w:hAnsi="宋体"/>
                              <w:sz w:val="28"/>
                              <w:szCs w:val="28"/>
                            </w:rPr>
                            <w:t>—</w:t>
                          </w:r>
                          <w:r>
                            <w:rPr>
                              <w:rStyle w:val="90"/>
                              <w:rFonts w:hint="eastAsia" w:ascii="宋体" w:hAnsi="宋体"/>
                              <w:sz w:val="20"/>
                            </w:rPr>
                            <w:t xml:space="preserve">  </w:t>
                          </w:r>
                          <w:r>
                            <w:rPr>
                              <w:rFonts w:ascii="宋体" w:hAnsi="宋体"/>
                              <w:sz w:val="26"/>
                              <w:szCs w:val="26"/>
                            </w:rPr>
                            <w:fldChar w:fldCharType="begin"/>
                          </w:r>
                          <w:r>
                            <w:rPr>
                              <w:rStyle w:val="90"/>
                              <w:rFonts w:ascii="宋体" w:hAnsi="宋体"/>
                              <w:sz w:val="26"/>
                              <w:szCs w:val="26"/>
                            </w:rPr>
                            <w:instrText xml:space="preserve">PAGE  </w:instrText>
                          </w:r>
                          <w:r>
                            <w:rPr>
                              <w:rFonts w:ascii="宋体" w:hAnsi="宋体"/>
                              <w:sz w:val="26"/>
                              <w:szCs w:val="26"/>
                            </w:rPr>
                            <w:fldChar w:fldCharType="separate"/>
                          </w:r>
                          <w:r>
                            <w:rPr>
                              <w:rStyle w:val="90"/>
                              <w:rFonts w:ascii="宋体" w:hAnsi="宋体"/>
                              <w:sz w:val="26"/>
                              <w:szCs w:val="26"/>
                            </w:rPr>
                            <w:t>11</w:t>
                          </w:r>
                          <w:r>
                            <w:rPr>
                              <w:rFonts w:ascii="宋体" w:hAnsi="宋体"/>
                              <w:sz w:val="26"/>
                              <w:szCs w:val="26"/>
                            </w:rPr>
                            <w:fldChar w:fldCharType="end"/>
                          </w:r>
                          <w:r>
                            <w:rPr>
                              <w:rStyle w:val="90"/>
                              <w:rFonts w:hint="eastAsia" w:ascii="宋体" w:hAnsi="宋体"/>
                              <w:sz w:val="20"/>
                            </w:rPr>
                            <w:t xml:space="preserve">  </w:t>
                          </w:r>
                          <w:r>
                            <w:rPr>
                              <w:rStyle w:val="90"/>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2.75pt;height:144pt;width:144pt;mso-position-horizontal:center;mso-position-horizontal-relative:margin;mso-wrap-style:none;z-index:251659264;mso-width-relative:page;mso-height-relative:page;" filled="f" stroked="f" coordsize="21600,21600" o:gfxdata="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JF9gNDWAAAACAEAAA8AAAAAAAAAAQAgAAAAIgAAAGRycy9kb3ducmV2LnhtbFBL&#10;AQIUABQAAAAIAIdO4kAwiRJeMQIAAGEEAAAOAAAAAAAAAAEAIAAAACUBAABkcnMvZTJvRG9jLnht&#10;bFBLBQYAAAAABgAGAFkBAADIBQAAAAA=&#10;">
              <v:fill on="f" focussize="0,0"/>
              <v:stroke on="f" weight="0.5pt"/>
              <v:imagedata o:title=""/>
              <o:lock v:ext="edit" aspectratio="f"/>
              <v:textbox inset="0mm,0mm,0mm,0mm" style="mso-fit-shape-to-text:t;">
                <w:txbxContent>
                  <w:p w14:paraId="57C9CEBA">
                    <w:pPr>
                      <w:pStyle w:val="51"/>
                      <w:jc w:val="right"/>
                      <w:rPr>
                        <w:rStyle w:val="90"/>
                        <w:rFonts w:ascii="宋体" w:hAnsi="宋体"/>
                        <w:sz w:val="28"/>
                        <w:szCs w:val="28"/>
                      </w:rPr>
                    </w:pPr>
                    <w:r>
                      <w:rPr>
                        <w:rStyle w:val="90"/>
                        <w:rFonts w:hint="eastAsia" w:ascii="宋体" w:hAnsi="宋体"/>
                        <w:sz w:val="28"/>
                        <w:szCs w:val="28"/>
                      </w:rPr>
                      <w:t>—</w:t>
                    </w:r>
                    <w:r>
                      <w:rPr>
                        <w:rStyle w:val="90"/>
                        <w:rFonts w:hint="eastAsia" w:ascii="宋体" w:hAnsi="宋体"/>
                        <w:sz w:val="20"/>
                      </w:rPr>
                      <w:t xml:space="preserve">  </w:t>
                    </w:r>
                    <w:r>
                      <w:rPr>
                        <w:rFonts w:ascii="宋体" w:hAnsi="宋体"/>
                        <w:sz w:val="26"/>
                        <w:szCs w:val="26"/>
                      </w:rPr>
                      <w:fldChar w:fldCharType="begin"/>
                    </w:r>
                    <w:r>
                      <w:rPr>
                        <w:rStyle w:val="90"/>
                        <w:rFonts w:ascii="宋体" w:hAnsi="宋体"/>
                        <w:sz w:val="26"/>
                        <w:szCs w:val="26"/>
                      </w:rPr>
                      <w:instrText xml:space="preserve">PAGE  </w:instrText>
                    </w:r>
                    <w:r>
                      <w:rPr>
                        <w:rFonts w:ascii="宋体" w:hAnsi="宋体"/>
                        <w:sz w:val="26"/>
                        <w:szCs w:val="26"/>
                      </w:rPr>
                      <w:fldChar w:fldCharType="separate"/>
                    </w:r>
                    <w:r>
                      <w:rPr>
                        <w:rStyle w:val="90"/>
                        <w:rFonts w:ascii="宋体" w:hAnsi="宋体"/>
                        <w:sz w:val="26"/>
                        <w:szCs w:val="26"/>
                      </w:rPr>
                      <w:t>11</w:t>
                    </w:r>
                    <w:r>
                      <w:rPr>
                        <w:rFonts w:ascii="宋体" w:hAnsi="宋体"/>
                        <w:sz w:val="26"/>
                        <w:szCs w:val="26"/>
                      </w:rPr>
                      <w:fldChar w:fldCharType="end"/>
                    </w:r>
                    <w:r>
                      <w:rPr>
                        <w:rStyle w:val="90"/>
                        <w:rFonts w:hint="eastAsia" w:ascii="宋体" w:hAnsi="宋体"/>
                        <w:sz w:val="20"/>
                      </w:rPr>
                      <w:t xml:space="preserve">  </w:t>
                    </w:r>
                    <w:r>
                      <w:rPr>
                        <w:rStyle w:val="90"/>
                        <w:rFonts w:hint="eastAsia" w:ascii="宋体" w:hAnsi="宋体"/>
                        <w:sz w:val="28"/>
                        <w:szCs w:val="28"/>
                      </w:rPr>
                      <w:t>—</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DC7BDD">
    <w:pPr>
      <w:pStyle w:val="51"/>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-161925</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DF0FCE">
                          <w:pPr>
                            <w:pStyle w:val="51"/>
                            <w:jc w:val="right"/>
                            <w:rPr>
                              <w:rStyle w:val="90"/>
                              <w:rFonts w:ascii="宋体" w:hAnsi="宋体"/>
                              <w:sz w:val="28"/>
                              <w:szCs w:val="28"/>
                            </w:rPr>
                          </w:pPr>
                          <w:r>
                            <w:rPr>
                              <w:rStyle w:val="90"/>
                              <w:rFonts w:hint="eastAsia" w:ascii="宋体" w:hAnsi="宋体"/>
                              <w:sz w:val="28"/>
                              <w:szCs w:val="28"/>
                            </w:rPr>
                            <w:t>—</w:t>
                          </w:r>
                          <w:r>
                            <w:rPr>
                              <w:rStyle w:val="90"/>
                              <w:rFonts w:hint="eastAsia" w:ascii="宋体" w:hAnsi="宋体"/>
                              <w:sz w:val="20"/>
                            </w:rPr>
                            <w:t xml:space="preserve">  </w:t>
                          </w:r>
                          <w:r>
                            <w:rPr>
                              <w:rFonts w:ascii="宋体" w:hAnsi="宋体"/>
                              <w:sz w:val="26"/>
                              <w:szCs w:val="26"/>
                            </w:rPr>
                            <w:fldChar w:fldCharType="begin"/>
                          </w:r>
                          <w:r>
                            <w:rPr>
                              <w:rStyle w:val="90"/>
                              <w:rFonts w:ascii="宋体" w:hAnsi="宋体"/>
                              <w:sz w:val="26"/>
                              <w:szCs w:val="26"/>
                            </w:rPr>
                            <w:instrText xml:space="preserve">PAGE  </w:instrText>
                          </w:r>
                          <w:r>
                            <w:rPr>
                              <w:rFonts w:ascii="宋体" w:hAnsi="宋体"/>
                              <w:sz w:val="26"/>
                              <w:szCs w:val="26"/>
                            </w:rPr>
                            <w:fldChar w:fldCharType="separate"/>
                          </w:r>
                          <w:r>
                            <w:rPr>
                              <w:rStyle w:val="90"/>
                              <w:rFonts w:ascii="宋体" w:hAnsi="宋体"/>
                              <w:sz w:val="26"/>
                              <w:szCs w:val="26"/>
                            </w:rPr>
                            <w:t>10</w:t>
                          </w:r>
                          <w:r>
                            <w:rPr>
                              <w:rFonts w:ascii="宋体" w:hAnsi="宋体"/>
                              <w:sz w:val="26"/>
                              <w:szCs w:val="26"/>
                            </w:rPr>
                            <w:fldChar w:fldCharType="end"/>
                          </w:r>
                          <w:r>
                            <w:rPr>
                              <w:rStyle w:val="90"/>
                              <w:rFonts w:hint="eastAsia" w:ascii="宋体" w:hAnsi="宋体"/>
                              <w:sz w:val="20"/>
                            </w:rPr>
                            <w:t xml:space="preserve">  </w:t>
                          </w:r>
                          <w:r>
                            <w:rPr>
                              <w:rStyle w:val="90"/>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2.75pt;height:144pt;width:144pt;mso-position-horizontal:center;mso-position-horizontal-relative:margin;mso-wrap-style:none;z-index:251660288;mso-width-relative:page;mso-height-relative:page;" filled="f" stroked="f" coordsize="21600,21600" o:gfxdata="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RfYDQ1gAAAAgBAAAPAAAAAAAAAAEAIAAAACIAAABkcnMvZG93bnJldi54bWxQ&#10;SwECFAAUAAAACACHTuJA9YuHZDICAABhBAAADgAAAAAAAAABACAAAAAlAQAAZHJzL2Uyb0RvYy54&#10;bWxQSwUGAAAAAAYABgBZAQAAyQUAAAAA&#10;">
              <v:fill on="f" focussize="0,0"/>
              <v:stroke on="f" weight="0.5pt"/>
              <v:imagedata o:title=""/>
              <o:lock v:ext="edit" aspectratio="f"/>
              <v:textbox inset="0mm,0mm,0mm,0mm" style="mso-fit-shape-to-text:t;">
                <w:txbxContent>
                  <w:p w14:paraId="52DF0FCE">
                    <w:pPr>
                      <w:pStyle w:val="51"/>
                      <w:jc w:val="right"/>
                      <w:rPr>
                        <w:rStyle w:val="90"/>
                        <w:rFonts w:ascii="宋体" w:hAnsi="宋体"/>
                        <w:sz w:val="28"/>
                        <w:szCs w:val="28"/>
                      </w:rPr>
                    </w:pPr>
                    <w:r>
                      <w:rPr>
                        <w:rStyle w:val="90"/>
                        <w:rFonts w:hint="eastAsia" w:ascii="宋体" w:hAnsi="宋体"/>
                        <w:sz w:val="28"/>
                        <w:szCs w:val="28"/>
                      </w:rPr>
                      <w:t>—</w:t>
                    </w:r>
                    <w:r>
                      <w:rPr>
                        <w:rStyle w:val="90"/>
                        <w:rFonts w:hint="eastAsia" w:ascii="宋体" w:hAnsi="宋体"/>
                        <w:sz w:val="20"/>
                      </w:rPr>
                      <w:t xml:space="preserve">  </w:t>
                    </w:r>
                    <w:r>
                      <w:rPr>
                        <w:rFonts w:ascii="宋体" w:hAnsi="宋体"/>
                        <w:sz w:val="26"/>
                        <w:szCs w:val="26"/>
                      </w:rPr>
                      <w:fldChar w:fldCharType="begin"/>
                    </w:r>
                    <w:r>
                      <w:rPr>
                        <w:rStyle w:val="90"/>
                        <w:rFonts w:ascii="宋体" w:hAnsi="宋体"/>
                        <w:sz w:val="26"/>
                        <w:szCs w:val="26"/>
                      </w:rPr>
                      <w:instrText xml:space="preserve">PAGE  </w:instrText>
                    </w:r>
                    <w:r>
                      <w:rPr>
                        <w:rFonts w:ascii="宋体" w:hAnsi="宋体"/>
                        <w:sz w:val="26"/>
                        <w:szCs w:val="26"/>
                      </w:rPr>
                      <w:fldChar w:fldCharType="separate"/>
                    </w:r>
                    <w:r>
                      <w:rPr>
                        <w:rStyle w:val="90"/>
                        <w:rFonts w:ascii="宋体" w:hAnsi="宋体"/>
                        <w:sz w:val="26"/>
                        <w:szCs w:val="26"/>
                      </w:rPr>
                      <w:t>10</w:t>
                    </w:r>
                    <w:r>
                      <w:rPr>
                        <w:rFonts w:ascii="宋体" w:hAnsi="宋体"/>
                        <w:sz w:val="26"/>
                        <w:szCs w:val="26"/>
                      </w:rPr>
                      <w:fldChar w:fldCharType="end"/>
                    </w:r>
                    <w:r>
                      <w:rPr>
                        <w:rStyle w:val="90"/>
                        <w:rFonts w:hint="eastAsia" w:ascii="宋体" w:hAnsi="宋体"/>
                        <w:sz w:val="20"/>
                      </w:rPr>
                      <w:t xml:space="preserve">  </w:t>
                    </w:r>
                    <w:r>
                      <w:rPr>
                        <w:rStyle w:val="90"/>
                        <w:rFonts w:hint="eastAsia" w:ascii="宋体" w:hAnsi="宋体"/>
                        <w:sz w:val="28"/>
                        <w:szCs w:val="28"/>
                      </w:rPr>
                      <w:t>—</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54E9E0">
    <w:pPr>
      <w:pStyle w:val="51"/>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-161925</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5645F9">
                          <w:pPr>
                            <w:pStyle w:val="51"/>
                            <w:jc w:val="right"/>
                            <w:rPr>
                              <w:rStyle w:val="90"/>
                              <w:rFonts w:ascii="宋体" w:hAnsi="宋体"/>
                              <w:sz w:val="28"/>
                              <w:szCs w:val="28"/>
                            </w:rPr>
                          </w:pPr>
                          <w:r>
                            <w:rPr>
                              <w:rStyle w:val="90"/>
                              <w:rFonts w:hint="eastAsia" w:ascii="宋体" w:hAnsi="宋体"/>
                              <w:sz w:val="28"/>
                              <w:szCs w:val="28"/>
                            </w:rPr>
                            <w:t>—</w:t>
                          </w:r>
                          <w:r>
                            <w:rPr>
                              <w:rStyle w:val="90"/>
                              <w:rFonts w:hint="eastAsia" w:ascii="宋体" w:hAnsi="宋体"/>
                              <w:sz w:val="20"/>
                            </w:rPr>
                            <w:t xml:space="preserve">  </w:t>
                          </w:r>
                          <w:r>
                            <w:rPr>
                              <w:rFonts w:ascii="宋体" w:hAnsi="宋体"/>
                              <w:sz w:val="26"/>
                              <w:szCs w:val="26"/>
                            </w:rPr>
                            <w:fldChar w:fldCharType="begin"/>
                          </w:r>
                          <w:r>
                            <w:rPr>
                              <w:rStyle w:val="90"/>
                              <w:rFonts w:ascii="宋体" w:hAnsi="宋体"/>
                              <w:sz w:val="26"/>
                              <w:szCs w:val="26"/>
                            </w:rPr>
                            <w:instrText xml:space="preserve">PAGE  </w:instrText>
                          </w:r>
                          <w:r>
                            <w:rPr>
                              <w:rFonts w:ascii="宋体" w:hAnsi="宋体"/>
                              <w:sz w:val="26"/>
                              <w:szCs w:val="26"/>
                            </w:rPr>
                            <w:fldChar w:fldCharType="separate"/>
                          </w:r>
                          <w:r>
                            <w:rPr>
                              <w:rStyle w:val="90"/>
                              <w:rFonts w:ascii="宋体" w:hAnsi="宋体"/>
                              <w:sz w:val="26"/>
                              <w:szCs w:val="26"/>
                            </w:rPr>
                            <w:t>11</w:t>
                          </w:r>
                          <w:r>
                            <w:rPr>
                              <w:rFonts w:ascii="宋体" w:hAnsi="宋体"/>
                              <w:sz w:val="26"/>
                              <w:szCs w:val="26"/>
                            </w:rPr>
                            <w:fldChar w:fldCharType="end"/>
                          </w:r>
                          <w:r>
                            <w:rPr>
                              <w:rStyle w:val="90"/>
                              <w:rFonts w:hint="eastAsia" w:ascii="宋体" w:hAnsi="宋体"/>
                              <w:sz w:val="20"/>
                            </w:rPr>
                            <w:t xml:space="preserve">  </w:t>
                          </w:r>
                          <w:r>
                            <w:rPr>
                              <w:rStyle w:val="90"/>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2.75pt;height:144pt;width:144pt;mso-position-horizontal:center;mso-position-horizontal-relative:margin;mso-wrap-style:none;z-index:251661312;mso-width-relative:page;mso-height-relative:page;" filled="f" stroked="f" coordsize="21600,21600" o:gfxdata="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JF9gNDWAAAACAEAAA8AAAAAAAAAAQAgAAAAIgAAAGRycy9kb3ducmV2LnhtbFBL&#10;AQIUABQAAAAIAIdO4kDHl7XOMQIAAGEEAAAOAAAAAAAAAAEAIAAAACUBAABkcnMvZTJvRG9jLnht&#10;bFBLBQYAAAAABgAGAFkBAADIBQAAAAA=&#10;">
              <v:fill on="f" focussize="0,0"/>
              <v:stroke on="f" weight="0.5pt"/>
              <v:imagedata o:title=""/>
              <o:lock v:ext="edit" aspectratio="f"/>
              <v:textbox inset="0mm,0mm,0mm,0mm" style="mso-fit-shape-to-text:t;">
                <w:txbxContent>
                  <w:p w14:paraId="1E5645F9">
                    <w:pPr>
                      <w:pStyle w:val="51"/>
                      <w:jc w:val="right"/>
                      <w:rPr>
                        <w:rStyle w:val="90"/>
                        <w:rFonts w:ascii="宋体" w:hAnsi="宋体"/>
                        <w:sz w:val="28"/>
                        <w:szCs w:val="28"/>
                      </w:rPr>
                    </w:pPr>
                    <w:r>
                      <w:rPr>
                        <w:rStyle w:val="90"/>
                        <w:rFonts w:hint="eastAsia" w:ascii="宋体" w:hAnsi="宋体"/>
                        <w:sz w:val="28"/>
                        <w:szCs w:val="28"/>
                      </w:rPr>
                      <w:t>—</w:t>
                    </w:r>
                    <w:r>
                      <w:rPr>
                        <w:rStyle w:val="90"/>
                        <w:rFonts w:hint="eastAsia" w:ascii="宋体" w:hAnsi="宋体"/>
                        <w:sz w:val="20"/>
                      </w:rPr>
                      <w:t xml:space="preserve">  </w:t>
                    </w:r>
                    <w:r>
                      <w:rPr>
                        <w:rFonts w:ascii="宋体" w:hAnsi="宋体"/>
                        <w:sz w:val="26"/>
                        <w:szCs w:val="26"/>
                      </w:rPr>
                      <w:fldChar w:fldCharType="begin"/>
                    </w:r>
                    <w:r>
                      <w:rPr>
                        <w:rStyle w:val="90"/>
                        <w:rFonts w:ascii="宋体" w:hAnsi="宋体"/>
                        <w:sz w:val="26"/>
                        <w:szCs w:val="26"/>
                      </w:rPr>
                      <w:instrText xml:space="preserve">PAGE  </w:instrText>
                    </w:r>
                    <w:r>
                      <w:rPr>
                        <w:rFonts w:ascii="宋体" w:hAnsi="宋体"/>
                        <w:sz w:val="26"/>
                        <w:szCs w:val="26"/>
                      </w:rPr>
                      <w:fldChar w:fldCharType="separate"/>
                    </w:r>
                    <w:r>
                      <w:rPr>
                        <w:rStyle w:val="90"/>
                        <w:rFonts w:ascii="宋体" w:hAnsi="宋体"/>
                        <w:sz w:val="26"/>
                        <w:szCs w:val="26"/>
                      </w:rPr>
                      <w:t>11</w:t>
                    </w:r>
                    <w:r>
                      <w:rPr>
                        <w:rFonts w:ascii="宋体" w:hAnsi="宋体"/>
                        <w:sz w:val="26"/>
                        <w:szCs w:val="26"/>
                      </w:rPr>
                      <w:fldChar w:fldCharType="end"/>
                    </w:r>
                    <w:r>
                      <w:rPr>
                        <w:rStyle w:val="90"/>
                        <w:rFonts w:hint="eastAsia" w:ascii="宋体" w:hAnsi="宋体"/>
                        <w:sz w:val="20"/>
                      </w:rPr>
                      <w:t xml:space="preserve">  </w:t>
                    </w:r>
                    <w:r>
                      <w:rPr>
                        <w:rStyle w:val="90"/>
                        <w:rFonts w:hint="eastAsia" w:ascii="宋体" w:hAnsi="宋体"/>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513A70">
    <w:pPr>
      <w:pStyle w:val="51"/>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-161925</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AF6743">
                          <w:pPr>
                            <w:pStyle w:val="51"/>
                            <w:rPr>
                              <w:rStyle w:val="90"/>
                              <w:rFonts w:ascii="宋体" w:hAnsi="宋体"/>
                              <w:sz w:val="28"/>
                              <w:szCs w:val="28"/>
                            </w:rPr>
                          </w:pPr>
                          <w:r>
                            <w:rPr>
                              <w:rStyle w:val="90"/>
                              <w:rFonts w:hint="eastAsia" w:ascii="宋体" w:hAnsi="宋体"/>
                              <w:sz w:val="28"/>
                              <w:szCs w:val="28"/>
                            </w:rPr>
                            <w:t>—</w:t>
                          </w:r>
                          <w:r>
                            <w:rPr>
                              <w:rStyle w:val="90"/>
                              <w:rFonts w:hint="eastAsia" w:ascii="宋体" w:hAnsi="宋体"/>
                              <w:sz w:val="20"/>
                            </w:rPr>
                            <w:t xml:space="preserve">  </w:t>
                          </w:r>
                          <w:r>
                            <w:rPr>
                              <w:rFonts w:ascii="宋体" w:hAnsi="宋体"/>
                              <w:sz w:val="26"/>
                              <w:szCs w:val="26"/>
                            </w:rPr>
                            <w:fldChar w:fldCharType="begin"/>
                          </w:r>
                          <w:r>
                            <w:rPr>
                              <w:rStyle w:val="90"/>
                              <w:rFonts w:ascii="宋体" w:hAnsi="宋体"/>
                              <w:sz w:val="26"/>
                              <w:szCs w:val="26"/>
                            </w:rPr>
                            <w:instrText xml:space="preserve">PAGE  </w:instrText>
                          </w:r>
                          <w:r>
                            <w:rPr>
                              <w:rFonts w:ascii="宋体" w:hAnsi="宋体"/>
                              <w:sz w:val="26"/>
                              <w:szCs w:val="26"/>
                            </w:rPr>
                            <w:fldChar w:fldCharType="separate"/>
                          </w:r>
                          <w:r>
                            <w:rPr>
                              <w:rStyle w:val="90"/>
                              <w:rFonts w:ascii="宋体" w:hAnsi="宋体"/>
                              <w:sz w:val="26"/>
                              <w:szCs w:val="26"/>
                            </w:rPr>
                            <w:t>67</w:t>
                          </w:r>
                          <w:r>
                            <w:rPr>
                              <w:rFonts w:ascii="宋体" w:hAnsi="宋体"/>
                              <w:sz w:val="26"/>
                              <w:szCs w:val="26"/>
                            </w:rPr>
                            <w:fldChar w:fldCharType="end"/>
                          </w:r>
                          <w:r>
                            <w:rPr>
                              <w:rStyle w:val="90"/>
                              <w:rFonts w:hint="eastAsia" w:ascii="宋体" w:hAnsi="宋体"/>
                              <w:sz w:val="20"/>
                            </w:rPr>
                            <w:t xml:space="preserve">  </w:t>
                          </w:r>
                          <w:r>
                            <w:rPr>
                              <w:rStyle w:val="90"/>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12.75pt;height:144pt;width:144pt;mso-position-horizontal:center;mso-position-horizontal-relative:margin;mso-wrap-style:none;z-index:251662336;mso-width-relative:page;mso-height-relative:page;" filled="f" stroked="f" coordsize="21600,21600" o:gfxdata="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RfYDQ1gAAAAgBAAAPAAAAAAAAAAEAIAAAACIAAABkcnMvZG93bnJldi54bWxQ&#10;SwECFAAUAAAACACHTuJAApUg9DICAABhBAAADgAAAAAAAAABACAAAAAlAQAAZHJzL2Uyb0RvYy54&#10;bWxQSwUGAAAAAAYABgBZAQAAyQUAAAAA&#10;">
              <v:fill on="f" focussize="0,0"/>
              <v:stroke on="f" weight="0.5pt"/>
              <v:imagedata o:title=""/>
              <o:lock v:ext="edit" aspectratio="f"/>
              <v:textbox inset="0mm,0mm,0mm,0mm" style="mso-fit-shape-to-text:t;">
                <w:txbxContent>
                  <w:p w14:paraId="0CAF6743">
                    <w:pPr>
                      <w:pStyle w:val="51"/>
                      <w:rPr>
                        <w:rStyle w:val="90"/>
                        <w:rFonts w:ascii="宋体" w:hAnsi="宋体"/>
                        <w:sz w:val="28"/>
                        <w:szCs w:val="28"/>
                      </w:rPr>
                    </w:pPr>
                    <w:r>
                      <w:rPr>
                        <w:rStyle w:val="90"/>
                        <w:rFonts w:hint="eastAsia" w:ascii="宋体" w:hAnsi="宋体"/>
                        <w:sz w:val="28"/>
                        <w:szCs w:val="28"/>
                      </w:rPr>
                      <w:t>—</w:t>
                    </w:r>
                    <w:r>
                      <w:rPr>
                        <w:rStyle w:val="90"/>
                        <w:rFonts w:hint="eastAsia" w:ascii="宋体" w:hAnsi="宋体"/>
                        <w:sz w:val="20"/>
                      </w:rPr>
                      <w:t xml:space="preserve">  </w:t>
                    </w:r>
                    <w:r>
                      <w:rPr>
                        <w:rFonts w:ascii="宋体" w:hAnsi="宋体"/>
                        <w:sz w:val="26"/>
                        <w:szCs w:val="26"/>
                      </w:rPr>
                      <w:fldChar w:fldCharType="begin"/>
                    </w:r>
                    <w:r>
                      <w:rPr>
                        <w:rStyle w:val="90"/>
                        <w:rFonts w:ascii="宋体" w:hAnsi="宋体"/>
                        <w:sz w:val="26"/>
                        <w:szCs w:val="26"/>
                      </w:rPr>
                      <w:instrText xml:space="preserve">PAGE  </w:instrText>
                    </w:r>
                    <w:r>
                      <w:rPr>
                        <w:rFonts w:ascii="宋体" w:hAnsi="宋体"/>
                        <w:sz w:val="26"/>
                        <w:szCs w:val="26"/>
                      </w:rPr>
                      <w:fldChar w:fldCharType="separate"/>
                    </w:r>
                    <w:r>
                      <w:rPr>
                        <w:rStyle w:val="90"/>
                        <w:rFonts w:ascii="宋体" w:hAnsi="宋体"/>
                        <w:sz w:val="26"/>
                        <w:szCs w:val="26"/>
                      </w:rPr>
                      <w:t>67</w:t>
                    </w:r>
                    <w:r>
                      <w:rPr>
                        <w:rFonts w:ascii="宋体" w:hAnsi="宋体"/>
                        <w:sz w:val="26"/>
                        <w:szCs w:val="26"/>
                      </w:rPr>
                      <w:fldChar w:fldCharType="end"/>
                    </w:r>
                    <w:r>
                      <w:rPr>
                        <w:rStyle w:val="90"/>
                        <w:rFonts w:hint="eastAsia" w:ascii="宋体" w:hAnsi="宋体"/>
                        <w:sz w:val="20"/>
                      </w:rPr>
                      <w:t xml:space="preserve">  </w:t>
                    </w:r>
                    <w:r>
                      <w:rPr>
                        <w:rStyle w:val="90"/>
                        <w:rFonts w:hint="eastAsia" w:ascii="宋体" w:hAnsi="宋体"/>
                        <w:sz w:val="28"/>
                        <w:szCs w:val="28"/>
                      </w:rPr>
                      <w:t>—</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0B0603">
    <w:pPr>
      <w:pStyle w:val="51"/>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90150E">
                          <w:pPr>
                            <w:pStyle w:val="51"/>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8olJw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P8olJwzAgAAYwQAAA4AAAAAAAAAAQAgAAAAHwEAAGRycy9lMm9Eb2MueG1sUEsF&#10;BgAAAAAGAAYAWQEAAMQFAAAAAA==&#10;">
              <v:fill on="f" focussize="0,0"/>
              <v:stroke on="f" weight="0.5pt"/>
              <v:imagedata o:title=""/>
              <o:lock v:ext="edit" aspectratio="f"/>
              <v:textbox inset="0mm,0mm,0mm,0mm" style="mso-fit-shape-to-text:t;">
                <w:txbxContent>
                  <w:p w14:paraId="1690150E">
                    <w:pPr>
                      <w:pStyle w:val="51"/>
                    </w:pPr>
                    <w:r>
                      <w:fldChar w:fldCharType="begin"/>
                    </w:r>
                    <w:r>
                      <w:instrText xml:space="preserve"> PAGE  \* MERGEFORMAT </w:instrText>
                    </w:r>
                    <w:r>
                      <w:fldChar w:fldCharType="separate"/>
                    </w:r>
                    <w:r>
                      <w:t>5</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4F2B35">
    <w:pPr>
      <w:pStyle w:val="51"/>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AF14EF">
                          <w:pPr>
                            <w:pStyle w:val="51"/>
                          </w:pPr>
                          <w:r>
                            <w:fldChar w:fldCharType="begin"/>
                          </w:r>
                          <w:r>
                            <w:instrText xml:space="preserve"> PAGE  \* MERGEFORMAT </w:instrText>
                          </w:r>
                          <w:r>
                            <w:fldChar w:fldCharType="separate"/>
                          </w:r>
                          <w:r>
                            <w:t>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4ls4k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4ls4kzAgAAYwQAAA4AAAAAAAAAAQAgAAAAHwEAAGRycy9lMm9Eb2MueG1sUEsF&#10;BgAAAAAGAAYAWQEAAMQFAAAAAA==&#10;">
              <v:fill on="f" focussize="0,0"/>
              <v:stroke on="f" weight="0.5pt"/>
              <v:imagedata o:title=""/>
              <o:lock v:ext="edit" aspectratio="f"/>
              <v:textbox inset="0mm,0mm,0mm,0mm" style="mso-fit-shape-to-text:t;">
                <w:txbxContent>
                  <w:p w14:paraId="2BAF14EF">
                    <w:pPr>
                      <w:pStyle w:val="51"/>
                    </w:pPr>
                    <w:r>
                      <w:fldChar w:fldCharType="begin"/>
                    </w:r>
                    <w:r>
                      <w:instrText xml:space="preserve"> PAGE  \* MERGEFORMAT </w:instrText>
                    </w:r>
                    <w:r>
                      <w:fldChar w:fldCharType="separate"/>
                    </w:r>
                    <w:r>
                      <w:t>20</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7D4A3C">
    <w:pPr>
      <w:pStyle w:val="53"/>
      <w:widowControl w:val="0"/>
      <w:pBdr>
        <w:top w:val="none" w:color="auto" w:sz="0" w:space="1"/>
        <w:left w:val="none" w:color="auto" w:sz="0" w:space="4"/>
        <w:bottom w:val="none" w:color="auto" w:sz="0" w:space="1"/>
        <w:right w:val="none" w:color="auto" w:sz="0" w:space="4"/>
        <w:between w:val="none" w:color="auto" w:sz="0" w:space="0"/>
      </w:pBdr>
      <w:snapToGrid w:val="0"/>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E867A9"/>
    <w:multiLevelType w:val="singleLevel"/>
    <w:tmpl w:val="8FE867A9"/>
    <w:lvl w:ilvl="0" w:tentative="0">
      <w:start w:val="2"/>
      <w:numFmt w:val="decimal"/>
      <w:suff w:val="nothing"/>
      <w:lvlText w:val="%1、"/>
      <w:lvlJc w:val="left"/>
    </w:lvl>
  </w:abstractNum>
  <w:abstractNum w:abstractNumId="1">
    <w:nsid w:val="FFFFFF89"/>
    <w:multiLevelType w:val="singleLevel"/>
    <w:tmpl w:val="FFFFFF89"/>
    <w:lvl w:ilvl="0" w:tentative="0">
      <w:start w:val="1"/>
      <w:numFmt w:val="bullet"/>
      <w:pStyle w:val="22"/>
      <w:lvlText w:val=""/>
      <w:lvlJc w:val="left"/>
      <w:pPr>
        <w:tabs>
          <w:tab w:val="left" w:pos="360"/>
        </w:tabs>
        <w:ind w:left="360" w:hanging="360"/>
      </w:pPr>
      <w:rPr>
        <w:rFonts w:hint="default" w:ascii="Wingdings" w:hAnsi="Wingdings"/>
      </w:rPr>
    </w:lvl>
  </w:abstractNum>
  <w:abstractNum w:abstractNumId="2">
    <w:nsid w:val="00000001"/>
    <w:multiLevelType w:val="multilevel"/>
    <w:tmpl w:val="00000001"/>
    <w:lvl w:ilvl="0" w:tentative="0">
      <w:start w:val="1"/>
      <w:numFmt w:val="decimalEnclosedCircle"/>
      <w:pStyle w:val="326"/>
      <w:lvlText w:val="%1"/>
      <w:lvlJc w:val="left"/>
      <w:pPr>
        <w:ind w:left="360" w:hanging="360"/>
      </w:pPr>
      <w:rPr>
        <w:rFonts w:hint="default" w:ascii="宋体" w:hAnsi="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0000005"/>
    <w:multiLevelType w:val="multilevel"/>
    <w:tmpl w:val="00000005"/>
    <w:lvl w:ilvl="0" w:tentative="0">
      <w:start w:val="1"/>
      <w:numFmt w:val="decimalEnclosedCircle"/>
      <w:pStyle w:val="1207"/>
      <w:lvlText w:val="%1"/>
      <w:lvlJc w:val="left"/>
      <w:pPr>
        <w:ind w:left="360" w:hanging="360"/>
      </w:pPr>
      <w:rPr>
        <w:rFonts w:hint="default" w:ascii="宋体" w:hAnsi="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0000009"/>
    <w:multiLevelType w:val="singleLevel"/>
    <w:tmpl w:val="00000009"/>
    <w:lvl w:ilvl="0" w:tentative="0">
      <w:start w:val="2"/>
      <w:numFmt w:val="decimal"/>
      <w:suff w:val="nothing"/>
      <w:lvlText w:val="（%1）"/>
      <w:lvlJc w:val="left"/>
    </w:lvl>
  </w:abstractNum>
  <w:abstractNum w:abstractNumId="5">
    <w:nsid w:val="00000016"/>
    <w:multiLevelType w:val="multilevel"/>
    <w:tmpl w:val="00000016"/>
    <w:lvl w:ilvl="0" w:tentative="0">
      <w:start w:val="1"/>
      <w:numFmt w:val="decimal"/>
      <w:pStyle w:val="852"/>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01D31CB4"/>
    <w:multiLevelType w:val="multilevel"/>
    <w:tmpl w:val="01D31CB4"/>
    <w:lvl w:ilvl="0" w:tentative="0">
      <w:start w:val="1"/>
      <w:numFmt w:val="decimal"/>
      <w:pStyle w:val="1232"/>
      <w:lvlText w:val="表7.2 -%1"/>
      <w:lvlJc w:val="center"/>
      <w:pPr>
        <w:tabs>
          <w:tab w:val="left" w:pos="726"/>
        </w:tabs>
        <w:ind w:left="2"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
    <w:nsid w:val="02E7176C"/>
    <w:multiLevelType w:val="singleLevel"/>
    <w:tmpl w:val="02E7176C"/>
    <w:lvl w:ilvl="0" w:tentative="0">
      <w:start w:val="1"/>
      <w:numFmt w:val="bullet"/>
      <w:pStyle w:val="1155"/>
      <w:lvlText w:val=""/>
      <w:lvlJc w:val="left"/>
      <w:pPr>
        <w:tabs>
          <w:tab w:val="left" w:pos="504"/>
        </w:tabs>
        <w:ind w:left="72" w:firstLine="72"/>
      </w:pPr>
      <w:rPr>
        <w:rFonts w:hint="default" w:ascii="Wingdings" w:hAnsi="Wingdings"/>
        <w:spacing w:val="0"/>
        <w:w w:val="100"/>
        <w:kern w:val="0"/>
        <w:position w:val="0"/>
        <w:sz w:val="28"/>
      </w:rPr>
    </w:lvl>
  </w:abstractNum>
  <w:abstractNum w:abstractNumId="8">
    <w:nsid w:val="0BBD0933"/>
    <w:multiLevelType w:val="multilevel"/>
    <w:tmpl w:val="0BBD0933"/>
    <w:lvl w:ilvl="0" w:tentative="0">
      <w:start w:val="4"/>
      <w:numFmt w:val="decimal"/>
      <w:pStyle w:val="1279"/>
      <w:suff w:val="space"/>
      <w:lvlText w:val="%1"/>
      <w:lvlJc w:val="left"/>
      <w:pPr>
        <w:ind w:left="0" w:firstLine="0"/>
      </w:pPr>
      <w:rPr>
        <w:rFonts w:hint="eastAsia" w:ascii="黑体" w:eastAsia="黑体"/>
        <w:b w:val="0"/>
        <w:bCs w:val="0"/>
        <w:i w:val="0"/>
        <w:iCs w:val="0"/>
        <w:color w:val="auto"/>
        <w:sz w:val="28"/>
        <w:szCs w:val="28"/>
      </w:rPr>
    </w:lvl>
    <w:lvl w:ilvl="1" w:tentative="0">
      <w:start w:val="1"/>
      <w:numFmt w:val="decimal"/>
      <w:suff w:val="space"/>
      <w:lvlText w:val="%1.%2"/>
      <w:lvlJc w:val="left"/>
      <w:pPr>
        <w:ind w:left="0" w:firstLine="0"/>
      </w:pPr>
      <w:rPr>
        <w:rFonts w:hint="eastAsia" w:ascii="黑体" w:eastAsia="黑体"/>
        <w:b w:val="0"/>
        <w:bCs w:val="0"/>
        <w:i w:val="0"/>
        <w:iCs w:val="0"/>
        <w:color w:val="auto"/>
        <w:sz w:val="28"/>
        <w:szCs w:val="28"/>
      </w:rPr>
    </w:lvl>
    <w:lvl w:ilvl="2" w:tentative="0">
      <w:start w:val="1"/>
      <w:numFmt w:val="decimal"/>
      <w:suff w:val="space"/>
      <w:lvlText w:val="%1.%2.%3"/>
      <w:lvlJc w:val="left"/>
      <w:pPr>
        <w:ind w:left="0" w:firstLine="0"/>
      </w:pPr>
      <w:rPr>
        <w:rFonts w:hint="eastAsia" w:ascii="宋体" w:eastAsia="宋体"/>
        <w:b w:val="0"/>
        <w:bCs w:val="0"/>
        <w:i w:val="0"/>
        <w:iCs w:val="0"/>
        <w:color w:val="auto"/>
        <w:sz w:val="28"/>
        <w:szCs w:val="28"/>
      </w:rPr>
    </w:lvl>
    <w:lvl w:ilvl="3" w:tentative="0">
      <w:start w:val="1"/>
      <w:numFmt w:val="decimal"/>
      <w:suff w:val="space"/>
      <w:lvlText w:val="%1.%2.%3.%4"/>
      <w:lvlJc w:val="left"/>
      <w:pPr>
        <w:ind w:left="0" w:firstLine="0"/>
      </w:pPr>
      <w:rPr>
        <w:rFonts w:hint="eastAsia" w:ascii="宋体" w:hAnsi="Arial" w:eastAsia="宋体"/>
        <w:b w:val="0"/>
        <w:bCs w:val="0"/>
        <w:i w:val="0"/>
        <w:iCs w:val="0"/>
        <w:color w:val="auto"/>
        <w:sz w:val="28"/>
        <w:szCs w:val="28"/>
      </w:rPr>
    </w:lvl>
    <w:lvl w:ilvl="4" w:tentative="0">
      <w:start w:val="1"/>
      <w:numFmt w:val="decimal"/>
      <w:suff w:val="space"/>
      <w:lvlText w:val="%5)"/>
      <w:lvlJc w:val="left"/>
      <w:pPr>
        <w:ind w:left="0" w:firstLine="567"/>
      </w:pPr>
      <w:rPr>
        <w:rFonts w:hint="eastAsia" w:ascii="宋体" w:hAnsi="Times New Roman" w:eastAsia="宋体"/>
        <w:b w:val="0"/>
        <w:bCs w:val="0"/>
        <w:i w:val="0"/>
        <w:iCs w:val="0"/>
        <w:sz w:val="28"/>
        <w:szCs w:val="28"/>
      </w:rPr>
    </w:lvl>
    <w:lvl w:ilvl="5" w:tentative="0">
      <w:start w:val="1"/>
      <w:numFmt w:val="decimal"/>
      <w:suff w:val="space"/>
      <w:lvlText w:val="(%6)"/>
      <w:lvlJc w:val="left"/>
      <w:pPr>
        <w:ind w:left="-102" w:firstLine="567"/>
      </w:pPr>
      <w:rPr>
        <w:rFonts w:hint="eastAsia" w:ascii="宋体" w:eastAsia="宋体"/>
        <w:b w:val="0"/>
        <w:bCs w:val="0"/>
        <w:i w:val="0"/>
        <w:iCs w:val="0"/>
        <w:sz w:val="28"/>
        <w:szCs w:val="28"/>
      </w:rPr>
    </w:lvl>
    <w:lvl w:ilvl="6" w:tentative="0">
      <w:start w:val="1"/>
      <w:numFmt w:val="decimal"/>
      <w:lvlText w:val="%1.%2.%3.%4.%5.%6.%7"/>
      <w:lvlJc w:val="left"/>
      <w:pPr>
        <w:tabs>
          <w:tab w:val="left" w:pos="396"/>
        </w:tabs>
        <w:ind w:left="396" w:hanging="1296"/>
      </w:pPr>
      <w:rPr>
        <w:rFonts w:hint="eastAsia"/>
      </w:rPr>
    </w:lvl>
    <w:lvl w:ilvl="7" w:tentative="0">
      <w:start w:val="1"/>
      <w:numFmt w:val="decimal"/>
      <w:lvlText w:val="%1.%2.%3.%4.%5.%6.%7.%8"/>
      <w:lvlJc w:val="left"/>
      <w:pPr>
        <w:tabs>
          <w:tab w:val="left" w:pos="540"/>
        </w:tabs>
        <w:ind w:left="540" w:hanging="1440"/>
      </w:pPr>
      <w:rPr>
        <w:rFonts w:hint="eastAsia"/>
      </w:rPr>
    </w:lvl>
    <w:lvl w:ilvl="8" w:tentative="0">
      <w:start w:val="1"/>
      <w:numFmt w:val="decimal"/>
      <w:lvlText w:val="%1.%2.%3.%4.%5.%6.%7.%8.%9"/>
      <w:lvlJc w:val="left"/>
      <w:pPr>
        <w:tabs>
          <w:tab w:val="left" w:pos="684"/>
        </w:tabs>
        <w:ind w:left="684" w:hanging="1584"/>
      </w:pPr>
      <w:rPr>
        <w:rFonts w:hint="eastAsia"/>
      </w:rPr>
    </w:lvl>
  </w:abstractNum>
  <w:abstractNum w:abstractNumId="9">
    <w:nsid w:val="0DE07AEE"/>
    <w:multiLevelType w:val="multilevel"/>
    <w:tmpl w:val="0DE07AEE"/>
    <w:lvl w:ilvl="0" w:tentative="0">
      <w:start w:val="1"/>
      <w:numFmt w:val="decimal"/>
      <w:suff w:val="nothing"/>
      <w:lvlText w:val="（%1）"/>
      <w:lvlJc w:val="left"/>
      <w:pPr>
        <w:ind w:left="1095" w:hanging="420"/>
      </w:pPr>
      <w:rPr>
        <w:rFonts w:hint="eastAsia"/>
      </w:rPr>
    </w:lvl>
    <w:lvl w:ilvl="1" w:tentative="0">
      <w:start w:val="1"/>
      <w:numFmt w:val="lowerLetter"/>
      <w:lvlText w:val="%2)"/>
      <w:lvlJc w:val="left"/>
      <w:pPr>
        <w:ind w:left="1515" w:hanging="420"/>
      </w:pPr>
    </w:lvl>
    <w:lvl w:ilvl="2" w:tentative="0">
      <w:start w:val="1"/>
      <w:numFmt w:val="lowerRoman"/>
      <w:lvlText w:val="%3."/>
      <w:lvlJc w:val="right"/>
      <w:pPr>
        <w:ind w:left="1935" w:hanging="420"/>
      </w:pPr>
    </w:lvl>
    <w:lvl w:ilvl="3" w:tentative="0">
      <w:start w:val="1"/>
      <w:numFmt w:val="decimal"/>
      <w:lvlText w:val="%4."/>
      <w:lvlJc w:val="left"/>
      <w:pPr>
        <w:ind w:left="2355" w:hanging="420"/>
      </w:pPr>
    </w:lvl>
    <w:lvl w:ilvl="4" w:tentative="0">
      <w:start w:val="1"/>
      <w:numFmt w:val="lowerLetter"/>
      <w:lvlText w:val="%5)"/>
      <w:lvlJc w:val="left"/>
      <w:pPr>
        <w:ind w:left="2775" w:hanging="420"/>
      </w:pPr>
    </w:lvl>
    <w:lvl w:ilvl="5" w:tentative="0">
      <w:start w:val="1"/>
      <w:numFmt w:val="lowerRoman"/>
      <w:lvlText w:val="%6."/>
      <w:lvlJc w:val="right"/>
      <w:pPr>
        <w:ind w:left="3195" w:hanging="420"/>
      </w:pPr>
    </w:lvl>
    <w:lvl w:ilvl="6" w:tentative="0">
      <w:start w:val="1"/>
      <w:numFmt w:val="decimal"/>
      <w:lvlText w:val="%7."/>
      <w:lvlJc w:val="left"/>
      <w:pPr>
        <w:ind w:left="3615" w:hanging="420"/>
      </w:pPr>
    </w:lvl>
    <w:lvl w:ilvl="7" w:tentative="0">
      <w:start w:val="1"/>
      <w:numFmt w:val="lowerLetter"/>
      <w:lvlText w:val="%8)"/>
      <w:lvlJc w:val="left"/>
      <w:pPr>
        <w:ind w:left="4035" w:hanging="420"/>
      </w:pPr>
    </w:lvl>
    <w:lvl w:ilvl="8" w:tentative="0">
      <w:start w:val="1"/>
      <w:numFmt w:val="lowerRoman"/>
      <w:lvlText w:val="%9."/>
      <w:lvlJc w:val="right"/>
      <w:pPr>
        <w:ind w:left="4455" w:hanging="420"/>
      </w:pPr>
    </w:lvl>
  </w:abstractNum>
  <w:abstractNum w:abstractNumId="10">
    <w:nsid w:val="140984DA"/>
    <w:multiLevelType w:val="singleLevel"/>
    <w:tmpl w:val="140984DA"/>
    <w:lvl w:ilvl="0" w:tentative="0">
      <w:start w:val="1"/>
      <w:numFmt w:val="decimal"/>
      <w:suff w:val="nothing"/>
      <w:lvlText w:val="（%1）"/>
      <w:lvlJc w:val="left"/>
    </w:lvl>
  </w:abstractNum>
  <w:abstractNum w:abstractNumId="11">
    <w:nsid w:val="16613F02"/>
    <w:multiLevelType w:val="multilevel"/>
    <w:tmpl w:val="16613F02"/>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1E9F78A5"/>
    <w:multiLevelType w:val="multilevel"/>
    <w:tmpl w:val="1E9F78A5"/>
    <w:lvl w:ilvl="0" w:tentative="0">
      <w:start w:val="1"/>
      <w:numFmt w:val="decimal"/>
      <w:pStyle w:val="899"/>
      <w:lvlText w:val="%1."/>
      <w:lvlJc w:val="left"/>
      <w:pPr>
        <w:tabs>
          <w:tab w:val="left" w:pos="420"/>
        </w:tabs>
        <w:ind w:left="420" w:hanging="420"/>
      </w:pPr>
      <w:rPr>
        <w:rFonts w:hint="eastAsia"/>
      </w:rPr>
    </w:lvl>
    <w:lvl w:ilvl="1" w:tentative="0">
      <w:start w:val="1"/>
      <w:numFmt w:val="decimal"/>
      <w:lvlText w:val="（%2）"/>
      <w:lvlJc w:val="left"/>
      <w:pPr>
        <w:tabs>
          <w:tab w:val="left" w:pos="1710"/>
        </w:tabs>
        <w:ind w:left="1710" w:hanging="1290"/>
      </w:pPr>
      <w:rPr>
        <w:rFonts w:hint="default"/>
        <w:b/>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3">
    <w:nsid w:val="35181BBE"/>
    <w:multiLevelType w:val="multilevel"/>
    <w:tmpl w:val="35181BBE"/>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4">
    <w:nsid w:val="37660A18"/>
    <w:multiLevelType w:val="multilevel"/>
    <w:tmpl w:val="37660A18"/>
    <w:lvl w:ilvl="0" w:tentative="0">
      <w:start w:val="1"/>
      <w:numFmt w:val="decimal"/>
      <w:pStyle w:val="1278"/>
      <w:lvlText w:val="%1"/>
      <w:lvlJc w:val="left"/>
      <w:pPr>
        <w:ind w:left="425" w:hanging="425"/>
      </w:pPr>
      <w:rPr>
        <w:rFonts w:hint="default" w:ascii="Times New Roman" w:hAnsi="Times New Roman" w:cs="Times New Roman"/>
      </w:rPr>
    </w:lvl>
    <w:lvl w:ilvl="1" w:tentative="0">
      <w:start w:val="1"/>
      <w:numFmt w:val="decimal"/>
      <w:pStyle w:val="1169"/>
      <w:lvlText w:val="%1.%2"/>
      <w:lvlJc w:val="left"/>
      <w:pPr>
        <w:ind w:left="992" w:hanging="567"/>
      </w:pPr>
    </w:lvl>
    <w:lvl w:ilvl="2" w:tentative="0">
      <w:start w:val="1"/>
      <w:numFmt w:val="decimal"/>
      <w:pStyle w:val="332"/>
      <w:lvlText w:val="%1.%2.%3"/>
      <w:lvlJc w:val="left"/>
      <w:pPr>
        <w:ind w:left="1418" w:hanging="567"/>
      </w:pPr>
    </w:lvl>
    <w:lvl w:ilvl="3" w:tentative="0">
      <w:start w:val="1"/>
      <w:numFmt w:val="decimal"/>
      <w:pStyle w:val="868"/>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5">
    <w:nsid w:val="37A04360"/>
    <w:multiLevelType w:val="multilevel"/>
    <w:tmpl w:val="37A04360"/>
    <w:lvl w:ilvl="0" w:tentative="0">
      <w:start w:val="1"/>
      <w:numFmt w:val="decimal"/>
      <w:pStyle w:val="686"/>
      <w:lvlText w:val="表1.11-%1"/>
      <w:lvlJc w:val="center"/>
      <w:pPr>
        <w:tabs>
          <w:tab w:val="left" w:pos="2444"/>
        </w:tabs>
        <w:ind w:left="1720"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6">
    <w:nsid w:val="3A9076B2"/>
    <w:multiLevelType w:val="multilevel"/>
    <w:tmpl w:val="3A9076B2"/>
    <w:lvl w:ilvl="0" w:tentative="0">
      <w:start w:val="2"/>
      <w:numFmt w:val="decimal"/>
      <w:lvlText w:val="%1、"/>
      <w:lvlJc w:val="left"/>
      <w:pPr>
        <w:tabs>
          <w:tab w:val="left" w:pos="929"/>
        </w:tabs>
        <w:ind w:left="929"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pStyle w:val="1015"/>
      <w:lvlText w:val="%4."/>
      <w:lvlJc w:val="left"/>
      <w:pPr>
        <w:tabs>
          <w:tab w:val="left" w:pos="2249"/>
        </w:tabs>
        <w:ind w:left="2249" w:hanging="42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7">
    <w:nsid w:val="47071C76"/>
    <w:multiLevelType w:val="multilevel"/>
    <w:tmpl w:val="47071C76"/>
    <w:lvl w:ilvl="0" w:tentative="0">
      <w:start w:val="1"/>
      <w:numFmt w:val="decimal"/>
      <w:lvlText w:val="%1"/>
      <w:lvlJc w:val="left"/>
      <w:pPr>
        <w:tabs>
          <w:tab w:val="left" w:pos="360"/>
        </w:tabs>
        <w:ind w:left="0" w:firstLine="0"/>
      </w:pPr>
      <w:rPr>
        <w:rFonts w:hint="eastAsia" w:ascii="仿宋_GB2312" w:eastAsia="仿宋_GB2312"/>
        <w:b/>
        <w:i w:val="0"/>
        <w:sz w:val="32"/>
      </w:rPr>
    </w:lvl>
    <w:lvl w:ilvl="1" w:tentative="0">
      <w:start w:val="1"/>
      <w:numFmt w:val="decimal"/>
      <w:pStyle w:val="1166"/>
      <w:lvlText w:val="%1.%2"/>
      <w:lvlJc w:val="left"/>
      <w:pPr>
        <w:tabs>
          <w:tab w:val="left" w:pos="720"/>
        </w:tabs>
        <w:ind w:left="0" w:firstLine="0"/>
      </w:pPr>
      <w:rPr>
        <w:rFonts w:hint="eastAsia" w:ascii="仿宋_GB2312" w:eastAsia="仿宋_GB2312"/>
        <w:b/>
        <w:i w:val="0"/>
        <w:sz w:val="30"/>
      </w:rPr>
    </w:lvl>
    <w:lvl w:ilvl="2" w:tentative="0">
      <w:start w:val="1"/>
      <w:numFmt w:val="none"/>
      <w:lvlText w:val="1.%21"/>
      <w:lvlJc w:val="left"/>
      <w:pPr>
        <w:tabs>
          <w:tab w:val="left" w:pos="1080"/>
        </w:tabs>
        <w:ind w:left="0" w:firstLine="0"/>
      </w:pPr>
      <w:rPr>
        <w:rFonts w:hint="eastAsia" w:ascii="仿宋_GB2312" w:eastAsia="仿宋_GB2312"/>
        <w:b w:val="0"/>
        <w:i w:val="0"/>
        <w:sz w:val="28"/>
      </w:rPr>
    </w:lvl>
    <w:lvl w:ilvl="3" w:tentative="0">
      <w:start w:val="1"/>
      <w:numFmt w:val="decimal"/>
      <w:lvlRestart w:val="0"/>
      <w:isLgl/>
      <w:lvlText w:val="%1.%2.%3.%4"/>
      <w:lvlJc w:val="left"/>
      <w:pPr>
        <w:tabs>
          <w:tab w:val="left" w:pos="1440"/>
        </w:tabs>
        <w:ind w:left="0" w:firstLine="0"/>
      </w:pPr>
      <w:rPr>
        <w:rFonts w:hint="eastAsia" w:ascii="仿宋_GB2312" w:eastAsia="仿宋_GB2312"/>
        <w:b w:val="0"/>
        <w:i w:val="0"/>
        <w:sz w:val="28"/>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8">
    <w:nsid w:val="5089670E"/>
    <w:multiLevelType w:val="multilevel"/>
    <w:tmpl w:val="5089670E"/>
    <w:lvl w:ilvl="0" w:tentative="0">
      <w:start w:val="1"/>
      <w:numFmt w:val="decimal"/>
      <w:suff w:val="space"/>
      <w:lvlText w:val="%1"/>
      <w:lvlJc w:val="left"/>
      <w:pPr>
        <w:ind w:left="140" w:firstLine="0"/>
      </w:pPr>
      <w:rPr>
        <w:rFonts w:hint="eastAsia" w:ascii="黑体" w:eastAsia="黑体"/>
        <w:b w:val="0"/>
        <w:bCs w:val="0"/>
        <w:i w:val="0"/>
        <w:iCs w:val="0"/>
        <w:color w:val="auto"/>
        <w:sz w:val="28"/>
        <w:szCs w:val="28"/>
      </w:rPr>
    </w:lvl>
    <w:lvl w:ilvl="1" w:tentative="0">
      <w:start w:val="1"/>
      <w:numFmt w:val="decimal"/>
      <w:suff w:val="space"/>
      <w:lvlText w:val="%1.%2"/>
      <w:lvlJc w:val="left"/>
      <w:pPr>
        <w:ind w:left="4962" w:firstLine="0"/>
      </w:pPr>
      <w:rPr>
        <w:rFonts w:hint="eastAsia" w:ascii="黑体" w:eastAsia="黑体" w:cs="Times New Roman"/>
        <w:b w:val="0"/>
        <w:bCs w:val="0"/>
        <w:i w:val="0"/>
        <w:iCs w:val="0"/>
        <w:caps w:val="0"/>
        <w:smallCaps w:val="0"/>
        <w:strike w:val="0"/>
        <w:dstrike w:val="0"/>
        <w:vanish w:val="0"/>
        <w:color w:val="000000"/>
        <w:spacing w:val="0"/>
        <w:position w:val="0"/>
        <w:sz w:val="28"/>
        <w:szCs w:val="28"/>
        <w:u w:val="none"/>
        <w:vertAlign w:val="baseline"/>
      </w:rPr>
    </w:lvl>
    <w:lvl w:ilvl="2" w:tentative="0">
      <w:start w:val="1"/>
      <w:numFmt w:val="decimal"/>
      <w:suff w:val="space"/>
      <w:lvlText w:val="%1.%2.%3"/>
      <w:lvlJc w:val="left"/>
      <w:pPr>
        <w:ind w:left="700" w:firstLine="0"/>
      </w:pPr>
      <w:rPr>
        <w:rFonts w:hint="eastAsia" w:ascii="宋体" w:eastAsia="宋体"/>
        <w:b w:val="0"/>
        <w:bCs w:val="0"/>
        <w:i w:val="0"/>
        <w:iCs w:val="0"/>
        <w:caps w:val="0"/>
        <w:smallCaps w:val="0"/>
        <w:strike w:val="0"/>
        <w:color w:val="auto"/>
        <w:spacing w:val="0"/>
        <w:sz w:val="28"/>
        <w:szCs w:val="28"/>
        <w:u w:val="none"/>
      </w:rPr>
    </w:lvl>
    <w:lvl w:ilvl="3" w:tentative="0">
      <w:start w:val="1"/>
      <w:numFmt w:val="decimal"/>
      <w:suff w:val="space"/>
      <w:lvlText w:val="%1.%2.%3.%4"/>
      <w:lvlJc w:val="left"/>
      <w:pPr>
        <w:ind w:left="0" w:firstLine="0"/>
      </w:pPr>
      <w:rPr>
        <w:rFonts w:hint="eastAsia" w:ascii="宋体" w:hAnsi="Arial" w:eastAsia="宋体"/>
        <w:b w:val="0"/>
        <w:bCs w:val="0"/>
        <w:i w:val="0"/>
        <w:iCs w:val="0"/>
        <w:color w:val="auto"/>
        <w:sz w:val="28"/>
        <w:szCs w:val="28"/>
      </w:rPr>
    </w:lvl>
    <w:lvl w:ilvl="4" w:tentative="0">
      <w:start w:val="1"/>
      <w:numFmt w:val="decimal"/>
      <w:pStyle w:val="595"/>
      <w:suff w:val="space"/>
      <w:lvlText w:val="%5)"/>
      <w:lvlJc w:val="left"/>
      <w:pPr>
        <w:ind w:left="-567" w:firstLine="567"/>
      </w:pPr>
      <w:rPr>
        <w:rFonts w:hint="eastAsia" w:ascii="宋体" w:eastAsia="宋体"/>
        <w:b w:val="0"/>
        <w:i w:val="0"/>
        <w:sz w:val="28"/>
        <w:szCs w:val="28"/>
      </w:rPr>
    </w:lvl>
    <w:lvl w:ilvl="5" w:tentative="0">
      <w:start w:val="1"/>
      <w:numFmt w:val="decimal"/>
      <w:suff w:val="space"/>
      <w:lvlText w:val="(%6)"/>
      <w:lvlJc w:val="left"/>
      <w:pPr>
        <w:ind w:left="-427" w:firstLine="567"/>
      </w:pPr>
      <w:rPr>
        <w:rFonts w:hint="eastAsia" w:ascii="宋体" w:eastAsia="宋体"/>
        <w:b w:val="0"/>
        <w:bCs w:val="0"/>
        <w:i w:val="0"/>
        <w:iCs w:val="0"/>
        <w:sz w:val="28"/>
        <w:szCs w:val="28"/>
      </w:rPr>
    </w:lvl>
    <w:lvl w:ilvl="6" w:tentative="0">
      <w:start w:val="1"/>
      <w:numFmt w:val="decimal"/>
      <w:lvlText w:val="%1.%2.%3.%4.%5.%6.%7"/>
      <w:lvlJc w:val="left"/>
      <w:pPr>
        <w:tabs>
          <w:tab w:val="left" w:pos="936"/>
        </w:tabs>
        <w:ind w:left="936" w:hanging="1296"/>
      </w:pPr>
      <w:rPr>
        <w:rFonts w:hint="eastAsia"/>
      </w:rPr>
    </w:lvl>
    <w:lvl w:ilvl="7" w:tentative="0">
      <w:start w:val="1"/>
      <w:numFmt w:val="decimal"/>
      <w:lvlText w:val="%1.%2.%3.%4.%5.%6.%7.%8"/>
      <w:lvlJc w:val="left"/>
      <w:pPr>
        <w:tabs>
          <w:tab w:val="left" w:pos="1080"/>
        </w:tabs>
        <w:ind w:left="1080" w:hanging="1440"/>
      </w:pPr>
      <w:rPr>
        <w:rFonts w:hint="eastAsia"/>
      </w:rPr>
    </w:lvl>
    <w:lvl w:ilvl="8" w:tentative="0">
      <w:start w:val="1"/>
      <w:numFmt w:val="decimal"/>
      <w:lvlText w:val="%1.%2.%3.%4.%5.%6.%7.%8.%9"/>
      <w:lvlJc w:val="left"/>
      <w:pPr>
        <w:tabs>
          <w:tab w:val="left" w:pos="1224"/>
        </w:tabs>
        <w:ind w:left="1224" w:hanging="1584"/>
      </w:pPr>
      <w:rPr>
        <w:rFonts w:hint="eastAsia"/>
      </w:rPr>
    </w:lvl>
  </w:abstractNum>
  <w:abstractNum w:abstractNumId="19">
    <w:nsid w:val="557C2AF5"/>
    <w:multiLevelType w:val="multilevel"/>
    <w:tmpl w:val="557C2AF5"/>
    <w:lvl w:ilvl="0" w:tentative="0">
      <w:start w:val="1"/>
      <w:numFmt w:val="decimal"/>
      <w:pStyle w:val="636"/>
      <w:suff w:val="nothing"/>
      <w:lvlText w:val="图%1　"/>
      <w:lvlJc w:val="left"/>
      <w:pPr>
        <w:ind w:left="0" w:firstLine="0"/>
      </w:pPr>
      <w:rPr>
        <w:rFonts w:hint="eastAsia" w:ascii="黑体" w:hAnsi="Times New Roman" w:eastAsia="黑体"/>
        <w:b w:val="0"/>
        <w:i w:val="0"/>
        <w:sz w:val="21"/>
      </w:rPr>
    </w:lvl>
    <w:lvl w:ilvl="1" w:tentative="0">
      <w:start w:val="1"/>
      <w:numFmt w:val="decimal"/>
      <w:suff w:val="nothing"/>
      <w:lvlText w:val="%1%2　"/>
      <w:lvlJc w:val="left"/>
      <w:pPr>
        <w:ind w:left="0" w:firstLine="0"/>
      </w:pPr>
      <w:rPr>
        <w:rFonts w:hint="default" w:ascii="Times New Roman" w:hAnsi="Times New Roman" w:eastAsia="黑体"/>
        <w:b w:val="0"/>
        <w:i w:val="0"/>
        <w:sz w:val="21"/>
      </w:rPr>
    </w:lvl>
    <w:lvl w:ilvl="2" w:tentative="0">
      <w:start w:val="1"/>
      <w:numFmt w:val="decimal"/>
      <w:suff w:val="nothing"/>
      <w:lvlText w:val="%1%2.%3　"/>
      <w:lvlJc w:val="left"/>
      <w:pPr>
        <w:ind w:left="0" w:firstLine="0"/>
      </w:pPr>
      <w:rPr>
        <w:rFonts w:hint="default" w:ascii="Times New Roman" w:hAnsi="Times New Roman" w:eastAsia="黑体"/>
        <w:b w:val="0"/>
        <w:i w:val="0"/>
        <w:sz w:val="21"/>
      </w:rPr>
    </w:lvl>
    <w:lvl w:ilvl="3" w:tentative="0">
      <w:start w:val="1"/>
      <w:numFmt w:val="decimal"/>
      <w:suff w:val="nothing"/>
      <w:lvlText w:val="%1%2.%3.%4　"/>
      <w:lvlJc w:val="left"/>
      <w:pPr>
        <w:ind w:left="0" w:firstLine="0"/>
      </w:pPr>
      <w:rPr>
        <w:rFonts w:hint="default" w:ascii="Times New Roman" w:hAnsi="Times New Roman" w:eastAsia="黑体"/>
        <w:b w:val="0"/>
        <w:i w:val="0"/>
        <w:sz w:val="21"/>
      </w:rPr>
    </w:lvl>
    <w:lvl w:ilvl="4" w:tentative="0">
      <w:start w:val="1"/>
      <w:numFmt w:val="decimal"/>
      <w:suff w:val="nothing"/>
      <w:lvlText w:val="%1%2.%3.%4.%5　"/>
      <w:lvlJc w:val="left"/>
      <w:pPr>
        <w:ind w:left="0" w:firstLine="0"/>
      </w:pPr>
      <w:rPr>
        <w:rFonts w:hint="default" w:ascii="Times New Roman" w:hAnsi="Times New Roman" w:eastAsia="黑体"/>
        <w:b w:val="0"/>
        <w:i w:val="0"/>
        <w:sz w:val="21"/>
      </w:rPr>
    </w:lvl>
    <w:lvl w:ilvl="5" w:tentative="0">
      <w:start w:val="1"/>
      <w:numFmt w:val="decimal"/>
      <w:suff w:val="nothing"/>
      <w:lvlText w:val="%1%2.%3.%4.%5.%6　"/>
      <w:lvlJc w:val="left"/>
      <w:pPr>
        <w:ind w:left="0" w:firstLine="0"/>
      </w:pPr>
      <w:rPr>
        <w:rFonts w:hint="default" w:ascii="Times New Roman" w:hAnsi="Times New Roman" w:eastAsia="黑体"/>
        <w:b w:val="0"/>
        <w:i w:val="0"/>
        <w:sz w:val="21"/>
      </w:rPr>
    </w:lvl>
    <w:lvl w:ilvl="6" w:tentative="0">
      <w:start w:val="1"/>
      <w:numFmt w:val="decimal"/>
      <w:suff w:val="nothing"/>
      <w:lvlText w:val="%1%2.%3.%4.%5.%6.%7　"/>
      <w:lvlJc w:val="left"/>
      <w:pPr>
        <w:ind w:left="0" w:firstLine="0"/>
      </w:pPr>
      <w:rPr>
        <w:rFonts w:hint="default" w:ascii="Times New Roman"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20">
    <w:nsid w:val="55933D2D"/>
    <w:multiLevelType w:val="multilevel"/>
    <w:tmpl w:val="55933D2D"/>
    <w:lvl w:ilvl="0" w:tentative="0">
      <w:start w:val="1"/>
      <w:numFmt w:val="decimal"/>
      <w:suff w:val="nothing"/>
      <w:lvlText w:val="（%1）"/>
      <w:lvlJc w:val="left"/>
      <w:pPr>
        <w:ind w:left="1095" w:hanging="420"/>
      </w:pPr>
      <w:rPr>
        <w:rFonts w:hint="eastAsia"/>
      </w:rPr>
    </w:lvl>
    <w:lvl w:ilvl="1" w:tentative="0">
      <w:start w:val="1"/>
      <w:numFmt w:val="lowerLetter"/>
      <w:lvlText w:val="%2)"/>
      <w:lvlJc w:val="left"/>
      <w:pPr>
        <w:ind w:left="1515" w:hanging="420"/>
      </w:pPr>
    </w:lvl>
    <w:lvl w:ilvl="2" w:tentative="0">
      <w:start w:val="1"/>
      <w:numFmt w:val="lowerRoman"/>
      <w:lvlText w:val="%3."/>
      <w:lvlJc w:val="right"/>
      <w:pPr>
        <w:ind w:left="1935" w:hanging="420"/>
      </w:pPr>
    </w:lvl>
    <w:lvl w:ilvl="3" w:tentative="0">
      <w:start w:val="1"/>
      <w:numFmt w:val="decimal"/>
      <w:lvlText w:val="%4."/>
      <w:lvlJc w:val="left"/>
      <w:pPr>
        <w:ind w:left="2355" w:hanging="420"/>
      </w:pPr>
    </w:lvl>
    <w:lvl w:ilvl="4" w:tentative="0">
      <w:start w:val="1"/>
      <w:numFmt w:val="lowerLetter"/>
      <w:lvlText w:val="%5)"/>
      <w:lvlJc w:val="left"/>
      <w:pPr>
        <w:ind w:left="2775" w:hanging="420"/>
      </w:pPr>
    </w:lvl>
    <w:lvl w:ilvl="5" w:tentative="0">
      <w:start w:val="1"/>
      <w:numFmt w:val="lowerRoman"/>
      <w:lvlText w:val="%6."/>
      <w:lvlJc w:val="right"/>
      <w:pPr>
        <w:ind w:left="3195" w:hanging="420"/>
      </w:pPr>
    </w:lvl>
    <w:lvl w:ilvl="6" w:tentative="0">
      <w:start w:val="1"/>
      <w:numFmt w:val="decimal"/>
      <w:lvlText w:val="%7."/>
      <w:lvlJc w:val="left"/>
      <w:pPr>
        <w:ind w:left="3615" w:hanging="420"/>
      </w:pPr>
    </w:lvl>
    <w:lvl w:ilvl="7" w:tentative="0">
      <w:start w:val="1"/>
      <w:numFmt w:val="lowerLetter"/>
      <w:lvlText w:val="%8)"/>
      <w:lvlJc w:val="left"/>
      <w:pPr>
        <w:ind w:left="4035" w:hanging="420"/>
      </w:pPr>
    </w:lvl>
    <w:lvl w:ilvl="8" w:tentative="0">
      <w:start w:val="1"/>
      <w:numFmt w:val="lowerRoman"/>
      <w:lvlText w:val="%9."/>
      <w:lvlJc w:val="right"/>
      <w:pPr>
        <w:ind w:left="4455" w:hanging="420"/>
      </w:pPr>
    </w:lvl>
  </w:abstractNum>
  <w:abstractNum w:abstractNumId="21">
    <w:nsid w:val="646260FA"/>
    <w:multiLevelType w:val="multilevel"/>
    <w:tmpl w:val="646260FA"/>
    <w:lvl w:ilvl="0" w:tentative="0">
      <w:start w:val="1"/>
      <w:numFmt w:val="decimal"/>
      <w:pStyle w:val="967"/>
      <w:suff w:val="nothing"/>
      <w:lvlText w:val="表%1　"/>
      <w:lvlJc w:val="left"/>
      <w:pPr>
        <w:ind w:left="0" w:firstLine="0"/>
      </w:pPr>
      <w:rPr>
        <w:rFonts w:hint="eastAsia" w:ascii="黑体" w:hAnsi="Times New Roman" w:eastAsia="黑体"/>
        <w:b w:val="0"/>
        <w:i w:val="0"/>
        <w:sz w:val="21"/>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22">
    <w:nsid w:val="766D7B15"/>
    <w:multiLevelType w:val="multilevel"/>
    <w:tmpl w:val="766D7B15"/>
    <w:lvl w:ilvl="0" w:tentative="0">
      <w:start w:val="1"/>
      <w:numFmt w:val="decimal"/>
      <w:pStyle w:val="288"/>
      <w:lvlText w:val="%1"/>
      <w:lvlJc w:val="left"/>
      <w:pPr>
        <w:tabs>
          <w:tab w:val="left" w:pos="425"/>
        </w:tabs>
        <w:ind w:left="425" w:hanging="425"/>
      </w:pPr>
      <w:rPr>
        <w:rFonts w:hint="eastAsia"/>
      </w:rPr>
    </w:lvl>
    <w:lvl w:ilvl="1" w:tentative="0">
      <w:start w:val="1"/>
      <w:numFmt w:val="decimal"/>
      <w:lvlText w:val="%1.%2"/>
      <w:lvlJc w:val="left"/>
      <w:pPr>
        <w:tabs>
          <w:tab w:val="left" w:pos="1865"/>
        </w:tabs>
        <w:ind w:left="992" w:hanging="567"/>
      </w:pPr>
      <w:rPr>
        <w:rFonts w:hint="eastAsia"/>
      </w:rPr>
    </w:lvl>
    <w:lvl w:ilvl="2" w:tentative="0">
      <w:start w:val="1"/>
      <w:numFmt w:val="decimal"/>
      <w:lvlText w:val="%1.%2.%3"/>
      <w:lvlJc w:val="left"/>
      <w:pPr>
        <w:tabs>
          <w:tab w:val="left" w:pos="3011"/>
        </w:tabs>
        <w:ind w:left="1418" w:hanging="567"/>
      </w:pPr>
      <w:rPr>
        <w:rFonts w:hint="eastAsia"/>
      </w:rPr>
    </w:lvl>
    <w:lvl w:ilvl="3" w:tentative="0">
      <w:start w:val="1"/>
      <w:numFmt w:val="decimal"/>
      <w:lvlText w:val="%1.%2.%3.%4"/>
      <w:lvlJc w:val="left"/>
      <w:pPr>
        <w:tabs>
          <w:tab w:val="left" w:pos="4156"/>
        </w:tabs>
        <w:ind w:left="1984" w:hanging="708"/>
      </w:pPr>
      <w:rPr>
        <w:rFonts w:hint="eastAsia"/>
      </w:rPr>
    </w:lvl>
    <w:lvl w:ilvl="4" w:tentative="0">
      <w:start w:val="1"/>
      <w:numFmt w:val="decimal"/>
      <w:lvlText w:val="%1.%2.%3.%4.%5"/>
      <w:lvlJc w:val="left"/>
      <w:pPr>
        <w:tabs>
          <w:tab w:val="left" w:pos="5301"/>
        </w:tabs>
        <w:ind w:left="2551" w:hanging="850"/>
      </w:pPr>
      <w:rPr>
        <w:rFonts w:hint="eastAsia"/>
      </w:rPr>
    </w:lvl>
    <w:lvl w:ilvl="5" w:tentative="0">
      <w:start w:val="1"/>
      <w:numFmt w:val="decimal"/>
      <w:lvlText w:val="%1.%2.%3.%4.%5.%6"/>
      <w:lvlJc w:val="left"/>
      <w:pPr>
        <w:tabs>
          <w:tab w:val="left" w:pos="6446"/>
        </w:tabs>
        <w:ind w:left="3260" w:hanging="1134"/>
      </w:pPr>
      <w:rPr>
        <w:rFonts w:hint="eastAsia"/>
      </w:rPr>
    </w:lvl>
    <w:lvl w:ilvl="6" w:tentative="0">
      <w:start w:val="1"/>
      <w:numFmt w:val="decimal"/>
      <w:lvlText w:val="%1.%2.%3.%4.%5.%6.%7"/>
      <w:lvlJc w:val="left"/>
      <w:pPr>
        <w:tabs>
          <w:tab w:val="left" w:pos="7591"/>
        </w:tabs>
        <w:ind w:left="3827" w:hanging="1276"/>
      </w:pPr>
      <w:rPr>
        <w:rFonts w:hint="eastAsia"/>
      </w:rPr>
    </w:lvl>
    <w:lvl w:ilvl="7" w:tentative="0">
      <w:start w:val="1"/>
      <w:numFmt w:val="decimal"/>
      <w:lvlText w:val="%1.%2.%3.%4.%5.%6.%7.%8"/>
      <w:lvlJc w:val="left"/>
      <w:pPr>
        <w:tabs>
          <w:tab w:val="left" w:pos="8736"/>
        </w:tabs>
        <w:ind w:left="4394" w:hanging="1418"/>
      </w:pPr>
      <w:rPr>
        <w:rFonts w:hint="eastAsia"/>
      </w:rPr>
    </w:lvl>
    <w:lvl w:ilvl="8" w:tentative="0">
      <w:start w:val="1"/>
      <w:numFmt w:val="decimal"/>
      <w:lvlText w:val="%1.%2.%3.%4.%5.%6.%7.%8.%9"/>
      <w:lvlJc w:val="left"/>
      <w:pPr>
        <w:tabs>
          <w:tab w:val="left" w:pos="10242"/>
        </w:tabs>
        <w:ind w:left="5102" w:hanging="1700"/>
      </w:pPr>
      <w:rPr>
        <w:rFonts w:hint="eastAsia"/>
      </w:rPr>
    </w:lvl>
  </w:abstractNum>
  <w:num w:numId="1">
    <w:abstractNumId w:val="1"/>
  </w:num>
  <w:num w:numId="2">
    <w:abstractNumId w:val="22"/>
  </w:num>
  <w:num w:numId="3">
    <w:abstractNumId w:val="2"/>
  </w:num>
  <w:num w:numId="4">
    <w:abstractNumId w:val="14"/>
  </w:num>
  <w:num w:numId="5">
    <w:abstractNumId w:val="18"/>
  </w:num>
  <w:num w:numId="6">
    <w:abstractNumId w:val="19"/>
  </w:num>
  <w:num w:numId="7">
    <w:abstractNumId w:val="15"/>
  </w:num>
  <w:num w:numId="8">
    <w:abstractNumId w:val="5"/>
  </w:num>
  <w:num w:numId="9">
    <w:abstractNumId w:val="12"/>
  </w:num>
  <w:num w:numId="10">
    <w:abstractNumId w:val="21"/>
  </w:num>
  <w:num w:numId="11">
    <w:abstractNumId w:val="1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17"/>
  </w:num>
  <w:num w:numId="14">
    <w:abstractNumId w:val="3"/>
  </w:num>
  <w:num w:numId="15">
    <w:abstractNumId w:val="6"/>
  </w:num>
  <w:num w:numId="16">
    <w:abstractNumId w:val="8"/>
  </w:num>
  <w:num w:numId="17">
    <w:abstractNumId w:val="13"/>
  </w:num>
  <w:num w:numId="18">
    <w:abstractNumId w:val="11"/>
  </w:num>
  <w:num w:numId="19">
    <w:abstractNumId w:val="4"/>
  </w:num>
  <w:num w:numId="20">
    <w:abstractNumId w:val="10"/>
  </w:num>
  <w:num w:numId="21">
    <w:abstractNumId w:val="20"/>
  </w:num>
  <w:num w:numId="22">
    <w:abstractNumId w:val="9"/>
  </w:num>
  <w:num w:numId="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evenAndOddHeaders w:val="1"/>
  <w:displayHorizontalDrawingGridEvery w:val="1"/>
  <w:displayVerticalDrawingGridEvery w:val="1"/>
  <w:noPunctuationKerning w:val="1"/>
  <w:characterSpacingControl w:val="doNotCompress"/>
  <w:noLineBreaksAfter w:lang="zh-CN" w:val="([{·‘“〈《「『【〔〖（．［｛￡￥"/>
  <w:noLineBreaksBefore w:lang="zh-CN" w:val="!),.:;?]}¨·ˇˉ―‖’”…∶、。〃々〉》」』】〕〗！＂＇），．：；？］｀｜｝～￠"/>
  <w:compat>
    <w:ulTrailSpace/>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VjMzk4NjRkZjYzNGJhNzQzZTU4NzY0MjU5Y2E5NWMifQ=="/>
    <w:docVar w:name="KSO_WPS_MARK_KEY" w:val="013c77c8-3ba8-47b5-bbde-39a4ace220a9"/>
  </w:docVars>
  <w:rsids>
    <w:rsidRoot w:val="00172A27"/>
    <w:rsid w:val="00002589"/>
    <w:rsid w:val="000035A2"/>
    <w:rsid w:val="00003DF0"/>
    <w:rsid w:val="000055E6"/>
    <w:rsid w:val="0000564F"/>
    <w:rsid w:val="000060B3"/>
    <w:rsid w:val="000069AE"/>
    <w:rsid w:val="00006FBF"/>
    <w:rsid w:val="00007CD0"/>
    <w:rsid w:val="00010986"/>
    <w:rsid w:val="00014574"/>
    <w:rsid w:val="00014AF0"/>
    <w:rsid w:val="00016298"/>
    <w:rsid w:val="00016C4D"/>
    <w:rsid w:val="0001762C"/>
    <w:rsid w:val="00025B61"/>
    <w:rsid w:val="00031913"/>
    <w:rsid w:val="00034071"/>
    <w:rsid w:val="00034098"/>
    <w:rsid w:val="000343A4"/>
    <w:rsid w:val="00041A3C"/>
    <w:rsid w:val="00042F19"/>
    <w:rsid w:val="00043081"/>
    <w:rsid w:val="0004364B"/>
    <w:rsid w:val="000468DB"/>
    <w:rsid w:val="00050F17"/>
    <w:rsid w:val="00054F1D"/>
    <w:rsid w:val="00057C67"/>
    <w:rsid w:val="00061B1F"/>
    <w:rsid w:val="00061EB2"/>
    <w:rsid w:val="00062CF9"/>
    <w:rsid w:val="000630D7"/>
    <w:rsid w:val="00066831"/>
    <w:rsid w:val="00066DC8"/>
    <w:rsid w:val="00067205"/>
    <w:rsid w:val="00070292"/>
    <w:rsid w:val="000706A2"/>
    <w:rsid w:val="00070C7E"/>
    <w:rsid w:val="00071AB9"/>
    <w:rsid w:val="00071B94"/>
    <w:rsid w:val="000733C4"/>
    <w:rsid w:val="00074783"/>
    <w:rsid w:val="00076D47"/>
    <w:rsid w:val="0008070B"/>
    <w:rsid w:val="000810AC"/>
    <w:rsid w:val="00081A02"/>
    <w:rsid w:val="00082231"/>
    <w:rsid w:val="00082364"/>
    <w:rsid w:val="000835C2"/>
    <w:rsid w:val="000835F4"/>
    <w:rsid w:val="00085022"/>
    <w:rsid w:val="000851C5"/>
    <w:rsid w:val="000901FE"/>
    <w:rsid w:val="000904AF"/>
    <w:rsid w:val="00092834"/>
    <w:rsid w:val="00092D38"/>
    <w:rsid w:val="0009377B"/>
    <w:rsid w:val="00093910"/>
    <w:rsid w:val="000956D2"/>
    <w:rsid w:val="00097967"/>
    <w:rsid w:val="000A03C7"/>
    <w:rsid w:val="000A0848"/>
    <w:rsid w:val="000A1480"/>
    <w:rsid w:val="000A20C9"/>
    <w:rsid w:val="000A265A"/>
    <w:rsid w:val="000A5422"/>
    <w:rsid w:val="000A7A44"/>
    <w:rsid w:val="000A7D45"/>
    <w:rsid w:val="000B058F"/>
    <w:rsid w:val="000B11C2"/>
    <w:rsid w:val="000B1C40"/>
    <w:rsid w:val="000B4467"/>
    <w:rsid w:val="000B4DB9"/>
    <w:rsid w:val="000C0328"/>
    <w:rsid w:val="000C09AC"/>
    <w:rsid w:val="000C1A6F"/>
    <w:rsid w:val="000C31CA"/>
    <w:rsid w:val="000C3482"/>
    <w:rsid w:val="000C3C3C"/>
    <w:rsid w:val="000C3F8C"/>
    <w:rsid w:val="000C6BC9"/>
    <w:rsid w:val="000C767F"/>
    <w:rsid w:val="000C7E7A"/>
    <w:rsid w:val="000D11D6"/>
    <w:rsid w:val="000D2BB3"/>
    <w:rsid w:val="000D4200"/>
    <w:rsid w:val="000D45ED"/>
    <w:rsid w:val="000D5A44"/>
    <w:rsid w:val="000D5F3C"/>
    <w:rsid w:val="000E14CD"/>
    <w:rsid w:val="000E3ED2"/>
    <w:rsid w:val="000E6D10"/>
    <w:rsid w:val="000E7B81"/>
    <w:rsid w:val="000F11D5"/>
    <w:rsid w:val="000F3738"/>
    <w:rsid w:val="000F469A"/>
    <w:rsid w:val="000F51C3"/>
    <w:rsid w:val="000F6572"/>
    <w:rsid w:val="000F79DF"/>
    <w:rsid w:val="00100296"/>
    <w:rsid w:val="00100FDD"/>
    <w:rsid w:val="00104497"/>
    <w:rsid w:val="001045EC"/>
    <w:rsid w:val="00106FC5"/>
    <w:rsid w:val="001079BE"/>
    <w:rsid w:val="00114F6E"/>
    <w:rsid w:val="00120431"/>
    <w:rsid w:val="00121FCD"/>
    <w:rsid w:val="00124362"/>
    <w:rsid w:val="001250FE"/>
    <w:rsid w:val="00125332"/>
    <w:rsid w:val="00126237"/>
    <w:rsid w:val="00127CBE"/>
    <w:rsid w:val="00130F40"/>
    <w:rsid w:val="00131C9E"/>
    <w:rsid w:val="00131F42"/>
    <w:rsid w:val="001357F1"/>
    <w:rsid w:val="00135A3C"/>
    <w:rsid w:val="001364DA"/>
    <w:rsid w:val="00136A6C"/>
    <w:rsid w:val="001378FE"/>
    <w:rsid w:val="00140FA8"/>
    <w:rsid w:val="00141F3F"/>
    <w:rsid w:val="001425EA"/>
    <w:rsid w:val="001428ED"/>
    <w:rsid w:val="00142E31"/>
    <w:rsid w:val="00142FEB"/>
    <w:rsid w:val="00143A2D"/>
    <w:rsid w:val="00144B6D"/>
    <w:rsid w:val="00145A41"/>
    <w:rsid w:val="001506EE"/>
    <w:rsid w:val="00151675"/>
    <w:rsid w:val="00157435"/>
    <w:rsid w:val="001574E9"/>
    <w:rsid w:val="001604C1"/>
    <w:rsid w:val="00162D90"/>
    <w:rsid w:val="001631FB"/>
    <w:rsid w:val="001640CC"/>
    <w:rsid w:val="00165D9A"/>
    <w:rsid w:val="00172A27"/>
    <w:rsid w:val="00174459"/>
    <w:rsid w:val="00174601"/>
    <w:rsid w:val="0017504D"/>
    <w:rsid w:val="00175C54"/>
    <w:rsid w:val="00175DAA"/>
    <w:rsid w:val="0017671A"/>
    <w:rsid w:val="00177422"/>
    <w:rsid w:val="00177DC1"/>
    <w:rsid w:val="00182C14"/>
    <w:rsid w:val="00183A88"/>
    <w:rsid w:val="0018418C"/>
    <w:rsid w:val="00184590"/>
    <w:rsid w:val="00185566"/>
    <w:rsid w:val="001870D1"/>
    <w:rsid w:val="00187190"/>
    <w:rsid w:val="0018781E"/>
    <w:rsid w:val="00192460"/>
    <w:rsid w:val="0019262D"/>
    <w:rsid w:val="00194B39"/>
    <w:rsid w:val="00194C2D"/>
    <w:rsid w:val="00194F0F"/>
    <w:rsid w:val="00195BE8"/>
    <w:rsid w:val="001A004B"/>
    <w:rsid w:val="001A1AAC"/>
    <w:rsid w:val="001A1B35"/>
    <w:rsid w:val="001A3B4D"/>
    <w:rsid w:val="001A4025"/>
    <w:rsid w:val="001A48A2"/>
    <w:rsid w:val="001A6F61"/>
    <w:rsid w:val="001B24B0"/>
    <w:rsid w:val="001B3E5E"/>
    <w:rsid w:val="001B4C8C"/>
    <w:rsid w:val="001B5BBB"/>
    <w:rsid w:val="001B72B8"/>
    <w:rsid w:val="001C0F3C"/>
    <w:rsid w:val="001C1F22"/>
    <w:rsid w:val="001C4E4E"/>
    <w:rsid w:val="001C5C85"/>
    <w:rsid w:val="001C6132"/>
    <w:rsid w:val="001C6772"/>
    <w:rsid w:val="001C69B3"/>
    <w:rsid w:val="001D057D"/>
    <w:rsid w:val="001D0961"/>
    <w:rsid w:val="001D0BCF"/>
    <w:rsid w:val="001D0C2A"/>
    <w:rsid w:val="001D0E1F"/>
    <w:rsid w:val="001D19FE"/>
    <w:rsid w:val="001D3425"/>
    <w:rsid w:val="001D3496"/>
    <w:rsid w:val="001D5595"/>
    <w:rsid w:val="001D5EB1"/>
    <w:rsid w:val="001D7874"/>
    <w:rsid w:val="001D7F22"/>
    <w:rsid w:val="001E100F"/>
    <w:rsid w:val="001E21D6"/>
    <w:rsid w:val="001E3A81"/>
    <w:rsid w:val="001E4929"/>
    <w:rsid w:val="001E4A86"/>
    <w:rsid w:val="001E683C"/>
    <w:rsid w:val="001F0DD6"/>
    <w:rsid w:val="001F0F17"/>
    <w:rsid w:val="001F2DFC"/>
    <w:rsid w:val="001F3347"/>
    <w:rsid w:val="001F5BDC"/>
    <w:rsid w:val="001F69E4"/>
    <w:rsid w:val="00202E1A"/>
    <w:rsid w:val="00204101"/>
    <w:rsid w:val="002101F0"/>
    <w:rsid w:val="002115BA"/>
    <w:rsid w:val="00211DFB"/>
    <w:rsid w:val="002125B4"/>
    <w:rsid w:val="00212C4C"/>
    <w:rsid w:val="002155B8"/>
    <w:rsid w:val="00215DB5"/>
    <w:rsid w:val="0022014A"/>
    <w:rsid w:val="0022094E"/>
    <w:rsid w:val="00220DF1"/>
    <w:rsid w:val="002210E2"/>
    <w:rsid w:val="00221154"/>
    <w:rsid w:val="00224839"/>
    <w:rsid w:val="002249B2"/>
    <w:rsid w:val="00226574"/>
    <w:rsid w:val="0022659E"/>
    <w:rsid w:val="002278D0"/>
    <w:rsid w:val="002278EC"/>
    <w:rsid w:val="00231A41"/>
    <w:rsid w:val="0023280E"/>
    <w:rsid w:val="00233005"/>
    <w:rsid w:val="00233D88"/>
    <w:rsid w:val="002343EC"/>
    <w:rsid w:val="00234D4E"/>
    <w:rsid w:val="002365FF"/>
    <w:rsid w:val="0023726D"/>
    <w:rsid w:val="002377D1"/>
    <w:rsid w:val="00237A6E"/>
    <w:rsid w:val="00240190"/>
    <w:rsid w:val="0024055C"/>
    <w:rsid w:val="00240B30"/>
    <w:rsid w:val="002467F1"/>
    <w:rsid w:val="002506BC"/>
    <w:rsid w:val="002506E7"/>
    <w:rsid w:val="00252AD3"/>
    <w:rsid w:val="00253CD2"/>
    <w:rsid w:val="00253F2C"/>
    <w:rsid w:val="00254345"/>
    <w:rsid w:val="00255871"/>
    <w:rsid w:val="002603CE"/>
    <w:rsid w:val="00263FAB"/>
    <w:rsid w:val="002642F9"/>
    <w:rsid w:val="00264557"/>
    <w:rsid w:val="00265398"/>
    <w:rsid w:val="00273026"/>
    <w:rsid w:val="0027364A"/>
    <w:rsid w:val="002741F2"/>
    <w:rsid w:val="00274222"/>
    <w:rsid w:val="0027458C"/>
    <w:rsid w:val="002752D0"/>
    <w:rsid w:val="002805AB"/>
    <w:rsid w:val="00282534"/>
    <w:rsid w:val="002831F2"/>
    <w:rsid w:val="00284204"/>
    <w:rsid w:val="00287C49"/>
    <w:rsid w:val="00290561"/>
    <w:rsid w:val="00291773"/>
    <w:rsid w:val="00294441"/>
    <w:rsid w:val="00297BCE"/>
    <w:rsid w:val="002A168C"/>
    <w:rsid w:val="002A1F1C"/>
    <w:rsid w:val="002A3DC7"/>
    <w:rsid w:val="002A4A9E"/>
    <w:rsid w:val="002A57A3"/>
    <w:rsid w:val="002A5F78"/>
    <w:rsid w:val="002A7329"/>
    <w:rsid w:val="002B18BB"/>
    <w:rsid w:val="002B1A80"/>
    <w:rsid w:val="002B3243"/>
    <w:rsid w:val="002B49E2"/>
    <w:rsid w:val="002B7B00"/>
    <w:rsid w:val="002B7C44"/>
    <w:rsid w:val="002B7E77"/>
    <w:rsid w:val="002C1C6E"/>
    <w:rsid w:val="002C2B17"/>
    <w:rsid w:val="002C2FA6"/>
    <w:rsid w:val="002C60B1"/>
    <w:rsid w:val="002C6243"/>
    <w:rsid w:val="002D3D85"/>
    <w:rsid w:val="002D3DD0"/>
    <w:rsid w:val="002D6881"/>
    <w:rsid w:val="002D7DB7"/>
    <w:rsid w:val="002E0A7F"/>
    <w:rsid w:val="002E0B3B"/>
    <w:rsid w:val="002E15EF"/>
    <w:rsid w:val="002E1EA6"/>
    <w:rsid w:val="002E1F3A"/>
    <w:rsid w:val="002E25EF"/>
    <w:rsid w:val="002E298A"/>
    <w:rsid w:val="002E375C"/>
    <w:rsid w:val="002E3A0E"/>
    <w:rsid w:val="002E3D82"/>
    <w:rsid w:val="002F0FAE"/>
    <w:rsid w:val="002F2912"/>
    <w:rsid w:val="002F3517"/>
    <w:rsid w:val="002F6387"/>
    <w:rsid w:val="002F6D50"/>
    <w:rsid w:val="00301978"/>
    <w:rsid w:val="00301F1F"/>
    <w:rsid w:val="00302DDF"/>
    <w:rsid w:val="00302E31"/>
    <w:rsid w:val="0030332C"/>
    <w:rsid w:val="00303736"/>
    <w:rsid w:val="00304FD9"/>
    <w:rsid w:val="003051C2"/>
    <w:rsid w:val="00305467"/>
    <w:rsid w:val="00306F6C"/>
    <w:rsid w:val="00307CFA"/>
    <w:rsid w:val="00310218"/>
    <w:rsid w:val="00312296"/>
    <w:rsid w:val="00312891"/>
    <w:rsid w:val="00314D3B"/>
    <w:rsid w:val="00314F0E"/>
    <w:rsid w:val="003155D0"/>
    <w:rsid w:val="00316929"/>
    <w:rsid w:val="00316B2F"/>
    <w:rsid w:val="0032008D"/>
    <w:rsid w:val="0032058C"/>
    <w:rsid w:val="003211E1"/>
    <w:rsid w:val="00321D8E"/>
    <w:rsid w:val="00325928"/>
    <w:rsid w:val="00325DE0"/>
    <w:rsid w:val="003319DE"/>
    <w:rsid w:val="00332863"/>
    <w:rsid w:val="003349D0"/>
    <w:rsid w:val="003352FE"/>
    <w:rsid w:val="0033684D"/>
    <w:rsid w:val="00337B42"/>
    <w:rsid w:val="00340096"/>
    <w:rsid w:val="00341B42"/>
    <w:rsid w:val="0034348F"/>
    <w:rsid w:val="00343E4C"/>
    <w:rsid w:val="003461E0"/>
    <w:rsid w:val="00347CA0"/>
    <w:rsid w:val="00354CEE"/>
    <w:rsid w:val="003563AE"/>
    <w:rsid w:val="00356653"/>
    <w:rsid w:val="00356958"/>
    <w:rsid w:val="0035743F"/>
    <w:rsid w:val="00357BE2"/>
    <w:rsid w:val="0036170C"/>
    <w:rsid w:val="00361D0A"/>
    <w:rsid w:val="00363E54"/>
    <w:rsid w:val="0036585E"/>
    <w:rsid w:val="00366E0F"/>
    <w:rsid w:val="00366E75"/>
    <w:rsid w:val="00366F1E"/>
    <w:rsid w:val="00367B2E"/>
    <w:rsid w:val="003762AD"/>
    <w:rsid w:val="00377510"/>
    <w:rsid w:val="003813A8"/>
    <w:rsid w:val="00381A72"/>
    <w:rsid w:val="00381AD3"/>
    <w:rsid w:val="0038205F"/>
    <w:rsid w:val="0038258E"/>
    <w:rsid w:val="0038392B"/>
    <w:rsid w:val="00384676"/>
    <w:rsid w:val="00390857"/>
    <w:rsid w:val="00392BCE"/>
    <w:rsid w:val="00392D24"/>
    <w:rsid w:val="0039337C"/>
    <w:rsid w:val="003953C9"/>
    <w:rsid w:val="00395E15"/>
    <w:rsid w:val="00397890"/>
    <w:rsid w:val="003A0F1D"/>
    <w:rsid w:val="003A1F83"/>
    <w:rsid w:val="003A46AE"/>
    <w:rsid w:val="003A4BF3"/>
    <w:rsid w:val="003A5905"/>
    <w:rsid w:val="003B1812"/>
    <w:rsid w:val="003B420D"/>
    <w:rsid w:val="003B5253"/>
    <w:rsid w:val="003B53F8"/>
    <w:rsid w:val="003B5571"/>
    <w:rsid w:val="003B7AE8"/>
    <w:rsid w:val="003B7E62"/>
    <w:rsid w:val="003C0F5A"/>
    <w:rsid w:val="003C1A77"/>
    <w:rsid w:val="003C475F"/>
    <w:rsid w:val="003C4A38"/>
    <w:rsid w:val="003C51D2"/>
    <w:rsid w:val="003C6A9B"/>
    <w:rsid w:val="003C6C16"/>
    <w:rsid w:val="003D113D"/>
    <w:rsid w:val="003D2656"/>
    <w:rsid w:val="003D3D2D"/>
    <w:rsid w:val="003D4562"/>
    <w:rsid w:val="003D4935"/>
    <w:rsid w:val="003D5B07"/>
    <w:rsid w:val="003D5E0E"/>
    <w:rsid w:val="003D66CB"/>
    <w:rsid w:val="003D6FDA"/>
    <w:rsid w:val="003D794D"/>
    <w:rsid w:val="003D7FB3"/>
    <w:rsid w:val="003E0446"/>
    <w:rsid w:val="003E2630"/>
    <w:rsid w:val="003E2FAB"/>
    <w:rsid w:val="003E3058"/>
    <w:rsid w:val="003E4B7C"/>
    <w:rsid w:val="003E550C"/>
    <w:rsid w:val="003E65D7"/>
    <w:rsid w:val="003E76A9"/>
    <w:rsid w:val="003E7777"/>
    <w:rsid w:val="003F0809"/>
    <w:rsid w:val="003F14DD"/>
    <w:rsid w:val="003F2259"/>
    <w:rsid w:val="003F33DD"/>
    <w:rsid w:val="003F36BE"/>
    <w:rsid w:val="003F448B"/>
    <w:rsid w:val="003F4501"/>
    <w:rsid w:val="003F6A8C"/>
    <w:rsid w:val="003F755C"/>
    <w:rsid w:val="003F778D"/>
    <w:rsid w:val="003F7D25"/>
    <w:rsid w:val="00406F01"/>
    <w:rsid w:val="00407B0F"/>
    <w:rsid w:val="00412C5D"/>
    <w:rsid w:val="00413436"/>
    <w:rsid w:val="00414248"/>
    <w:rsid w:val="00414830"/>
    <w:rsid w:val="004148E2"/>
    <w:rsid w:val="00415604"/>
    <w:rsid w:val="0041619A"/>
    <w:rsid w:val="00416D50"/>
    <w:rsid w:val="00416FD5"/>
    <w:rsid w:val="00417772"/>
    <w:rsid w:val="00420E6A"/>
    <w:rsid w:val="004219F9"/>
    <w:rsid w:val="00425A9E"/>
    <w:rsid w:val="00426D6B"/>
    <w:rsid w:val="0043115C"/>
    <w:rsid w:val="004316E8"/>
    <w:rsid w:val="00431E6C"/>
    <w:rsid w:val="004322BD"/>
    <w:rsid w:val="00432B5C"/>
    <w:rsid w:val="00432B6B"/>
    <w:rsid w:val="00433C4E"/>
    <w:rsid w:val="00433CE7"/>
    <w:rsid w:val="00435175"/>
    <w:rsid w:val="004378E5"/>
    <w:rsid w:val="00440AEE"/>
    <w:rsid w:val="00441404"/>
    <w:rsid w:val="00442F41"/>
    <w:rsid w:val="00444228"/>
    <w:rsid w:val="00444240"/>
    <w:rsid w:val="004442BD"/>
    <w:rsid w:val="004507D6"/>
    <w:rsid w:val="004524CB"/>
    <w:rsid w:val="00452738"/>
    <w:rsid w:val="00456091"/>
    <w:rsid w:val="0046004D"/>
    <w:rsid w:val="00464594"/>
    <w:rsid w:val="00466321"/>
    <w:rsid w:val="0046679F"/>
    <w:rsid w:val="00467CBE"/>
    <w:rsid w:val="00470236"/>
    <w:rsid w:val="00471180"/>
    <w:rsid w:val="004723A7"/>
    <w:rsid w:val="004741DA"/>
    <w:rsid w:val="0047773D"/>
    <w:rsid w:val="00477BC3"/>
    <w:rsid w:val="004807C7"/>
    <w:rsid w:val="0048230B"/>
    <w:rsid w:val="0048259B"/>
    <w:rsid w:val="00484B9B"/>
    <w:rsid w:val="004855F6"/>
    <w:rsid w:val="0048661E"/>
    <w:rsid w:val="0048770F"/>
    <w:rsid w:val="0049000E"/>
    <w:rsid w:val="00492DA2"/>
    <w:rsid w:val="00493262"/>
    <w:rsid w:val="00494670"/>
    <w:rsid w:val="00495457"/>
    <w:rsid w:val="00495D23"/>
    <w:rsid w:val="004A1BCC"/>
    <w:rsid w:val="004A2AAC"/>
    <w:rsid w:val="004A3823"/>
    <w:rsid w:val="004A4B89"/>
    <w:rsid w:val="004A6D4F"/>
    <w:rsid w:val="004A7152"/>
    <w:rsid w:val="004A72DE"/>
    <w:rsid w:val="004B2A5A"/>
    <w:rsid w:val="004B62B7"/>
    <w:rsid w:val="004B6E40"/>
    <w:rsid w:val="004C5910"/>
    <w:rsid w:val="004C59EE"/>
    <w:rsid w:val="004C5CA4"/>
    <w:rsid w:val="004C7902"/>
    <w:rsid w:val="004D118B"/>
    <w:rsid w:val="004D2A10"/>
    <w:rsid w:val="004E08A6"/>
    <w:rsid w:val="004E1971"/>
    <w:rsid w:val="004E23AC"/>
    <w:rsid w:val="004E2A69"/>
    <w:rsid w:val="004E55B5"/>
    <w:rsid w:val="004E63C9"/>
    <w:rsid w:val="004E6946"/>
    <w:rsid w:val="004F1AD8"/>
    <w:rsid w:val="004F2BC0"/>
    <w:rsid w:val="004F39A7"/>
    <w:rsid w:val="004F615A"/>
    <w:rsid w:val="004F6BDC"/>
    <w:rsid w:val="005000A4"/>
    <w:rsid w:val="005000E3"/>
    <w:rsid w:val="00500552"/>
    <w:rsid w:val="005039CB"/>
    <w:rsid w:val="00503BB2"/>
    <w:rsid w:val="0050558F"/>
    <w:rsid w:val="005058C3"/>
    <w:rsid w:val="00505C0F"/>
    <w:rsid w:val="00506286"/>
    <w:rsid w:val="00506FE3"/>
    <w:rsid w:val="00507F3A"/>
    <w:rsid w:val="00510488"/>
    <w:rsid w:val="00510813"/>
    <w:rsid w:val="00510B08"/>
    <w:rsid w:val="00510F86"/>
    <w:rsid w:val="00511184"/>
    <w:rsid w:val="005116DD"/>
    <w:rsid w:val="00511803"/>
    <w:rsid w:val="00511990"/>
    <w:rsid w:val="00511DE0"/>
    <w:rsid w:val="00512EA4"/>
    <w:rsid w:val="0051457C"/>
    <w:rsid w:val="00514870"/>
    <w:rsid w:val="00514B9B"/>
    <w:rsid w:val="005176AF"/>
    <w:rsid w:val="0051777A"/>
    <w:rsid w:val="00517F02"/>
    <w:rsid w:val="00520292"/>
    <w:rsid w:val="00524303"/>
    <w:rsid w:val="005258A2"/>
    <w:rsid w:val="0053194B"/>
    <w:rsid w:val="00536B9E"/>
    <w:rsid w:val="00537EA3"/>
    <w:rsid w:val="005400F1"/>
    <w:rsid w:val="005401AE"/>
    <w:rsid w:val="00541332"/>
    <w:rsid w:val="00542E07"/>
    <w:rsid w:val="00545424"/>
    <w:rsid w:val="00551A38"/>
    <w:rsid w:val="00554A7B"/>
    <w:rsid w:val="0055572C"/>
    <w:rsid w:val="005573CB"/>
    <w:rsid w:val="0056106A"/>
    <w:rsid w:val="00561550"/>
    <w:rsid w:val="005620FB"/>
    <w:rsid w:val="0056378B"/>
    <w:rsid w:val="005656C6"/>
    <w:rsid w:val="00566D35"/>
    <w:rsid w:val="005720AE"/>
    <w:rsid w:val="005725E7"/>
    <w:rsid w:val="00576DBA"/>
    <w:rsid w:val="00582585"/>
    <w:rsid w:val="00582C01"/>
    <w:rsid w:val="005843A0"/>
    <w:rsid w:val="00593A2B"/>
    <w:rsid w:val="00594D77"/>
    <w:rsid w:val="00594E42"/>
    <w:rsid w:val="005969E4"/>
    <w:rsid w:val="005A06B7"/>
    <w:rsid w:val="005A0E3F"/>
    <w:rsid w:val="005A1759"/>
    <w:rsid w:val="005A2574"/>
    <w:rsid w:val="005A68A7"/>
    <w:rsid w:val="005A71AD"/>
    <w:rsid w:val="005A7A21"/>
    <w:rsid w:val="005B2817"/>
    <w:rsid w:val="005B51D3"/>
    <w:rsid w:val="005B574A"/>
    <w:rsid w:val="005B5B1A"/>
    <w:rsid w:val="005B5CF7"/>
    <w:rsid w:val="005B6BDD"/>
    <w:rsid w:val="005C1454"/>
    <w:rsid w:val="005C1D96"/>
    <w:rsid w:val="005C2848"/>
    <w:rsid w:val="005C75EB"/>
    <w:rsid w:val="005D2EDE"/>
    <w:rsid w:val="005D2F06"/>
    <w:rsid w:val="005D36AB"/>
    <w:rsid w:val="005D6CFE"/>
    <w:rsid w:val="005D77E3"/>
    <w:rsid w:val="005E1A34"/>
    <w:rsid w:val="005E1F69"/>
    <w:rsid w:val="005E27D7"/>
    <w:rsid w:val="005E29B5"/>
    <w:rsid w:val="005E39F6"/>
    <w:rsid w:val="005E55A8"/>
    <w:rsid w:val="005F312C"/>
    <w:rsid w:val="005F44BA"/>
    <w:rsid w:val="005F5AFB"/>
    <w:rsid w:val="006021A6"/>
    <w:rsid w:val="00602368"/>
    <w:rsid w:val="00604025"/>
    <w:rsid w:val="00605FA6"/>
    <w:rsid w:val="006100E8"/>
    <w:rsid w:val="00612192"/>
    <w:rsid w:val="00614897"/>
    <w:rsid w:val="00617CC3"/>
    <w:rsid w:val="00625240"/>
    <w:rsid w:val="00625A17"/>
    <w:rsid w:val="00626631"/>
    <w:rsid w:val="00626FBE"/>
    <w:rsid w:val="00627A70"/>
    <w:rsid w:val="00631FAF"/>
    <w:rsid w:val="00632AA2"/>
    <w:rsid w:val="00634D7B"/>
    <w:rsid w:val="006377A6"/>
    <w:rsid w:val="00637A3D"/>
    <w:rsid w:val="00637AB4"/>
    <w:rsid w:val="006411EF"/>
    <w:rsid w:val="00646778"/>
    <w:rsid w:val="00651E53"/>
    <w:rsid w:val="00653CC9"/>
    <w:rsid w:val="006544CA"/>
    <w:rsid w:val="00656BD3"/>
    <w:rsid w:val="00656EFC"/>
    <w:rsid w:val="00661B18"/>
    <w:rsid w:val="00663822"/>
    <w:rsid w:val="00664039"/>
    <w:rsid w:val="00664DE7"/>
    <w:rsid w:val="006651B9"/>
    <w:rsid w:val="00665795"/>
    <w:rsid w:val="0066793E"/>
    <w:rsid w:val="006726F8"/>
    <w:rsid w:val="00672826"/>
    <w:rsid w:val="00673DE2"/>
    <w:rsid w:val="006748B8"/>
    <w:rsid w:val="00674B9E"/>
    <w:rsid w:val="0067512F"/>
    <w:rsid w:val="00676052"/>
    <w:rsid w:val="0067757F"/>
    <w:rsid w:val="006775C3"/>
    <w:rsid w:val="00680742"/>
    <w:rsid w:val="00684078"/>
    <w:rsid w:val="00684A51"/>
    <w:rsid w:val="00684AD4"/>
    <w:rsid w:val="006862E4"/>
    <w:rsid w:val="006872DE"/>
    <w:rsid w:val="00687B7A"/>
    <w:rsid w:val="006902F2"/>
    <w:rsid w:val="00692356"/>
    <w:rsid w:val="006927A1"/>
    <w:rsid w:val="0069290A"/>
    <w:rsid w:val="006969BB"/>
    <w:rsid w:val="0069775A"/>
    <w:rsid w:val="00697813"/>
    <w:rsid w:val="00697926"/>
    <w:rsid w:val="006A06F8"/>
    <w:rsid w:val="006A1D9B"/>
    <w:rsid w:val="006A3EE8"/>
    <w:rsid w:val="006A438D"/>
    <w:rsid w:val="006A72BF"/>
    <w:rsid w:val="006B03F2"/>
    <w:rsid w:val="006B1213"/>
    <w:rsid w:val="006B24FF"/>
    <w:rsid w:val="006B37DC"/>
    <w:rsid w:val="006B4F68"/>
    <w:rsid w:val="006B6AC1"/>
    <w:rsid w:val="006B7113"/>
    <w:rsid w:val="006C0592"/>
    <w:rsid w:val="006C0813"/>
    <w:rsid w:val="006C21B6"/>
    <w:rsid w:val="006C272E"/>
    <w:rsid w:val="006C5479"/>
    <w:rsid w:val="006D13B5"/>
    <w:rsid w:val="006D1D54"/>
    <w:rsid w:val="006D5A27"/>
    <w:rsid w:val="006E12FF"/>
    <w:rsid w:val="006E196C"/>
    <w:rsid w:val="006E42C0"/>
    <w:rsid w:val="006E607E"/>
    <w:rsid w:val="006E690A"/>
    <w:rsid w:val="006F1AC8"/>
    <w:rsid w:val="006F6E68"/>
    <w:rsid w:val="006F7B83"/>
    <w:rsid w:val="006F7E41"/>
    <w:rsid w:val="007008C8"/>
    <w:rsid w:val="00700E55"/>
    <w:rsid w:val="00701372"/>
    <w:rsid w:val="00701C47"/>
    <w:rsid w:val="00703DC3"/>
    <w:rsid w:val="00703E1A"/>
    <w:rsid w:val="00705C29"/>
    <w:rsid w:val="00705D7F"/>
    <w:rsid w:val="00706C5D"/>
    <w:rsid w:val="007119ED"/>
    <w:rsid w:val="00724A82"/>
    <w:rsid w:val="0072630F"/>
    <w:rsid w:val="00726BBF"/>
    <w:rsid w:val="00732922"/>
    <w:rsid w:val="00732F99"/>
    <w:rsid w:val="0073383D"/>
    <w:rsid w:val="0073704F"/>
    <w:rsid w:val="00740B6A"/>
    <w:rsid w:val="007427F9"/>
    <w:rsid w:val="00744178"/>
    <w:rsid w:val="007462A3"/>
    <w:rsid w:val="00746357"/>
    <w:rsid w:val="00746F1F"/>
    <w:rsid w:val="00750651"/>
    <w:rsid w:val="0075154C"/>
    <w:rsid w:val="0075162E"/>
    <w:rsid w:val="00752005"/>
    <w:rsid w:val="00753494"/>
    <w:rsid w:val="00754034"/>
    <w:rsid w:val="00754DCC"/>
    <w:rsid w:val="00756556"/>
    <w:rsid w:val="007577DE"/>
    <w:rsid w:val="00760D26"/>
    <w:rsid w:val="007618C4"/>
    <w:rsid w:val="007652E6"/>
    <w:rsid w:val="00766C94"/>
    <w:rsid w:val="00767750"/>
    <w:rsid w:val="00767980"/>
    <w:rsid w:val="00770B19"/>
    <w:rsid w:val="00770DF0"/>
    <w:rsid w:val="007734A6"/>
    <w:rsid w:val="0077463F"/>
    <w:rsid w:val="007751FA"/>
    <w:rsid w:val="00775565"/>
    <w:rsid w:val="007769DA"/>
    <w:rsid w:val="007806A7"/>
    <w:rsid w:val="00780A0F"/>
    <w:rsid w:val="00781982"/>
    <w:rsid w:val="007836EA"/>
    <w:rsid w:val="00783A69"/>
    <w:rsid w:val="00784CDA"/>
    <w:rsid w:val="007871E0"/>
    <w:rsid w:val="007906C4"/>
    <w:rsid w:val="00791A43"/>
    <w:rsid w:val="00791C86"/>
    <w:rsid w:val="007940EA"/>
    <w:rsid w:val="0079431D"/>
    <w:rsid w:val="007967E8"/>
    <w:rsid w:val="00797A0D"/>
    <w:rsid w:val="007A1EB0"/>
    <w:rsid w:val="007A2170"/>
    <w:rsid w:val="007A22BF"/>
    <w:rsid w:val="007A3323"/>
    <w:rsid w:val="007A40F6"/>
    <w:rsid w:val="007B07DF"/>
    <w:rsid w:val="007B093F"/>
    <w:rsid w:val="007B2E79"/>
    <w:rsid w:val="007B31ED"/>
    <w:rsid w:val="007B43DB"/>
    <w:rsid w:val="007B528A"/>
    <w:rsid w:val="007B72B8"/>
    <w:rsid w:val="007B7A58"/>
    <w:rsid w:val="007C21B5"/>
    <w:rsid w:val="007C2D4F"/>
    <w:rsid w:val="007D2316"/>
    <w:rsid w:val="007D67FA"/>
    <w:rsid w:val="007E243D"/>
    <w:rsid w:val="007E31FF"/>
    <w:rsid w:val="007E3EE2"/>
    <w:rsid w:val="007E3FC6"/>
    <w:rsid w:val="007E4BD2"/>
    <w:rsid w:val="007E522C"/>
    <w:rsid w:val="007F1CDF"/>
    <w:rsid w:val="007F5919"/>
    <w:rsid w:val="007F5F20"/>
    <w:rsid w:val="007F7DB4"/>
    <w:rsid w:val="00801393"/>
    <w:rsid w:val="00802B03"/>
    <w:rsid w:val="00802F88"/>
    <w:rsid w:val="00803139"/>
    <w:rsid w:val="00803CB9"/>
    <w:rsid w:val="0081203E"/>
    <w:rsid w:val="0081293E"/>
    <w:rsid w:val="0081357C"/>
    <w:rsid w:val="00815465"/>
    <w:rsid w:val="00815DD8"/>
    <w:rsid w:val="00817E9A"/>
    <w:rsid w:val="00823053"/>
    <w:rsid w:val="00824DA0"/>
    <w:rsid w:val="0082778F"/>
    <w:rsid w:val="008278AC"/>
    <w:rsid w:val="008306BD"/>
    <w:rsid w:val="00831A80"/>
    <w:rsid w:val="00831D99"/>
    <w:rsid w:val="00833743"/>
    <w:rsid w:val="008340A4"/>
    <w:rsid w:val="00841137"/>
    <w:rsid w:val="00841994"/>
    <w:rsid w:val="00844864"/>
    <w:rsid w:val="00847158"/>
    <w:rsid w:val="008475A9"/>
    <w:rsid w:val="0084798A"/>
    <w:rsid w:val="00850518"/>
    <w:rsid w:val="008519B6"/>
    <w:rsid w:val="00851E59"/>
    <w:rsid w:val="00852065"/>
    <w:rsid w:val="0085240B"/>
    <w:rsid w:val="00853A06"/>
    <w:rsid w:val="00855E23"/>
    <w:rsid w:val="00856799"/>
    <w:rsid w:val="00857337"/>
    <w:rsid w:val="00862301"/>
    <w:rsid w:val="00866396"/>
    <w:rsid w:val="00866506"/>
    <w:rsid w:val="00870174"/>
    <w:rsid w:val="00870883"/>
    <w:rsid w:val="0087135F"/>
    <w:rsid w:val="00872D94"/>
    <w:rsid w:val="00873988"/>
    <w:rsid w:val="00873B38"/>
    <w:rsid w:val="00873E43"/>
    <w:rsid w:val="00876944"/>
    <w:rsid w:val="00877E36"/>
    <w:rsid w:val="00877ED7"/>
    <w:rsid w:val="00880364"/>
    <w:rsid w:val="00884567"/>
    <w:rsid w:val="008858C2"/>
    <w:rsid w:val="00885AD0"/>
    <w:rsid w:val="00886B9B"/>
    <w:rsid w:val="00887462"/>
    <w:rsid w:val="00891592"/>
    <w:rsid w:val="00891E9E"/>
    <w:rsid w:val="0089547D"/>
    <w:rsid w:val="00897735"/>
    <w:rsid w:val="008A2F68"/>
    <w:rsid w:val="008A3947"/>
    <w:rsid w:val="008A573F"/>
    <w:rsid w:val="008A589B"/>
    <w:rsid w:val="008A5DDB"/>
    <w:rsid w:val="008A7A44"/>
    <w:rsid w:val="008B24E5"/>
    <w:rsid w:val="008B4E2D"/>
    <w:rsid w:val="008B4FA6"/>
    <w:rsid w:val="008B5282"/>
    <w:rsid w:val="008B5C94"/>
    <w:rsid w:val="008B63AA"/>
    <w:rsid w:val="008B6646"/>
    <w:rsid w:val="008B7290"/>
    <w:rsid w:val="008B72A6"/>
    <w:rsid w:val="008B787A"/>
    <w:rsid w:val="008B7C17"/>
    <w:rsid w:val="008C2D01"/>
    <w:rsid w:val="008C40E6"/>
    <w:rsid w:val="008D0302"/>
    <w:rsid w:val="008D038C"/>
    <w:rsid w:val="008D03E6"/>
    <w:rsid w:val="008D0A6C"/>
    <w:rsid w:val="008D0F7A"/>
    <w:rsid w:val="008D25EB"/>
    <w:rsid w:val="008D3C06"/>
    <w:rsid w:val="008D52D9"/>
    <w:rsid w:val="008D68E4"/>
    <w:rsid w:val="008D6FC1"/>
    <w:rsid w:val="008D72F1"/>
    <w:rsid w:val="008E0506"/>
    <w:rsid w:val="008E0B50"/>
    <w:rsid w:val="008E0CFF"/>
    <w:rsid w:val="008E1774"/>
    <w:rsid w:val="008E2BC9"/>
    <w:rsid w:val="008E389A"/>
    <w:rsid w:val="008E4E49"/>
    <w:rsid w:val="008E5D6B"/>
    <w:rsid w:val="008E641C"/>
    <w:rsid w:val="008E643D"/>
    <w:rsid w:val="008E6BA1"/>
    <w:rsid w:val="008E76F0"/>
    <w:rsid w:val="008E7E95"/>
    <w:rsid w:val="008F15FE"/>
    <w:rsid w:val="008F2144"/>
    <w:rsid w:val="008F2D29"/>
    <w:rsid w:val="008F35C2"/>
    <w:rsid w:val="008F37F9"/>
    <w:rsid w:val="008F4649"/>
    <w:rsid w:val="008F5187"/>
    <w:rsid w:val="008F60D8"/>
    <w:rsid w:val="008F6CCE"/>
    <w:rsid w:val="008F7B73"/>
    <w:rsid w:val="009002DB"/>
    <w:rsid w:val="00902727"/>
    <w:rsid w:val="00903050"/>
    <w:rsid w:val="0090312B"/>
    <w:rsid w:val="00903C44"/>
    <w:rsid w:val="00904232"/>
    <w:rsid w:val="00910736"/>
    <w:rsid w:val="00915748"/>
    <w:rsid w:val="0091736D"/>
    <w:rsid w:val="009212DF"/>
    <w:rsid w:val="009218A3"/>
    <w:rsid w:val="00925C07"/>
    <w:rsid w:val="0093037A"/>
    <w:rsid w:val="009317D9"/>
    <w:rsid w:val="00932239"/>
    <w:rsid w:val="00941400"/>
    <w:rsid w:val="0094154D"/>
    <w:rsid w:val="0094186B"/>
    <w:rsid w:val="00943111"/>
    <w:rsid w:val="009438FB"/>
    <w:rsid w:val="0095155F"/>
    <w:rsid w:val="009521B9"/>
    <w:rsid w:val="00953C5C"/>
    <w:rsid w:val="00954429"/>
    <w:rsid w:val="00955321"/>
    <w:rsid w:val="009555DD"/>
    <w:rsid w:val="009562FF"/>
    <w:rsid w:val="009563CE"/>
    <w:rsid w:val="00956A52"/>
    <w:rsid w:val="00962796"/>
    <w:rsid w:val="009651F4"/>
    <w:rsid w:val="00966969"/>
    <w:rsid w:val="00972646"/>
    <w:rsid w:val="0097577F"/>
    <w:rsid w:val="00975E46"/>
    <w:rsid w:val="00976045"/>
    <w:rsid w:val="00976328"/>
    <w:rsid w:val="009763B2"/>
    <w:rsid w:val="009767CA"/>
    <w:rsid w:val="0097680D"/>
    <w:rsid w:val="009808FC"/>
    <w:rsid w:val="00980C3F"/>
    <w:rsid w:val="00980DF8"/>
    <w:rsid w:val="009813BA"/>
    <w:rsid w:val="00981A0E"/>
    <w:rsid w:val="00981D4C"/>
    <w:rsid w:val="00982438"/>
    <w:rsid w:val="00982E89"/>
    <w:rsid w:val="0098404C"/>
    <w:rsid w:val="009846E6"/>
    <w:rsid w:val="00985283"/>
    <w:rsid w:val="00985548"/>
    <w:rsid w:val="00985767"/>
    <w:rsid w:val="00986438"/>
    <w:rsid w:val="00987073"/>
    <w:rsid w:val="00987458"/>
    <w:rsid w:val="00987E22"/>
    <w:rsid w:val="00990634"/>
    <w:rsid w:val="00991E43"/>
    <w:rsid w:val="00995992"/>
    <w:rsid w:val="009966F7"/>
    <w:rsid w:val="009A03E5"/>
    <w:rsid w:val="009A0F3B"/>
    <w:rsid w:val="009A1BB4"/>
    <w:rsid w:val="009A2628"/>
    <w:rsid w:val="009A3200"/>
    <w:rsid w:val="009A4930"/>
    <w:rsid w:val="009A618E"/>
    <w:rsid w:val="009B04B9"/>
    <w:rsid w:val="009B0897"/>
    <w:rsid w:val="009B0CEC"/>
    <w:rsid w:val="009B42A7"/>
    <w:rsid w:val="009B4B6E"/>
    <w:rsid w:val="009B7571"/>
    <w:rsid w:val="009B7BD9"/>
    <w:rsid w:val="009C180A"/>
    <w:rsid w:val="009C196D"/>
    <w:rsid w:val="009C27DC"/>
    <w:rsid w:val="009C2F3C"/>
    <w:rsid w:val="009C5784"/>
    <w:rsid w:val="009C6BE7"/>
    <w:rsid w:val="009C7B29"/>
    <w:rsid w:val="009C7DD5"/>
    <w:rsid w:val="009D3368"/>
    <w:rsid w:val="009D5A1C"/>
    <w:rsid w:val="009D63DA"/>
    <w:rsid w:val="009D69FB"/>
    <w:rsid w:val="009E0587"/>
    <w:rsid w:val="009E0651"/>
    <w:rsid w:val="009E0850"/>
    <w:rsid w:val="009E08D7"/>
    <w:rsid w:val="009E227D"/>
    <w:rsid w:val="009E39AD"/>
    <w:rsid w:val="009E43A3"/>
    <w:rsid w:val="009E5019"/>
    <w:rsid w:val="009E55AB"/>
    <w:rsid w:val="009F0442"/>
    <w:rsid w:val="009F0AF6"/>
    <w:rsid w:val="009F43CE"/>
    <w:rsid w:val="009F4EC9"/>
    <w:rsid w:val="009F4EFF"/>
    <w:rsid w:val="009F5151"/>
    <w:rsid w:val="00A0044F"/>
    <w:rsid w:val="00A00F81"/>
    <w:rsid w:val="00A04F1B"/>
    <w:rsid w:val="00A0501B"/>
    <w:rsid w:val="00A11633"/>
    <w:rsid w:val="00A13132"/>
    <w:rsid w:val="00A14947"/>
    <w:rsid w:val="00A17461"/>
    <w:rsid w:val="00A22340"/>
    <w:rsid w:val="00A2259C"/>
    <w:rsid w:val="00A24335"/>
    <w:rsid w:val="00A247FC"/>
    <w:rsid w:val="00A2542C"/>
    <w:rsid w:val="00A26E42"/>
    <w:rsid w:val="00A2719A"/>
    <w:rsid w:val="00A30BAD"/>
    <w:rsid w:val="00A31151"/>
    <w:rsid w:val="00A32A83"/>
    <w:rsid w:val="00A3457F"/>
    <w:rsid w:val="00A368DB"/>
    <w:rsid w:val="00A423AA"/>
    <w:rsid w:val="00A46FA6"/>
    <w:rsid w:val="00A47645"/>
    <w:rsid w:val="00A52358"/>
    <w:rsid w:val="00A53B63"/>
    <w:rsid w:val="00A53EC3"/>
    <w:rsid w:val="00A53EC6"/>
    <w:rsid w:val="00A54DA5"/>
    <w:rsid w:val="00A55C0F"/>
    <w:rsid w:val="00A568C5"/>
    <w:rsid w:val="00A615B2"/>
    <w:rsid w:val="00A641FB"/>
    <w:rsid w:val="00A645D5"/>
    <w:rsid w:val="00A66C7C"/>
    <w:rsid w:val="00A67B61"/>
    <w:rsid w:val="00A7207F"/>
    <w:rsid w:val="00A72565"/>
    <w:rsid w:val="00A839BB"/>
    <w:rsid w:val="00A8713F"/>
    <w:rsid w:val="00A87AC1"/>
    <w:rsid w:val="00A90805"/>
    <w:rsid w:val="00A90BA1"/>
    <w:rsid w:val="00A92CD7"/>
    <w:rsid w:val="00A92CEB"/>
    <w:rsid w:val="00A93BCC"/>
    <w:rsid w:val="00A97A9A"/>
    <w:rsid w:val="00AA0671"/>
    <w:rsid w:val="00AA0B0C"/>
    <w:rsid w:val="00AA20BB"/>
    <w:rsid w:val="00AA2531"/>
    <w:rsid w:val="00AA3214"/>
    <w:rsid w:val="00AA4782"/>
    <w:rsid w:val="00AA57AE"/>
    <w:rsid w:val="00AA5DCC"/>
    <w:rsid w:val="00AA7347"/>
    <w:rsid w:val="00AA75F1"/>
    <w:rsid w:val="00AB045C"/>
    <w:rsid w:val="00AB1E09"/>
    <w:rsid w:val="00AB1F80"/>
    <w:rsid w:val="00AB28C7"/>
    <w:rsid w:val="00AB454D"/>
    <w:rsid w:val="00AB49D8"/>
    <w:rsid w:val="00AB5330"/>
    <w:rsid w:val="00AB6EBD"/>
    <w:rsid w:val="00AB7747"/>
    <w:rsid w:val="00AC14CE"/>
    <w:rsid w:val="00AC182E"/>
    <w:rsid w:val="00AC2A56"/>
    <w:rsid w:val="00AC390C"/>
    <w:rsid w:val="00AC6B0C"/>
    <w:rsid w:val="00AC6EE1"/>
    <w:rsid w:val="00AC7196"/>
    <w:rsid w:val="00AC791F"/>
    <w:rsid w:val="00AC7CF7"/>
    <w:rsid w:val="00AD0511"/>
    <w:rsid w:val="00AD055E"/>
    <w:rsid w:val="00AD28B2"/>
    <w:rsid w:val="00AD4469"/>
    <w:rsid w:val="00AD47A7"/>
    <w:rsid w:val="00AD47AC"/>
    <w:rsid w:val="00AE24FA"/>
    <w:rsid w:val="00AE2F2D"/>
    <w:rsid w:val="00AE3194"/>
    <w:rsid w:val="00AE3D5E"/>
    <w:rsid w:val="00AE3E37"/>
    <w:rsid w:val="00AE3F62"/>
    <w:rsid w:val="00AE44F9"/>
    <w:rsid w:val="00AE4604"/>
    <w:rsid w:val="00AE6C02"/>
    <w:rsid w:val="00AE7859"/>
    <w:rsid w:val="00AF0BCB"/>
    <w:rsid w:val="00AF0CBF"/>
    <w:rsid w:val="00AF257F"/>
    <w:rsid w:val="00AF33CF"/>
    <w:rsid w:val="00AF464A"/>
    <w:rsid w:val="00AF4C91"/>
    <w:rsid w:val="00AF4D50"/>
    <w:rsid w:val="00AF6179"/>
    <w:rsid w:val="00AF731C"/>
    <w:rsid w:val="00AF7B33"/>
    <w:rsid w:val="00B006D1"/>
    <w:rsid w:val="00B00D97"/>
    <w:rsid w:val="00B00E60"/>
    <w:rsid w:val="00B03504"/>
    <w:rsid w:val="00B04105"/>
    <w:rsid w:val="00B0620B"/>
    <w:rsid w:val="00B12256"/>
    <w:rsid w:val="00B12953"/>
    <w:rsid w:val="00B1295A"/>
    <w:rsid w:val="00B13196"/>
    <w:rsid w:val="00B17160"/>
    <w:rsid w:val="00B17B45"/>
    <w:rsid w:val="00B17D1E"/>
    <w:rsid w:val="00B207A8"/>
    <w:rsid w:val="00B20A45"/>
    <w:rsid w:val="00B2154A"/>
    <w:rsid w:val="00B22C5C"/>
    <w:rsid w:val="00B23E56"/>
    <w:rsid w:val="00B242E4"/>
    <w:rsid w:val="00B24F30"/>
    <w:rsid w:val="00B268B9"/>
    <w:rsid w:val="00B269B1"/>
    <w:rsid w:val="00B269BD"/>
    <w:rsid w:val="00B31ABF"/>
    <w:rsid w:val="00B32C50"/>
    <w:rsid w:val="00B33BE3"/>
    <w:rsid w:val="00B341A1"/>
    <w:rsid w:val="00B34FA4"/>
    <w:rsid w:val="00B35C93"/>
    <w:rsid w:val="00B40FD8"/>
    <w:rsid w:val="00B41FC8"/>
    <w:rsid w:val="00B43BC1"/>
    <w:rsid w:val="00B45BE5"/>
    <w:rsid w:val="00B501DF"/>
    <w:rsid w:val="00B53B5D"/>
    <w:rsid w:val="00B57EF6"/>
    <w:rsid w:val="00B6055E"/>
    <w:rsid w:val="00B6317D"/>
    <w:rsid w:val="00B64669"/>
    <w:rsid w:val="00B64E77"/>
    <w:rsid w:val="00B657AF"/>
    <w:rsid w:val="00B6662B"/>
    <w:rsid w:val="00B6680E"/>
    <w:rsid w:val="00B7047C"/>
    <w:rsid w:val="00B72670"/>
    <w:rsid w:val="00B73444"/>
    <w:rsid w:val="00B751B3"/>
    <w:rsid w:val="00B760CC"/>
    <w:rsid w:val="00B76F8C"/>
    <w:rsid w:val="00B7723F"/>
    <w:rsid w:val="00B80534"/>
    <w:rsid w:val="00B82AB5"/>
    <w:rsid w:val="00B82D47"/>
    <w:rsid w:val="00B8412C"/>
    <w:rsid w:val="00B8433C"/>
    <w:rsid w:val="00B87491"/>
    <w:rsid w:val="00B940F7"/>
    <w:rsid w:val="00B97C2B"/>
    <w:rsid w:val="00BA0ED8"/>
    <w:rsid w:val="00BA29E9"/>
    <w:rsid w:val="00BA3617"/>
    <w:rsid w:val="00BA7142"/>
    <w:rsid w:val="00BA7380"/>
    <w:rsid w:val="00BA74FA"/>
    <w:rsid w:val="00BB237C"/>
    <w:rsid w:val="00BB2681"/>
    <w:rsid w:val="00BB3A60"/>
    <w:rsid w:val="00BB41A3"/>
    <w:rsid w:val="00BB6604"/>
    <w:rsid w:val="00BC0043"/>
    <w:rsid w:val="00BC17BB"/>
    <w:rsid w:val="00BC32DC"/>
    <w:rsid w:val="00BC35B6"/>
    <w:rsid w:val="00BD0BF1"/>
    <w:rsid w:val="00BD1556"/>
    <w:rsid w:val="00BD15CF"/>
    <w:rsid w:val="00BD1B51"/>
    <w:rsid w:val="00BD2D38"/>
    <w:rsid w:val="00BD4206"/>
    <w:rsid w:val="00BD4596"/>
    <w:rsid w:val="00BD5221"/>
    <w:rsid w:val="00BD5D70"/>
    <w:rsid w:val="00BD64A6"/>
    <w:rsid w:val="00BD64FD"/>
    <w:rsid w:val="00BD7A2B"/>
    <w:rsid w:val="00BE1405"/>
    <w:rsid w:val="00BE2C9A"/>
    <w:rsid w:val="00BE312D"/>
    <w:rsid w:val="00BE58ED"/>
    <w:rsid w:val="00BF1054"/>
    <w:rsid w:val="00BF1C20"/>
    <w:rsid w:val="00BF381B"/>
    <w:rsid w:val="00BF709E"/>
    <w:rsid w:val="00BF716C"/>
    <w:rsid w:val="00C00061"/>
    <w:rsid w:val="00C017A4"/>
    <w:rsid w:val="00C01C9E"/>
    <w:rsid w:val="00C06BD6"/>
    <w:rsid w:val="00C10578"/>
    <w:rsid w:val="00C135BC"/>
    <w:rsid w:val="00C13C3E"/>
    <w:rsid w:val="00C15554"/>
    <w:rsid w:val="00C15C95"/>
    <w:rsid w:val="00C20012"/>
    <w:rsid w:val="00C202CA"/>
    <w:rsid w:val="00C202CB"/>
    <w:rsid w:val="00C2075F"/>
    <w:rsid w:val="00C21B47"/>
    <w:rsid w:val="00C22A2E"/>
    <w:rsid w:val="00C25503"/>
    <w:rsid w:val="00C2596A"/>
    <w:rsid w:val="00C27537"/>
    <w:rsid w:val="00C3042D"/>
    <w:rsid w:val="00C323FA"/>
    <w:rsid w:val="00C328FE"/>
    <w:rsid w:val="00C33507"/>
    <w:rsid w:val="00C33BFB"/>
    <w:rsid w:val="00C424E7"/>
    <w:rsid w:val="00C43791"/>
    <w:rsid w:val="00C43A36"/>
    <w:rsid w:val="00C43BEA"/>
    <w:rsid w:val="00C4409D"/>
    <w:rsid w:val="00C44E72"/>
    <w:rsid w:val="00C45A06"/>
    <w:rsid w:val="00C464B5"/>
    <w:rsid w:val="00C47E5B"/>
    <w:rsid w:val="00C50A74"/>
    <w:rsid w:val="00C52752"/>
    <w:rsid w:val="00C544CC"/>
    <w:rsid w:val="00C54D0B"/>
    <w:rsid w:val="00C55E3D"/>
    <w:rsid w:val="00C60300"/>
    <w:rsid w:val="00C60EA1"/>
    <w:rsid w:val="00C6170F"/>
    <w:rsid w:val="00C61E4B"/>
    <w:rsid w:val="00C64353"/>
    <w:rsid w:val="00C64BFF"/>
    <w:rsid w:val="00C65169"/>
    <w:rsid w:val="00C6721F"/>
    <w:rsid w:val="00C701AB"/>
    <w:rsid w:val="00C704E9"/>
    <w:rsid w:val="00C71764"/>
    <w:rsid w:val="00C74614"/>
    <w:rsid w:val="00C7467F"/>
    <w:rsid w:val="00C75095"/>
    <w:rsid w:val="00C75B0C"/>
    <w:rsid w:val="00C75BE6"/>
    <w:rsid w:val="00C763C9"/>
    <w:rsid w:val="00C80057"/>
    <w:rsid w:val="00C82232"/>
    <w:rsid w:val="00C822B3"/>
    <w:rsid w:val="00C82913"/>
    <w:rsid w:val="00C8386E"/>
    <w:rsid w:val="00C838A7"/>
    <w:rsid w:val="00C872F4"/>
    <w:rsid w:val="00C877C2"/>
    <w:rsid w:val="00C878A2"/>
    <w:rsid w:val="00C90BD6"/>
    <w:rsid w:val="00C924B0"/>
    <w:rsid w:val="00C95951"/>
    <w:rsid w:val="00C972B1"/>
    <w:rsid w:val="00CA2CCE"/>
    <w:rsid w:val="00CA3227"/>
    <w:rsid w:val="00CA43FD"/>
    <w:rsid w:val="00CA51FA"/>
    <w:rsid w:val="00CA5D66"/>
    <w:rsid w:val="00CA6678"/>
    <w:rsid w:val="00CA786E"/>
    <w:rsid w:val="00CA7EF8"/>
    <w:rsid w:val="00CB0355"/>
    <w:rsid w:val="00CB2DEF"/>
    <w:rsid w:val="00CB5D3B"/>
    <w:rsid w:val="00CC11D2"/>
    <w:rsid w:val="00CC1C8A"/>
    <w:rsid w:val="00CC2332"/>
    <w:rsid w:val="00CC25DB"/>
    <w:rsid w:val="00CC489B"/>
    <w:rsid w:val="00CC57C4"/>
    <w:rsid w:val="00CC5BE3"/>
    <w:rsid w:val="00CC7588"/>
    <w:rsid w:val="00CD1FE5"/>
    <w:rsid w:val="00CD2BCD"/>
    <w:rsid w:val="00CD2C15"/>
    <w:rsid w:val="00CD3A4C"/>
    <w:rsid w:val="00CD4CCF"/>
    <w:rsid w:val="00CD538F"/>
    <w:rsid w:val="00CD6D0D"/>
    <w:rsid w:val="00CD7776"/>
    <w:rsid w:val="00CD7ED1"/>
    <w:rsid w:val="00CD7ED6"/>
    <w:rsid w:val="00CE10E9"/>
    <w:rsid w:val="00CE163C"/>
    <w:rsid w:val="00CE2910"/>
    <w:rsid w:val="00CE2A16"/>
    <w:rsid w:val="00CE3AAB"/>
    <w:rsid w:val="00CE5393"/>
    <w:rsid w:val="00CE694C"/>
    <w:rsid w:val="00CF0F41"/>
    <w:rsid w:val="00CF3123"/>
    <w:rsid w:val="00CF36BE"/>
    <w:rsid w:val="00CF56E3"/>
    <w:rsid w:val="00CF6000"/>
    <w:rsid w:val="00D003F3"/>
    <w:rsid w:val="00D0179B"/>
    <w:rsid w:val="00D033AF"/>
    <w:rsid w:val="00D0364F"/>
    <w:rsid w:val="00D03AA5"/>
    <w:rsid w:val="00D0402C"/>
    <w:rsid w:val="00D056DC"/>
    <w:rsid w:val="00D06834"/>
    <w:rsid w:val="00D06EED"/>
    <w:rsid w:val="00D10483"/>
    <w:rsid w:val="00D10AC6"/>
    <w:rsid w:val="00D111F1"/>
    <w:rsid w:val="00D16F06"/>
    <w:rsid w:val="00D17D08"/>
    <w:rsid w:val="00D2250A"/>
    <w:rsid w:val="00D23B7B"/>
    <w:rsid w:val="00D24183"/>
    <w:rsid w:val="00D251B3"/>
    <w:rsid w:val="00D256C2"/>
    <w:rsid w:val="00D308ED"/>
    <w:rsid w:val="00D3477B"/>
    <w:rsid w:val="00D34EB1"/>
    <w:rsid w:val="00D36D86"/>
    <w:rsid w:val="00D423A9"/>
    <w:rsid w:val="00D428AA"/>
    <w:rsid w:val="00D4697B"/>
    <w:rsid w:val="00D503F2"/>
    <w:rsid w:val="00D50A34"/>
    <w:rsid w:val="00D53EFA"/>
    <w:rsid w:val="00D5544C"/>
    <w:rsid w:val="00D56E6D"/>
    <w:rsid w:val="00D6087A"/>
    <w:rsid w:val="00D618BE"/>
    <w:rsid w:val="00D66EB1"/>
    <w:rsid w:val="00D677FC"/>
    <w:rsid w:val="00D67CE6"/>
    <w:rsid w:val="00D7259C"/>
    <w:rsid w:val="00D73CA8"/>
    <w:rsid w:val="00D74F18"/>
    <w:rsid w:val="00D77E33"/>
    <w:rsid w:val="00D81DA1"/>
    <w:rsid w:val="00D83B25"/>
    <w:rsid w:val="00D86C43"/>
    <w:rsid w:val="00D87DF9"/>
    <w:rsid w:val="00D9231C"/>
    <w:rsid w:val="00D92443"/>
    <w:rsid w:val="00D927E7"/>
    <w:rsid w:val="00D93D02"/>
    <w:rsid w:val="00D940C0"/>
    <w:rsid w:val="00D94A7C"/>
    <w:rsid w:val="00D95896"/>
    <w:rsid w:val="00D975DF"/>
    <w:rsid w:val="00DA03E4"/>
    <w:rsid w:val="00DA1E89"/>
    <w:rsid w:val="00DA2EE7"/>
    <w:rsid w:val="00DA68DE"/>
    <w:rsid w:val="00DA7FE5"/>
    <w:rsid w:val="00DB0085"/>
    <w:rsid w:val="00DB1B50"/>
    <w:rsid w:val="00DB2100"/>
    <w:rsid w:val="00DB237A"/>
    <w:rsid w:val="00DB2983"/>
    <w:rsid w:val="00DB3857"/>
    <w:rsid w:val="00DC1257"/>
    <w:rsid w:val="00DC37EC"/>
    <w:rsid w:val="00DC3CD4"/>
    <w:rsid w:val="00DC3DC0"/>
    <w:rsid w:val="00DC5B2B"/>
    <w:rsid w:val="00DC676E"/>
    <w:rsid w:val="00DD318D"/>
    <w:rsid w:val="00DD3AFD"/>
    <w:rsid w:val="00DD47C6"/>
    <w:rsid w:val="00DD6335"/>
    <w:rsid w:val="00DD6368"/>
    <w:rsid w:val="00DD648B"/>
    <w:rsid w:val="00DE0847"/>
    <w:rsid w:val="00DE14FA"/>
    <w:rsid w:val="00DE4F52"/>
    <w:rsid w:val="00DE6865"/>
    <w:rsid w:val="00DE773F"/>
    <w:rsid w:val="00DE7D45"/>
    <w:rsid w:val="00DF093E"/>
    <w:rsid w:val="00DF291D"/>
    <w:rsid w:val="00DF29F5"/>
    <w:rsid w:val="00DF2E12"/>
    <w:rsid w:val="00DF3F28"/>
    <w:rsid w:val="00DF514A"/>
    <w:rsid w:val="00DF6690"/>
    <w:rsid w:val="00DF6804"/>
    <w:rsid w:val="00E000DC"/>
    <w:rsid w:val="00E01798"/>
    <w:rsid w:val="00E0358D"/>
    <w:rsid w:val="00E04323"/>
    <w:rsid w:val="00E04D74"/>
    <w:rsid w:val="00E070A2"/>
    <w:rsid w:val="00E07915"/>
    <w:rsid w:val="00E13B47"/>
    <w:rsid w:val="00E17F0A"/>
    <w:rsid w:val="00E21C38"/>
    <w:rsid w:val="00E23B9C"/>
    <w:rsid w:val="00E2644F"/>
    <w:rsid w:val="00E2656A"/>
    <w:rsid w:val="00E3316B"/>
    <w:rsid w:val="00E33BEE"/>
    <w:rsid w:val="00E35E9A"/>
    <w:rsid w:val="00E35F8D"/>
    <w:rsid w:val="00E377FC"/>
    <w:rsid w:val="00E4015C"/>
    <w:rsid w:val="00E40F77"/>
    <w:rsid w:val="00E412D0"/>
    <w:rsid w:val="00E42934"/>
    <w:rsid w:val="00E44D3D"/>
    <w:rsid w:val="00E46754"/>
    <w:rsid w:val="00E50F9E"/>
    <w:rsid w:val="00E5122A"/>
    <w:rsid w:val="00E51327"/>
    <w:rsid w:val="00E53B7C"/>
    <w:rsid w:val="00E5438E"/>
    <w:rsid w:val="00E56322"/>
    <w:rsid w:val="00E57AE0"/>
    <w:rsid w:val="00E57F89"/>
    <w:rsid w:val="00E605EB"/>
    <w:rsid w:val="00E60982"/>
    <w:rsid w:val="00E62C62"/>
    <w:rsid w:val="00E63453"/>
    <w:rsid w:val="00E652B2"/>
    <w:rsid w:val="00E654C1"/>
    <w:rsid w:val="00E65D97"/>
    <w:rsid w:val="00E67662"/>
    <w:rsid w:val="00E71F02"/>
    <w:rsid w:val="00E725F3"/>
    <w:rsid w:val="00E72A5A"/>
    <w:rsid w:val="00E73354"/>
    <w:rsid w:val="00E74187"/>
    <w:rsid w:val="00E74537"/>
    <w:rsid w:val="00E75537"/>
    <w:rsid w:val="00E7594D"/>
    <w:rsid w:val="00E803B1"/>
    <w:rsid w:val="00E8256A"/>
    <w:rsid w:val="00E82ACB"/>
    <w:rsid w:val="00E8383A"/>
    <w:rsid w:val="00E83D66"/>
    <w:rsid w:val="00E84A49"/>
    <w:rsid w:val="00E8752F"/>
    <w:rsid w:val="00E9242D"/>
    <w:rsid w:val="00E927B2"/>
    <w:rsid w:val="00E9304E"/>
    <w:rsid w:val="00E93F84"/>
    <w:rsid w:val="00E940FD"/>
    <w:rsid w:val="00EA011D"/>
    <w:rsid w:val="00EA0DA4"/>
    <w:rsid w:val="00EA1332"/>
    <w:rsid w:val="00EA3F4C"/>
    <w:rsid w:val="00EA4258"/>
    <w:rsid w:val="00EB0411"/>
    <w:rsid w:val="00EB26AC"/>
    <w:rsid w:val="00EB50EF"/>
    <w:rsid w:val="00EB5255"/>
    <w:rsid w:val="00EB5C47"/>
    <w:rsid w:val="00EB6FC0"/>
    <w:rsid w:val="00EB756C"/>
    <w:rsid w:val="00EB780D"/>
    <w:rsid w:val="00EB7FDD"/>
    <w:rsid w:val="00EC44D8"/>
    <w:rsid w:val="00EC4B6F"/>
    <w:rsid w:val="00EC5C48"/>
    <w:rsid w:val="00EC5F16"/>
    <w:rsid w:val="00ED0639"/>
    <w:rsid w:val="00ED0ED0"/>
    <w:rsid w:val="00ED2062"/>
    <w:rsid w:val="00ED41F7"/>
    <w:rsid w:val="00ED59C7"/>
    <w:rsid w:val="00EE60DD"/>
    <w:rsid w:val="00EF18E7"/>
    <w:rsid w:val="00EF3021"/>
    <w:rsid w:val="00EF4755"/>
    <w:rsid w:val="00EF583C"/>
    <w:rsid w:val="00EF7135"/>
    <w:rsid w:val="00F001FD"/>
    <w:rsid w:val="00F027DB"/>
    <w:rsid w:val="00F02F34"/>
    <w:rsid w:val="00F04899"/>
    <w:rsid w:val="00F057A3"/>
    <w:rsid w:val="00F05E1E"/>
    <w:rsid w:val="00F05F7C"/>
    <w:rsid w:val="00F14A7A"/>
    <w:rsid w:val="00F2037E"/>
    <w:rsid w:val="00F22985"/>
    <w:rsid w:val="00F23E1C"/>
    <w:rsid w:val="00F27874"/>
    <w:rsid w:val="00F326D3"/>
    <w:rsid w:val="00F3383E"/>
    <w:rsid w:val="00F3556B"/>
    <w:rsid w:val="00F36141"/>
    <w:rsid w:val="00F3633A"/>
    <w:rsid w:val="00F3668E"/>
    <w:rsid w:val="00F36FCD"/>
    <w:rsid w:val="00F37073"/>
    <w:rsid w:val="00F37622"/>
    <w:rsid w:val="00F446F6"/>
    <w:rsid w:val="00F44BFC"/>
    <w:rsid w:val="00F465A7"/>
    <w:rsid w:val="00F50B7C"/>
    <w:rsid w:val="00F550E6"/>
    <w:rsid w:val="00F56017"/>
    <w:rsid w:val="00F56EB5"/>
    <w:rsid w:val="00F57684"/>
    <w:rsid w:val="00F57DB7"/>
    <w:rsid w:val="00F61C6D"/>
    <w:rsid w:val="00F64EE0"/>
    <w:rsid w:val="00F66EAD"/>
    <w:rsid w:val="00F675A1"/>
    <w:rsid w:val="00F7160E"/>
    <w:rsid w:val="00F72565"/>
    <w:rsid w:val="00F728B2"/>
    <w:rsid w:val="00F74345"/>
    <w:rsid w:val="00F74624"/>
    <w:rsid w:val="00F75466"/>
    <w:rsid w:val="00F77C52"/>
    <w:rsid w:val="00F804C1"/>
    <w:rsid w:val="00F80A0A"/>
    <w:rsid w:val="00F825D6"/>
    <w:rsid w:val="00F82B19"/>
    <w:rsid w:val="00F84779"/>
    <w:rsid w:val="00F852B8"/>
    <w:rsid w:val="00F86B90"/>
    <w:rsid w:val="00F9212D"/>
    <w:rsid w:val="00F92658"/>
    <w:rsid w:val="00F965DA"/>
    <w:rsid w:val="00F96709"/>
    <w:rsid w:val="00F9744C"/>
    <w:rsid w:val="00FA04C8"/>
    <w:rsid w:val="00FA406A"/>
    <w:rsid w:val="00FA6112"/>
    <w:rsid w:val="00FB1A3F"/>
    <w:rsid w:val="00FB32CA"/>
    <w:rsid w:val="00FB3795"/>
    <w:rsid w:val="00FB503A"/>
    <w:rsid w:val="00FB516C"/>
    <w:rsid w:val="00FB5B40"/>
    <w:rsid w:val="00FC1E7A"/>
    <w:rsid w:val="00FC3B9A"/>
    <w:rsid w:val="00FC47F0"/>
    <w:rsid w:val="00FC6ADD"/>
    <w:rsid w:val="00FD0236"/>
    <w:rsid w:val="00FD18F4"/>
    <w:rsid w:val="00FD54DB"/>
    <w:rsid w:val="00FD619F"/>
    <w:rsid w:val="00FD7D4D"/>
    <w:rsid w:val="00FE0885"/>
    <w:rsid w:val="00FE0BA5"/>
    <w:rsid w:val="00FE6760"/>
    <w:rsid w:val="00FE68B4"/>
    <w:rsid w:val="00FE6A7E"/>
    <w:rsid w:val="00FF103A"/>
    <w:rsid w:val="00FF10F6"/>
    <w:rsid w:val="00FF40C6"/>
    <w:rsid w:val="00FF4454"/>
    <w:rsid w:val="01290F7E"/>
    <w:rsid w:val="012A6BDB"/>
    <w:rsid w:val="013637D1"/>
    <w:rsid w:val="015D1E09"/>
    <w:rsid w:val="017F4C7E"/>
    <w:rsid w:val="01985FCB"/>
    <w:rsid w:val="019B1886"/>
    <w:rsid w:val="01AC75F0"/>
    <w:rsid w:val="01FB40D3"/>
    <w:rsid w:val="01FF1E15"/>
    <w:rsid w:val="022352DD"/>
    <w:rsid w:val="02422E3C"/>
    <w:rsid w:val="024F3E0A"/>
    <w:rsid w:val="02697903"/>
    <w:rsid w:val="02B56978"/>
    <w:rsid w:val="02C167B0"/>
    <w:rsid w:val="02CE12C7"/>
    <w:rsid w:val="02F16316"/>
    <w:rsid w:val="02F96569"/>
    <w:rsid w:val="036F2169"/>
    <w:rsid w:val="03716D43"/>
    <w:rsid w:val="03C16FD8"/>
    <w:rsid w:val="03DF0436"/>
    <w:rsid w:val="03EA7B21"/>
    <w:rsid w:val="03FE40DF"/>
    <w:rsid w:val="04290887"/>
    <w:rsid w:val="048C54B6"/>
    <w:rsid w:val="04D379E7"/>
    <w:rsid w:val="05027E6C"/>
    <w:rsid w:val="05060621"/>
    <w:rsid w:val="053A479A"/>
    <w:rsid w:val="053E5804"/>
    <w:rsid w:val="05474BB5"/>
    <w:rsid w:val="05C235C9"/>
    <w:rsid w:val="05EC3CFE"/>
    <w:rsid w:val="05F83EAE"/>
    <w:rsid w:val="062220DC"/>
    <w:rsid w:val="063E7D85"/>
    <w:rsid w:val="0680729D"/>
    <w:rsid w:val="06B9343A"/>
    <w:rsid w:val="06D33870"/>
    <w:rsid w:val="06DF1460"/>
    <w:rsid w:val="07293586"/>
    <w:rsid w:val="07295285"/>
    <w:rsid w:val="07636392"/>
    <w:rsid w:val="07770C56"/>
    <w:rsid w:val="07C57F88"/>
    <w:rsid w:val="07F438B2"/>
    <w:rsid w:val="08104767"/>
    <w:rsid w:val="08110009"/>
    <w:rsid w:val="08134822"/>
    <w:rsid w:val="0838450F"/>
    <w:rsid w:val="083B16CD"/>
    <w:rsid w:val="08A7586E"/>
    <w:rsid w:val="08D767A2"/>
    <w:rsid w:val="08DF64BB"/>
    <w:rsid w:val="08E06CF9"/>
    <w:rsid w:val="08EB30F3"/>
    <w:rsid w:val="08F64EA8"/>
    <w:rsid w:val="0907134B"/>
    <w:rsid w:val="092217DD"/>
    <w:rsid w:val="093A7294"/>
    <w:rsid w:val="095D768E"/>
    <w:rsid w:val="0A05247C"/>
    <w:rsid w:val="0A0867D9"/>
    <w:rsid w:val="0A263993"/>
    <w:rsid w:val="0A287A2F"/>
    <w:rsid w:val="0A2D3AC2"/>
    <w:rsid w:val="0A5B427B"/>
    <w:rsid w:val="0A775E1F"/>
    <w:rsid w:val="0A8455AD"/>
    <w:rsid w:val="0A99080F"/>
    <w:rsid w:val="0AA755DF"/>
    <w:rsid w:val="0AE0655C"/>
    <w:rsid w:val="0B120D44"/>
    <w:rsid w:val="0B2C3BE5"/>
    <w:rsid w:val="0B84338B"/>
    <w:rsid w:val="0B99503A"/>
    <w:rsid w:val="0BA650B0"/>
    <w:rsid w:val="0BD27BF6"/>
    <w:rsid w:val="0BD62EBC"/>
    <w:rsid w:val="0C0B65E4"/>
    <w:rsid w:val="0C2E5529"/>
    <w:rsid w:val="0C3B3C7D"/>
    <w:rsid w:val="0C6C7ADF"/>
    <w:rsid w:val="0C727688"/>
    <w:rsid w:val="0C7B02EA"/>
    <w:rsid w:val="0C8064A1"/>
    <w:rsid w:val="0CAB2EAE"/>
    <w:rsid w:val="0CF54992"/>
    <w:rsid w:val="0CFA1B57"/>
    <w:rsid w:val="0D117E17"/>
    <w:rsid w:val="0D464D9C"/>
    <w:rsid w:val="0D611E85"/>
    <w:rsid w:val="0D621C7D"/>
    <w:rsid w:val="0D7F17B3"/>
    <w:rsid w:val="0D88050D"/>
    <w:rsid w:val="0D9267A4"/>
    <w:rsid w:val="0DAC4BAD"/>
    <w:rsid w:val="0E5054DE"/>
    <w:rsid w:val="0E73034D"/>
    <w:rsid w:val="0E9E6F6E"/>
    <w:rsid w:val="0EB83A78"/>
    <w:rsid w:val="0EC17E0E"/>
    <w:rsid w:val="0EE04D7C"/>
    <w:rsid w:val="0F13775A"/>
    <w:rsid w:val="0F2D5AA7"/>
    <w:rsid w:val="0F3240DF"/>
    <w:rsid w:val="0F386966"/>
    <w:rsid w:val="0F5F45FE"/>
    <w:rsid w:val="0F7B788F"/>
    <w:rsid w:val="0F9A112B"/>
    <w:rsid w:val="0F9C0108"/>
    <w:rsid w:val="0FA51A26"/>
    <w:rsid w:val="0FDC1441"/>
    <w:rsid w:val="0FDD12BC"/>
    <w:rsid w:val="100F5919"/>
    <w:rsid w:val="10150A56"/>
    <w:rsid w:val="106D2F64"/>
    <w:rsid w:val="10844DD5"/>
    <w:rsid w:val="10A26BE6"/>
    <w:rsid w:val="10B63710"/>
    <w:rsid w:val="10BA1208"/>
    <w:rsid w:val="10D71BF0"/>
    <w:rsid w:val="10F10820"/>
    <w:rsid w:val="10FE598E"/>
    <w:rsid w:val="111C2F7A"/>
    <w:rsid w:val="113C74D4"/>
    <w:rsid w:val="114F1CDB"/>
    <w:rsid w:val="11533EE2"/>
    <w:rsid w:val="11621A79"/>
    <w:rsid w:val="11665CA1"/>
    <w:rsid w:val="11692E07"/>
    <w:rsid w:val="11835941"/>
    <w:rsid w:val="11CD6857"/>
    <w:rsid w:val="11D1416F"/>
    <w:rsid w:val="125F15C4"/>
    <w:rsid w:val="127C6B6A"/>
    <w:rsid w:val="128E1AE3"/>
    <w:rsid w:val="1293615E"/>
    <w:rsid w:val="129A366F"/>
    <w:rsid w:val="12B97E2D"/>
    <w:rsid w:val="13114A30"/>
    <w:rsid w:val="133D454B"/>
    <w:rsid w:val="138C54D3"/>
    <w:rsid w:val="138E06DF"/>
    <w:rsid w:val="13951726"/>
    <w:rsid w:val="13A73235"/>
    <w:rsid w:val="13B95B4F"/>
    <w:rsid w:val="1428182F"/>
    <w:rsid w:val="14396509"/>
    <w:rsid w:val="147F6DE6"/>
    <w:rsid w:val="148D7E6F"/>
    <w:rsid w:val="14AD74AF"/>
    <w:rsid w:val="14C90A1B"/>
    <w:rsid w:val="14DD2C3C"/>
    <w:rsid w:val="14EB396E"/>
    <w:rsid w:val="1508465C"/>
    <w:rsid w:val="15437E13"/>
    <w:rsid w:val="15480AE3"/>
    <w:rsid w:val="15EE6A63"/>
    <w:rsid w:val="16087E1D"/>
    <w:rsid w:val="16134661"/>
    <w:rsid w:val="16150663"/>
    <w:rsid w:val="16481D0C"/>
    <w:rsid w:val="165C73DE"/>
    <w:rsid w:val="166C1A3D"/>
    <w:rsid w:val="168C1346"/>
    <w:rsid w:val="16C03316"/>
    <w:rsid w:val="16D5395C"/>
    <w:rsid w:val="16E45CEE"/>
    <w:rsid w:val="172A4632"/>
    <w:rsid w:val="17497BD2"/>
    <w:rsid w:val="176D7F93"/>
    <w:rsid w:val="17701D14"/>
    <w:rsid w:val="17735226"/>
    <w:rsid w:val="177469AA"/>
    <w:rsid w:val="178A26E7"/>
    <w:rsid w:val="17A252C5"/>
    <w:rsid w:val="17E56F60"/>
    <w:rsid w:val="17E66E5F"/>
    <w:rsid w:val="17F04D62"/>
    <w:rsid w:val="186F4456"/>
    <w:rsid w:val="1871158D"/>
    <w:rsid w:val="188658C0"/>
    <w:rsid w:val="189C1C81"/>
    <w:rsid w:val="189F624C"/>
    <w:rsid w:val="18AA234F"/>
    <w:rsid w:val="18BB4448"/>
    <w:rsid w:val="18BC23B6"/>
    <w:rsid w:val="1966549E"/>
    <w:rsid w:val="19722B93"/>
    <w:rsid w:val="19782D58"/>
    <w:rsid w:val="197B7B7C"/>
    <w:rsid w:val="197C38F4"/>
    <w:rsid w:val="198A6011"/>
    <w:rsid w:val="19925906"/>
    <w:rsid w:val="19C24DE5"/>
    <w:rsid w:val="1A1342F8"/>
    <w:rsid w:val="1A1C66C0"/>
    <w:rsid w:val="1A1F0E4F"/>
    <w:rsid w:val="1A3D7454"/>
    <w:rsid w:val="1A42393B"/>
    <w:rsid w:val="1A525246"/>
    <w:rsid w:val="1A8B7526"/>
    <w:rsid w:val="1A8E7D82"/>
    <w:rsid w:val="1A9B6BCF"/>
    <w:rsid w:val="1AA302C4"/>
    <w:rsid w:val="1AA8162A"/>
    <w:rsid w:val="1AAD45DE"/>
    <w:rsid w:val="1AC56B78"/>
    <w:rsid w:val="1AFC6A9A"/>
    <w:rsid w:val="1B046F80"/>
    <w:rsid w:val="1B1F577F"/>
    <w:rsid w:val="1B292471"/>
    <w:rsid w:val="1B3267B5"/>
    <w:rsid w:val="1B40161D"/>
    <w:rsid w:val="1B441859"/>
    <w:rsid w:val="1B5A7C65"/>
    <w:rsid w:val="1B6606B1"/>
    <w:rsid w:val="1B6E54A2"/>
    <w:rsid w:val="1B6F3F5F"/>
    <w:rsid w:val="1BB26287"/>
    <w:rsid w:val="1BF65BDF"/>
    <w:rsid w:val="1BFB5A6A"/>
    <w:rsid w:val="1C1918CE"/>
    <w:rsid w:val="1C25526C"/>
    <w:rsid w:val="1C2C7808"/>
    <w:rsid w:val="1C5E7925"/>
    <w:rsid w:val="1C964CCC"/>
    <w:rsid w:val="1CD65C5D"/>
    <w:rsid w:val="1CFB1E71"/>
    <w:rsid w:val="1CFD070F"/>
    <w:rsid w:val="1CFE203E"/>
    <w:rsid w:val="1D1075D0"/>
    <w:rsid w:val="1D506D2A"/>
    <w:rsid w:val="1D54148D"/>
    <w:rsid w:val="1D554B87"/>
    <w:rsid w:val="1D56268C"/>
    <w:rsid w:val="1D5F6196"/>
    <w:rsid w:val="1D6132A5"/>
    <w:rsid w:val="1D6B4A29"/>
    <w:rsid w:val="1D707442"/>
    <w:rsid w:val="1D8E56D5"/>
    <w:rsid w:val="1DA5166B"/>
    <w:rsid w:val="1DC66590"/>
    <w:rsid w:val="1DF36BBF"/>
    <w:rsid w:val="1E007073"/>
    <w:rsid w:val="1E0C3498"/>
    <w:rsid w:val="1E206F43"/>
    <w:rsid w:val="1E663172"/>
    <w:rsid w:val="1E754435"/>
    <w:rsid w:val="1E7A43DA"/>
    <w:rsid w:val="1E7B133C"/>
    <w:rsid w:val="1E9B2DD4"/>
    <w:rsid w:val="1EB5581B"/>
    <w:rsid w:val="1ED917AA"/>
    <w:rsid w:val="1EFD7285"/>
    <w:rsid w:val="1F2611F4"/>
    <w:rsid w:val="1F452AE1"/>
    <w:rsid w:val="1F5A1750"/>
    <w:rsid w:val="1F9811E7"/>
    <w:rsid w:val="1FE46201"/>
    <w:rsid w:val="1FE7539E"/>
    <w:rsid w:val="205E1FA5"/>
    <w:rsid w:val="20671BE0"/>
    <w:rsid w:val="206C46C2"/>
    <w:rsid w:val="207978E8"/>
    <w:rsid w:val="20963CB8"/>
    <w:rsid w:val="20A81A1B"/>
    <w:rsid w:val="20B07FB6"/>
    <w:rsid w:val="20B646FB"/>
    <w:rsid w:val="213B74B1"/>
    <w:rsid w:val="214320A3"/>
    <w:rsid w:val="21556F04"/>
    <w:rsid w:val="215A2310"/>
    <w:rsid w:val="219B449C"/>
    <w:rsid w:val="21A8797C"/>
    <w:rsid w:val="21CA6954"/>
    <w:rsid w:val="21CE77C5"/>
    <w:rsid w:val="21D56325"/>
    <w:rsid w:val="21DE318A"/>
    <w:rsid w:val="21E14C3C"/>
    <w:rsid w:val="21EF5B80"/>
    <w:rsid w:val="22222456"/>
    <w:rsid w:val="22576990"/>
    <w:rsid w:val="226513C9"/>
    <w:rsid w:val="226E036B"/>
    <w:rsid w:val="22902CA4"/>
    <w:rsid w:val="22E542B8"/>
    <w:rsid w:val="22F47480"/>
    <w:rsid w:val="230A5C9B"/>
    <w:rsid w:val="230C38D2"/>
    <w:rsid w:val="23645BCD"/>
    <w:rsid w:val="23843AD1"/>
    <w:rsid w:val="2390179D"/>
    <w:rsid w:val="239A1546"/>
    <w:rsid w:val="23DE1C48"/>
    <w:rsid w:val="23EC72D4"/>
    <w:rsid w:val="23ED1676"/>
    <w:rsid w:val="23EE5B94"/>
    <w:rsid w:val="240210CD"/>
    <w:rsid w:val="2441528D"/>
    <w:rsid w:val="24447577"/>
    <w:rsid w:val="24BF09F7"/>
    <w:rsid w:val="24F30A06"/>
    <w:rsid w:val="252D53FE"/>
    <w:rsid w:val="25331C52"/>
    <w:rsid w:val="255D1F88"/>
    <w:rsid w:val="25700BE7"/>
    <w:rsid w:val="258A1146"/>
    <w:rsid w:val="25950217"/>
    <w:rsid w:val="25EC2D81"/>
    <w:rsid w:val="25EF28D1"/>
    <w:rsid w:val="26516E72"/>
    <w:rsid w:val="26527EB6"/>
    <w:rsid w:val="26693943"/>
    <w:rsid w:val="2672389F"/>
    <w:rsid w:val="268B2A9D"/>
    <w:rsid w:val="27333506"/>
    <w:rsid w:val="27376525"/>
    <w:rsid w:val="2753038A"/>
    <w:rsid w:val="2762606A"/>
    <w:rsid w:val="277057A2"/>
    <w:rsid w:val="27735D42"/>
    <w:rsid w:val="27AE656C"/>
    <w:rsid w:val="27C22E19"/>
    <w:rsid w:val="27D30E88"/>
    <w:rsid w:val="28045F82"/>
    <w:rsid w:val="281452C8"/>
    <w:rsid w:val="28416434"/>
    <w:rsid w:val="28B371A5"/>
    <w:rsid w:val="28C12F19"/>
    <w:rsid w:val="28DE54FC"/>
    <w:rsid w:val="28F171AF"/>
    <w:rsid w:val="29206EB8"/>
    <w:rsid w:val="29370FFC"/>
    <w:rsid w:val="294D2BB7"/>
    <w:rsid w:val="29595666"/>
    <w:rsid w:val="29874881"/>
    <w:rsid w:val="29B11398"/>
    <w:rsid w:val="29D566A1"/>
    <w:rsid w:val="29E325E0"/>
    <w:rsid w:val="29EE7EF6"/>
    <w:rsid w:val="29FD1EA7"/>
    <w:rsid w:val="29FF252A"/>
    <w:rsid w:val="2A452503"/>
    <w:rsid w:val="2A4E5039"/>
    <w:rsid w:val="2A6E5995"/>
    <w:rsid w:val="2A863D65"/>
    <w:rsid w:val="2AE3365B"/>
    <w:rsid w:val="2AF83194"/>
    <w:rsid w:val="2B004385"/>
    <w:rsid w:val="2B1C10CE"/>
    <w:rsid w:val="2B243C3F"/>
    <w:rsid w:val="2B6E1413"/>
    <w:rsid w:val="2B716447"/>
    <w:rsid w:val="2B911481"/>
    <w:rsid w:val="2BA936A8"/>
    <w:rsid w:val="2BB24858"/>
    <w:rsid w:val="2BD70F6D"/>
    <w:rsid w:val="2C315A5A"/>
    <w:rsid w:val="2C33078A"/>
    <w:rsid w:val="2C4B1C25"/>
    <w:rsid w:val="2C7C7A3B"/>
    <w:rsid w:val="2C8F5FE1"/>
    <w:rsid w:val="2C9A25B7"/>
    <w:rsid w:val="2D37400A"/>
    <w:rsid w:val="2D6C440C"/>
    <w:rsid w:val="2D857478"/>
    <w:rsid w:val="2D8C2804"/>
    <w:rsid w:val="2D9E56F5"/>
    <w:rsid w:val="2DDF4725"/>
    <w:rsid w:val="2E1D6FFC"/>
    <w:rsid w:val="2E2B72C7"/>
    <w:rsid w:val="2E667F96"/>
    <w:rsid w:val="2E67471B"/>
    <w:rsid w:val="2E6B1D1B"/>
    <w:rsid w:val="2E6B5F9A"/>
    <w:rsid w:val="2E8226AB"/>
    <w:rsid w:val="2E942B39"/>
    <w:rsid w:val="2EA858C7"/>
    <w:rsid w:val="2EC4391B"/>
    <w:rsid w:val="2EDC10FB"/>
    <w:rsid w:val="2F000DF7"/>
    <w:rsid w:val="2F1A761F"/>
    <w:rsid w:val="2F3A60E3"/>
    <w:rsid w:val="2F4862FA"/>
    <w:rsid w:val="2F671BFB"/>
    <w:rsid w:val="2F8B75DA"/>
    <w:rsid w:val="2FCD12F9"/>
    <w:rsid w:val="2FCE5C39"/>
    <w:rsid w:val="2FD065E6"/>
    <w:rsid w:val="2FD96870"/>
    <w:rsid w:val="2FF65D56"/>
    <w:rsid w:val="30025F37"/>
    <w:rsid w:val="3017781B"/>
    <w:rsid w:val="30254764"/>
    <w:rsid w:val="30580BC9"/>
    <w:rsid w:val="30990E96"/>
    <w:rsid w:val="30AE4E49"/>
    <w:rsid w:val="30C73EA4"/>
    <w:rsid w:val="30D65765"/>
    <w:rsid w:val="30E17D11"/>
    <w:rsid w:val="31006C36"/>
    <w:rsid w:val="311E2ED7"/>
    <w:rsid w:val="312A59EA"/>
    <w:rsid w:val="315619EE"/>
    <w:rsid w:val="315C449C"/>
    <w:rsid w:val="31A57A34"/>
    <w:rsid w:val="31B82709"/>
    <w:rsid w:val="31D05482"/>
    <w:rsid w:val="31EB11BF"/>
    <w:rsid w:val="320F4EAD"/>
    <w:rsid w:val="32400B34"/>
    <w:rsid w:val="324E1E79"/>
    <w:rsid w:val="326D6065"/>
    <w:rsid w:val="32750F73"/>
    <w:rsid w:val="32897E1C"/>
    <w:rsid w:val="32981379"/>
    <w:rsid w:val="329E6876"/>
    <w:rsid w:val="32AB5D01"/>
    <w:rsid w:val="32BD56A6"/>
    <w:rsid w:val="32C74BA9"/>
    <w:rsid w:val="32F72E8D"/>
    <w:rsid w:val="331F3816"/>
    <w:rsid w:val="3321601C"/>
    <w:rsid w:val="332C16ED"/>
    <w:rsid w:val="333015F2"/>
    <w:rsid w:val="334B6320"/>
    <w:rsid w:val="33501E4A"/>
    <w:rsid w:val="33527747"/>
    <w:rsid w:val="335E4607"/>
    <w:rsid w:val="337376D3"/>
    <w:rsid w:val="33884F17"/>
    <w:rsid w:val="33D934D4"/>
    <w:rsid w:val="33EA31A7"/>
    <w:rsid w:val="33FE2F6A"/>
    <w:rsid w:val="340E07E5"/>
    <w:rsid w:val="34235BF7"/>
    <w:rsid w:val="34383D9A"/>
    <w:rsid w:val="343C6163"/>
    <w:rsid w:val="344E794B"/>
    <w:rsid w:val="34535401"/>
    <w:rsid w:val="3495179E"/>
    <w:rsid w:val="349952F2"/>
    <w:rsid w:val="357D0C50"/>
    <w:rsid w:val="3586450E"/>
    <w:rsid w:val="35883A00"/>
    <w:rsid w:val="358C5FA8"/>
    <w:rsid w:val="3596327C"/>
    <w:rsid w:val="35A61EB8"/>
    <w:rsid w:val="35B8665A"/>
    <w:rsid w:val="35BC17F0"/>
    <w:rsid w:val="35C15DF1"/>
    <w:rsid w:val="35FF0CF3"/>
    <w:rsid w:val="36074A7F"/>
    <w:rsid w:val="36121410"/>
    <w:rsid w:val="363841BB"/>
    <w:rsid w:val="3641163C"/>
    <w:rsid w:val="36577894"/>
    <w:rsid w:val="366F21BD"/>
    <w:rsid w:val="36923549"/>
    <w:rsid w:val="36B75FBF"/>
    <w:rsid w:val="36BD0C45"/>
    <w:rsid w:val="37166D64"/>
    <w:rsid w:val="37477080"/>
    <w:rsid w:val="37716753"/>
    <w:rsid w:val="37862924"/>
    <w:rsid w:val="37A54D91"/>
    <w:rsid w:val="37B97C84"/>
    <w:rsid w:val="37E00298"/>
    <w:rsid w:val="37EC5FE6"/>
    <w:rsid w:val="382A25BD"/>
    <w:rsid w:val="38373947"/>
    <w:rsid w:val="38561E35"/>
    <w:rsid w:val="38877E93"/>
    <w:rsid w:val="38911C54"/>
    <w:rsid w:val="389E45F0"/>
    <w:rsid w:val="38A46ABC"/>
    <w:rsid w:val="38B302F9"/>
    <w:rsid w:val="38F12CD3"/>
    <w:rsid w:val="38F94775"/>
    <w:rsid w:val="38F9496A"/>
    <w:rsid w:val="39203FFE"/>
    <w:rsid w:val="392971ED"/>
    <w:rsid w:val="39325651"/>
    <w:rsid w:val="39565AB7"/>
    <w:rsid w:val="399F18CB"/>
    <w:rsid w:val="39C0008E"/>
    <w:rsid w:val="3A1D5EDB"/>
    <w:rsid w:val="3A3E5D1A"/>
    <w:rsid w:val="3A56477C"/>
    <w:rsid w:val="3A751F6D"/>
    <w:rsid w:val="3A812DDD"/>
    <w:rsid w:val="3A872856"/>
    <w:rsid w:val="3A8A1C91"/>
    <w:rsid w:val="3AA76476"/>
    <w:rsid w:val="3AF24E44"/>
    <w:rsid w:val="3AFD187C"/>
    <w:rsid w:val="3B02185C"/>
    <w:rsid w:val="3B337E5E"/>
    <w:rsid w:val="3B3763D1"/>
    <w:rsid w:val="3B4C1E1D"/>
    <w:rsid w:val="3B5123CB"/>
    <w:rsid w:val="3B6D76D3"/>
    <w:rsid w:val="3B810664"/>
    <w:rsid w:val="3BED2703"/>
    <w:rsid w:val="3C2F6E1E"/>
    <w:rsid w:val="3C4F64BA"/>
    <w:rsid w:val="3C6B4749"/>
    <w:rsid w:val="3C6D73A0"/>
    <w:rsid w:val="3CA8662A"/>
    <w:rsid w:val="3CD4773D"/>
    <w:rsid w:val="3CDA245A"/>
    <w:rsid w:val="3D000214"/>
    <w:rsid w:val="3D1E06B7"/>
    <w:rsid w:val="3D3D5401"/>
    <w:rsid w:val="3D755009"/>
    <w:rsid w:val="3D917A06"/>
    <w:rsid w:val="3D986D8C"/>
    <w:rsid w:val="3DC56D68"/>
    <w:rsid w:val="3DF31F7D"/>
    <w:rsid w:val="3DF73CE7"/>
    <w:rsid w:val="3DFD6240"/>
    <w:rsid w:val="3E29379B"/>
    <w:rsid w:val="3E467EE1"/>
    <w:rsid w:val="3E765781"/>
    <w:rsid w:val="3E7E7642"/>
    <w:rsid w:val="3E806EB1"/>
    <w:rsid w:val="3E825AE8"/>
    <w:rsid w:val="3E8A4F9E"/>
    <w:rsid w:val="3ECA4B48"/>
    <w:rsid w:val="3ECC2AA4"/>
    <w:rsid w:val="3EDA0523"/>
    <w:rsid w:val="3EEE0039"/>
    <w:rsid w:val="3EF00600"/>
    <w:rsid w:val="3F0B3A0A"/>
    <w:rsid w:val="3F5810A1"/>
    <w:rsid w:val="3F696545"/>
    <w:rsid w:val="3F6E64A0"/>
    <w:rsid w:val="3F8D2251"/>
    <w:rsid w:val="3F926809"/>
    <w:rsid w:val="3FB73C23"/>
    <w:rsid w:val="3FCA4140"/>
    <w:rsid w:val="3FCE6ABA"/>
    <w:rsid w:val="3FEA5070"/>
    <w:rsid w:val="403503FB"/>
    <w:rsid w:val="40402E3B"/>
    <w:rsid w:val="407A6407"/>
    <w:rsid w:val="40905F1A"/>
    <w:rsid w:val="409B5894"/>
    <w:rsid w:val="40AF790C"/>
    <w:rsid w:val="40B3417D"/>
    <w:rsid w:val="41091CFF"/>
    <w:rsid w:val="411E335F"/>
    <w:rsid w:val="412020E6"/>
    <w:rsid w:val="415B7F84"/>
    <w:rsid w:val="416A4586"/>
    <w:rsid w:val="416C7382"/>
    <w:rsid w:val="418A51A1"/>
    <w:rsid w:val="419378A9"/>
    <w:rsid w:val="41B41965"/>
    <w:rsid w:val="41B75138"/>
    <w:rsid w:val="41DB2618"/>
    <w:rsid w:val="41DF5F1B"/>
    <w:rsid w:val="41EB0E29"/>
    <w:rsid w:val="4200449D"/>
    <w:rsid w:val="42276243"/>
    <w:rsid w:val="42366486"/>
    <w:rsid w:val="423A3BCC"/>
    <w:rsid w:val="423C4631"/>
    <w:rsid w:val="423D5921"/>
    <w:rsid w:val="42435874"/>
    <w:rsid w:val="424E57D2"/>
    <w:rsid w:val="4280194A"/>
    <w:rsid w:val="428A217B"/>
    <w:rsid w:val="4298064E"/>
    <w:rsid w:val="42B26C49"/>
    <w:rsid w:val="42DD3505"/>
    <w:rsid w:val="43027349"/>
    <w:rsid w:val="430A6196"/>
    <w:rsid w:val="433A6FE6"/>
    <w:rsid w:val="43480868"/>
    <w:rsid w:val="4350713C"/>
    <w:rsid w:val="43566DE0"/>
    <w:rsid w:val="435B519B"/>
    <w:rsid w:val="435F23CA"/>
    <w:rsid w:val="436653E0"/>
    <w:rsid w:val="43AD0658"/>
    <w:rsid w:val="43C4431A"/>
    <w:rsid w:val="43C54BB5"/>
    <w:rsid w:val="43CC740D"/>
    <w:rsid w:val="44083ACA"/>
    <w:rsid w:val="440A0153"/>
    <w:rsid w:val="4416463D"/>
    <w:rsid w:val="44935E12"/>
    <w:rsid w:val="44B951CC"/>
    <w:rsid w:val="44BC61B9"/>
    <w:rsid w:val="44CD14E0"/>
    <w:rsid w:val="44F20B0B"/>
    <w:rsid w:val="4515296F"/>
    <w:rsid w:val="452E5F4C"/>
    <w:rsid w:val="454551A7"/>
    <w:rsid w:val="454A620C"/>
    <w:rsid w:val="45612018"/>
    <w:rsid w:val="458946E9"/>
    <w:rsid w:val="458A0FC3"/>
    <w:rsid w:val="45A47C0E"/>
    <w:rsid w:val="45A831F7"/>
    <w:rsid w:val="45CA1DFA"/>
    <w:rsid w:val="4607616F"/>
    <w:rsid w:val="46577FD6"/>
    <w:rsid w:val="465B64BB"/>
    <w:rsid w:val="4662784A"/>
    <w:rsid w:val="46845A12"/>
    <w:rsid w:val="46CD624D"/>
    <w:rsid w:val="46D955A7"/>
    <w:rsid w:val="46FC1A4C"/>
    <w:rsid w:val="47133957"/>
    <w:rsid w:val="4780267D"/>
    <w:rsid w:val="47A07E0C"/>
    <w:rsid w:val="47C00CCC"/>
    <w:rsid w:val="47C03E43"/>
    <w:rsid w:val="47D2124A"/>
    <w:rsid w:val="47DE0B15"/>
    <w:rsid w:val="47E440F8"/>
    <w:rsid w:val="47F16A4D"/>
    <w:rsid w:val="480F05D2"/>
    <w:rsid w:val="482B2B78"/>
    <w:rsid w:val="48397ADB"/>
    <w:rsid w:val="48522E31"/>
    <w:rsid w:val="48541414"/>
    <w:rsid w:val="4870272E"/>
    <w:rsid w:val="4896651A"/>
    <w:rsid w:val="48A04659"/>
    <w:rsid w:val="48AF3347"/>
    <w:rsid w:val="48D34A2F"/>
    <w:rsid w:val="48EC175E"/>
    <w:rsid w:val="492A3BE4"/>
    <w:rsid w:val="494A7116"/>
    <w:rsid w:val="494C701D"/>
    <w:rsid w:val="495B1666"/>
    <w:rsid w:val="49635DB3"/>
    <w:rsid w:val="496433AE"/>
    <w:rsid w:val="4970210B"/>
    <w:rsid w:val="497F0713"/>
    <w:rsid w:val="49917DE8"/>
    <w:rsid w:val="499B3937"/>
    <w:rsid w:val="49D35DF5"/>
    <w:rsid w:val="49DC7715"/>
    <w:rsid w:val="4A023139"/>
    <w:rsid w:val="4A062EB1"/>
    <w:rsid w:val="4A1D1740"/>
    <w:rsid w:val="4A6358AE"/>
    <w:rsid w:val="4A7B576F"/>
    <w:rsid w:val="4A875FDB"/>
    <w:rsid w:val="4A8F4985"/>
    <w:rsid w:val="4A963F66"/>
    <w:rsid w:val="4AA46683"/>
    <w:rsid w:val="4AC76815"/>
    <w:rsid w:val="4AE72962"/>
    <w:rsid w:val="4AF561A9"/>
    <w:rsid w:val="4B0F73DE"/>
    <w:rsid w:val="4B0F78AC"/>
    <w:rsid w:val="4B3D3B99"/>
    <w:rsid w:val="4B99429A"/>
    <w:rsid w:val="4BA72908"/>
    <w:rsid w:val="4BA968B3"/>
    <w:rsid w:val="4BC845F3"/>
    <w:rsid w:val="4BD353F1"/>
    <w:rsid w:val="4BF23577"/>
    <w:rsid w:val="4BFE25DB"/>
    <w:rsid w:val="4C4634F1"/>
    <w:rsid w:val="4C4A0649"/>
    <w:rsid w:val="4C78250B"/>
    <w:rsid w:val="4C7E5ECA"/>
    <w:rsid w:val="4C8311CB"/>
    <w:rsid w:val="4C876AA5"/>
    <w:rsid w:val="4C95792E"/>
    <w:rsid w:val="4CA24E44"/>
    <w:rsid w:val="4D0E00FB"/>
    <w:rsid w:val="4D112048"/>
    <w:rsid w:val="4D1473C4"/>
    <w:rsid w:val="4D176606"/>
    <w:rsid w:val="4D6B5C52"/>
    <w:rsid w:val="4D6F4A7B"/>
    <w:rsid w:val="4D7560B4"/>
    <w:rsid w:val="4D7A29D8"/>
    <w:rsid w:val="4DA90454"/>
    <w:rsid w:val="4DEC4FB0"/>
    <w:rsid w:val="4E075D8A"/>
    <w:rsid w:val="4E0F1241"/>
    <w:rsid w:val="4E56735F"/>
    <w:rsid w:val="4EBF104B"/>
    <w:rsid w:val="4EC00FAD"/>
    <w:rsid w:val="4EC5306C"/>
    <w:rsid w:val="4F05568E"/>
    <w:rsid w:val="4F5575B8"/>
    <w:rsid w:val="4F7C5744"/>
    <w:rsid w:val="4F9843DC"/>
    <w:rsid w:val="4F9D711A"/>
    <w:rsid w:val="4FB82BD0"/>
    <w:rsid w:val="4FC153E4"/>
    <w:rsid w:val="4FC62A8C"/>
    <w:rsid w:val="4FE20F0D"/>
    <w:rsid w:val="4FE51552"/>
    <w:rsid w:val="4FF82FCD"/>
    <w:rsid w:val="501F67AB"/>
    <w:rsid w:val="50504C4B"/>
    <w:rsid w:val="505446A7"/>
    <w:rsid w:val="509C6E7C"/>
    <w:rsid w:val="50CB07DD"/>
    <w:rsid w:val="50CE7C05"/>
    <w:rsid w:val="510238A1"/>
    <w:rsid w:val="51031A0F"/>
    <w:rsid w:val="5162104E"/>
    <w:rsid w:val="51925DC4"/>
    <w:rsid w:val="51D0595D"/>
    <w:rsid w:val="51E33014"/>
    <w:rsid w:val="52043EAB"/>
    <w:rsid w:val="52144211"/>
    <w:rsid w:val="5229557F"/>
    <w:rsid w:val="529E7B53"/>
    <w:rsid w:val="52AA100F"/>
    <w:rsid w:val="52C27F12"/>
    <w:rsid w:val="52D14142"/>
    <w:rsid w:val="52E82E4C"/>
    <w:rsid w:val="52FF2454"/>
    <w:rsid w:val="5363150A"/>
    <w:rsid w:val="53A039CC"/>
    <w:rsid w:val="53A1505A"/>
    <w:rsid w:val="53C03E02"/>
    <w:rsid w:val="53CE5EE0"/>
    <w:rsid w:val="53D669F4"/>
    <w:rsid w:val="53DE648D"/>
    <w:rsid w:val="54063E08"/>
    <w:rsid w:val="543437E8"/>
    <w:rsid w:val="54382F12"/>
    <w:rsid w:val="544F1C48"/>
    <w:rsid w:val="54AD4386"/>
    <w:rsid w:val="54C00BB1"/>
    <w:rsid w:val="54F73313"/>
    <w:rsid w:val="54F80955"/>
    <w:rsid w:val="554B188B"/>
    <w:rsid w:val="555170A7"/>
    <w:rsid w:val="556E6389"/>
    <w:rsid w:val="5587536D"/>
    <w:rsid w:val="559B174B"/>
    <w:rsid w:val="55B057A7"/>
    <w:rsid w:val="55CE0CF4"/>
    <w:rsid w:val="55D416E1"/>
    <w:rsid w:val="5632548A"/>
    <w:rsid w:val="566B22D2"/>
    <w:rsid w:val="5685249E"/>
    <w:rsid w:val="568E1C5D"/>
    <w:rsid w:val="56965536"/>
    <w:rsid w:val="56B22A9C"/>
    <w:rsid w:val="56E66275"/>
    <w:rsid w:val="570551D0"/>
    <w:rsid w:val="57342B3C"/>
    <w:rsid w:val="574C0F74"/>
    <w:rsid w:val="57727B09"/>
    <w:rsid w:val="578130E3"/>
    <w:rsid w:val="57B72A76"/>
    <w:rsid w:val="57C049F1"/>
    <w:rsid w:val="57C3426C"/>
    <w:rsid w:val="57CE1F93"/>
    <w:rsid w:val="57DC28F9"/>
    <w:rsid w:val="58000136"/>
    <w:rsid w:val="58101699"/>
    <w:rsid w:val="58124717"/>
    <w:rsid w:val="58161A4E"/>
    <w:rsid w:val="585B01EC"/>
    <w:rsid w:val="585B234B"/>
    <w:rsid w:val="586144EF"/>
    <w:rsid w:val="586F67F3"/>
    <w:rsid w:val="588743D1"/>
    <w:rsid w:val="5887701A"/>
    <w:rsid w:val="58B06B3A"/>
    <w:rsid w:val="58B8740D"/>
    <w:rsid w:val="58BD19D9"/>
    <w:rsid w:val="58C55960"/>
    <w:rsid w:val="58C94FFB"/>
    <w:rsid w:val="58E714F5"/>
    <w:rsid w:val="58EA213A"/>
    <w:rsid w:val="592A27C6"/>
    <w:rsid w:val="592B7F6F"/>
    <w:rsid w:val="59C0439F"/>
    <w:rsid w:val="59D93E6F"/>
    <w:rsid w:val="59D949F9"/>
    <w:rsid w:val="59DC04FE"/>
    <w:rsid w:val="59EF593E"/>
    <w:rsid w:val="5A2C525E"/>
    <w:rsid w:val="5A4532B2"/>
    <w:rsid w:val="5A615E58"/>
    <w:rsid w:val="5A7E3159"/>
    <w:rsid w:val="5A9023E4"/>
    <w:rsid w:val="5A9164F8"/>
    <w:rsid w:val="5A9310D1"/>
    <w:rsid w:val="5ABE2233"/>
    <w:rsid w:val="5AD01E87"/>
    <w:rsid w:val="5AD32CC4"/>
    <w:rsid w:val="5AE83531"/>
    <w:rsid w:val="5B372BFB"/>
    <w:rsid w:val="5B435268"/>
    <w:rsid w:val="5B52500C"/>
    <w:rsid w:val="5B6D7E13"/>
    <w:rsid w:val="5B7C37D1"/>
    <w:rsid w:val="5B9261ED"/>
    <w:rsid w:val="5BC53F6F"/>
    <w:rsid w:val="5BD772DE"/>
    <w:rsid w:val="5BDE1292"/>
    <w:rsid w:val="5BDF5D95"/>
    <w:rsid w:val="5BE24954"/>
    <w:rsid w:val="5BE54D4D"/>
    <w:rsid w:val="5BF079BD"/>
    <w:rsid w:val="5BFE7528"/>
    <w:rsid w:val="5E2467F1"/>
    <w:rsid w:val="5E2735E1"/>
    <w:rsid w:val="5E2D53C8"/>
    <w:rsid w:val="5E3C4389"/>
    <w:rsid w:val="5EC0115A"/>
    <w:rsid w:val="5F1020E1"/>
    <w:rsid w:val="5F1A2B43"/>
    <w:rsid w:val="5F3E1E41"/>
    <w:rsid w:val="5F524FAD"/>
    <w:rsid w:val="5FB837BB"/>
    <w:rsid w:val="5FC23A00"/>
    <w:rsid w:val="60151BC1"/>
    <w:rsid w:val="60275934"/>
    <w:rsid w:val="6045447E"/>
    <w:rsid w:val="606C695F"/>
    <w:rsid w:val="607307B7"/>
    <w:rsid w:val="608A1A1F"/>
    <w:rsid w:val="608C0FF4"/>
    <w:rsid w:val="60CC405A"/>
    <w:rsid w:val="60D07D7A"/>
    <w:rsid w:val="61245221"/>
    <w:rsid w:val="61357BDD"/>
    <w:rsid w:val="614F1C31"/>
    <w:rsid w:val="61E215D8"/>
    <w:rsid w:val="621B3775"/>
    <w:rsid w:val="622A34BA"/>
    <w:rsid w:val="62364782"/>
    <w:rsid w:val="624C4EB5"/>
    <w:rsid w:val="6271012F"/>
    <w:rsid w:val="6271418B"/>
    <w:rsid w:val="62AC242B"/>
    <w:rsid w:val="62F553D0"/>
    <w:rsid w:val="62F85366"/>
    <w:rsid w:val="63072016"/>
    <w:rsid w:val="63650113"/>
    <w:rsid w:val="6394356A"/>
    <w:rsid w:val="639F3A33"/>
    <w:rsid w:val="63B77607"/>
    <w:rsid w:val="63C61B2C"/>
    <w:rsid w:val="63D40BE9"/>
    <w:rsid w:val="63F70A4B"/>
    <w:rsid w:val="63FD283F"/>
    <w:rsid w:val="64033421"/>
    <w:rsid w:val="64102431"/>
    <w:rsid w:val="641853DD"/>
    <w:rsid w:val="64452173"/>
    <w:rsid w:val="647A2BDD"/>
    <w:rsid w:val="64915A72"/>
    <w:rsid w:val="64986E00"/>
    <w:rsid w:val="64A5243A"/>
    <w:rsid w:val="64A9441B"/>
    <w:rsid w:val="64C83718"/>
    <w:rsid w:val="64EC0669"/>
    <w:rsid w:val="64F50865"/>
    <w:rsid w:val="64F531DE"/>
    <w:rsid w:val="651A5A67"/>
    <w:rsid w:val="65373578"/>
    <w:rsid w:val="653D09BB"/>
    <w:rsid w:val="65401246"/>
    <w:rsid w:val="6543450A"/>
    <w:rsid w:val="6557354E"/>
    <w:rsid w:val="655A6A64"/>
    <w:rsid w:val="658070D6"/>
    <w:rsid w:val="658C3B58"/>
    <w:rsid w:val="659076AD"/>
    <w:rsid w:val="66072780"/>
    <w:rsid w:val="663A283E"/>
    <w:rsid w:val="664C1584"/>
    <w:rsid w:val="66560D21"/>
    <w:rsid w:val="667A11E5"/>
    <w:rsid w:val="667E4DB2"/>
    <w:rsid w:val="6684624E"/>
    <w:rsid w:val="66DD2A6B"/>
    <w:rsid w:val="66DE0D17"/>
    <w:rsid w:val="66DF3B52"/>
    <w:rsid w:val="670927AC"/>
    <w:rsid w:val="671F124A"/>
    <w:rsid w:val="6739419F"/>
    <w:rsid w:val="6746111A"/>
    <w:rsid w:val="677A33C6"/>
    <w:rsid w:val="67A94E81"/>
    <w:rsid w:val="68064081"/>
    <w:rsid w:val="681F6961"/>
    <w:rsid w:val="68352BB8"/>
    <w:rsid w:val="68442DFB"/>
    <w:rsid w:val="68610A2F"/>
    <w:rsid w:val="68805514"/>
    <w:rsid w:val="6892654B"/>
    <w:rsid w:val="68C53F3C"/>
    <w:rsid w:val="68FD25A3"/>
    <w:rsid w:val="69054727"/>
    <w:rsid w:val="69066C92"/>
    <w:rsid w:val="69316E2F"/>
    <w:rsid w:val="694E2071"/>
    <w:rsid w:val="69747D96"/>
    <w:rsid w:val="69766163"/>
    <w:rsid w:val="697A3B33"/>
    <w:rsid w:val="69CE6E20"/>
    <w:rsid w:val="69D44760"/>
    <w:rsid w:val="69F25CBC"/>
    <w:rsid w:val="69FB2B09"/>
    <w:rsid w:val="69FE3A8B"/>
    <w:rsid w:val="6A0D3B18"/>
    <w:rsid w:val="6A520EC7"/>
    <w:rsid w:val="6A5C26FE"/>
    <w:rsid w:val="6A622E47"/>
    <w:rsid w:val="6A74729B"/>
    <w:rsid w:val="6A8556AB"/>
    <w:rsid w:val="6A902328"/>
    <w:rsid w:val="6AD82F38"/>
    <w:rsid w:val="6AF87E20"/>
    <w:rsid w:val="6B2F022A"/>
    <w:rsid w:val="6B322639"/>
    <w:rsid w:val="6B4B3105"/>
    <w:rsid w:val="6B4D303F"/>
    <w:rsid w:val="6B956EDC"/>
    <w:rsid w:val="6BD2748B"/>
    <w:rsid w:val="6BD278ED"/>
    <w:rsid w:val="6BE26BB3"/>
    <w:rsid w:val="6BE62AFE"/>
    <w:rsid w:val="6BEA0A76"/>
    <w:rsid w:val="6C636C38"/>
    <w:rsid w:val="6CE30E35"/>
    <w:rsid w:val="6D033F9F"/>
    <w:rsid w:val="6D064E46"/>
    <w:rsid w:val="6D113010"/>
    <w:rsid w:val="6D8545BE"/>
    <w:rsid w:val="6D981C1F"/>
    <w:rsid w:val="6D995997"/>
    <w:rsid w:val="6DA63E09"/>
    <w:rsid w:val="6DB34098"/>
    <w:rsid w:val="6DB545B6"/>
    <w:rsid w:val="6DE02FB4"/>
    <w:rsid w:val="6DFB21AE"/>
    <w:rsid w:val="6E514CED"/>
    <w:rsid w:val="6E67025A"/>
    <w:rsid w:val="6E706FDE"/>
    <w:rsid w:val="6E8D5E4E"/>
    <w:rsid w:val="6E9B51D1"/>
    <w:rsid w:val="6EA33CF4"/>
    <w:rsid w:val="6EB563D5"/>
    <w:rsid w:val="6ED92677"/>
    <w:rsid w:val="6EF94770"/>
    <w:rsid w:val="6EFF5CCE"/>
    <w:rsid w:val="6F1E6154"/>
    <w:rsid w:val="6F225983"/>
    <w:rsid w:val="6F810491"/>
    <w:rsid w:val="6FB51A55"/>
    <w:rsid w:val="6FBD613F"/>
    <w:rsid w:val="6FEE27CB"/>
    <w:rsid w:val="6FFC5590"/>
    <w:rsid w:val="70010AB8"/>
    <w:rsid w:val="70071257"/>
    <w:rsid w:val="700851FC"/>
    <w:rsid w:val="701201E0"/>
    <w:rsid w:val="706D1DD0"/>
    <w:rsid w:val="70700C31"/>
    <w:rsid w:val="707A08E1"/>
    <w:rsid w:val="70856B87"/>
    <w:rsid w:val="708D0F8E"/>
    <w:rsid w:val="70940EF2"/>
    <w:rsid w:val="70A419DB"/>
    <w:rsid w:val="70AB0875"/>
    <w:rsid w:val="70D527EE"/>
    <w:rsid w:val="711C66C3"/>
    <w:rsid w:val="71384D7B"/>
    <w:rsid w:val="715069EC"/>
    <w:rsid w:val="715A0AFD"/>
    <w:rsid w:val="715B5300"/>
    <w:rsid w:val="71664AA5"/>
    <w:rsid w:val="71CD285F"/>
    <w:rsid w:val="71D27F8A"/>
    <w:rsid w:val="71D545CF"/>
    <w:rsid w:val="71D76A8E"/>
    <w:rsid w:val="72261199"/>
    <w:rsid w:val="72323559"/>
    <w:rsid w:val="72535B7C"/>
    <w:rsid w:val="72553024"/>
    <w:rsid w:val="72921C61"/>
    <w:rsid w:val="730A137F"/>
    <w:rsid w:val="73122968"/>
    <w:rsid w:val="73142D6B"/>
    <w:rsid w:val="731F5D5E"/>
    <w:rsid w:val="734D400A"/>
    <w:rsid w:val="73857529"/>
    <w:rsid w:val="73A478B6"/>
    <w:rsid w:val="73AC46F7"/>
    <w:rsid w:val="73C51AD5"/>
    <w:rsid w:val="74011122"/>
    <w:rsid w:val="740C2DE4"/>
    <w:rsid w:val="741E793C"/>
    <w:rsid w:val="74257F85"/>
    <w:rsid w:val="745E3944"/>
    <w:rsid w:val="74762A65"/>
    <w:rsid w:val="74856C75"/>
    <w:rsid w:val="74A7099A"/>
    <w:rsid w:val="74B35591"/>
    <w:rsid w:val="74C10547"/>
    <w:rsid w:val="75073186"/>
    <w:rsid w:val="75963B29"/>
    <w:rsid w:val="75E91F88"/>
    <w:rsid w:val="76052538"/>
    <w:rsid w:val="760F4A49"/>
    <w:rsid w:val="76205098"/>
    <w:rsid w:val="7635099D"/>
    <w:rsid w:val="767D7C04"/>
    <w:rsid w:val="76C21ABB"/>
    <w:rsid w:val="76CF2E64"/>
    <w:rsid w:val="77762421"/>
    <w:rsid w:val="77B56B1F"/>
    <w:rsid w:val="77B92741"/>
    <w:rsid w:val="780F09F4"/>
    <w:rsid w:val="786E1D9F"/>
    <w:rsid w:val="78A90480"/>
    <w:rsid w:val="78BA61D2"/>
    <w:rsid w:val="78FD0F48"/>
    <w:rsid w:val="791800B8"/>
    <w:rsid w:val="79673BDF"/>
    <w:rsid w:val="79BC2390"/>
    <w:rsid w:val="79CB2742"/>
    <w:rsid w:val="79CE276B"/>
    <w:rsid w:val="7A1C3FAC"/>
    <w:rsid w:val="7A29287B"/>
    <w:rsid w:val="7A364017"/>
    <w:rsid w:val="7A55753F"/>
    <w:rsid w:val="7A8265E1"/>
    <w:rsid w:val="7A9F497D"/>
    <w:rsid w:val="7AA97EC5"/>
    <w:rsid w:val="7AB07205"/>
    <w:rsid w:val="7ADC6EC3"/>
    <w:rsid w:val="7B0C4031"/>
    <w:rsid w:val="7B0E1773"/>
    <w:rsid w:val="7B19200C"/>
    <w:rsid w:val="7B5A6B59"/>
    <w:rsid w:val="7B5C26F1"/>
    <w:rsid w:val="7B686D42"/>
    <w:rsid w:val="7B772DF8"/>
    <w:rsid w:val="7B825CBD"/>
    <w:rsid w:val="7B841746"/>
    <w:rsid w:val="7B9642F1"/>
    <w:rsid w:val="7BB720BB"/>
    <w:rsid w:val="7BDE0856"/>
    <w:rsid w:val="7C1D1021"/>
    <w:rsid w:val="7C6C5AC7"/>
    <w:rsid w:val="7C954B88"/>
    <w:rsid w:val="7CC6544B"/>
    <w:rsid w:val="7CD32E12"/>
    <w:rsid w:val="7CDC0712"/>
    <w:rsid w:val="7D0239FF"/>
    <w:rsid w:val="7D1D7A72"/>
    <w:rsid w:val="7D2D3A06"/>
    <w:rsid w:val="7D4165A6"/>
    <w:rsid w:val="7D592A4D"/>
    <w:rsid w:val="7D5E40CD"/>
    <w:rsid w:val="7D6848ED"/>
    <w:rsid w:val="7D7B6E68"/>
    <w:rsid w:val="7D8B4355"/>
    <w:rsid w:val="7D9B6C51"/>
    <w:rsid w:val="7DCD56F2"/>
    <w:rsid w:val="7DF7700A"/>
    <w:rsid w:val="7E282B4B"/>
    <w:rsid w:val="7E3C487A"/>
    <w:rsid w:val="7E454594"/>
    <w:rsid w:val="7E4E5754"/>
    <w:rsid w:val="7E6C5C55"/>
    <w:rsid w:val="7EDF70A6"/>
    <w:rsid w:val="7F001CE7"/>
    <w:rsid w:val="7F176D3A"/>
    <w:rsid w:val="7F357588"/>
    <w:rsid w:val="7F58120E"/>
    <w:rsid w:val="7F896309"/>
    <w:rsid w:val="7FD7741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ocked="1"/>
    <w:lsdException w:qFormat="1" w:unhideWhenUsed="0" w:uiPriority="9" w:semiHidden="0" w:name="heading 2" w:locked="1"/>
    <w:lsdException w:qFormat="1" w:unhideWhenUsed="0" w:uiPriority="9" w:semiHidden="0" w:name="heading 3" w:locked="1"/>
    <w:lsdException w:qFormat="1" w:unhideWhenUsed="0" w:uiPriority="0" w:semiHidden="0" w:name="heading 4" w:locked="1"/>
    <w:lsdException w:qFormat="1" w:unhideWhenUsed="0" w:uiPriority="0" w:semiHidden="0" w:name="heading 5" w:locked="1"/>
    <w:lsdException w:qFormat="1" w:unhideWhenUsed="0" w:uiPriority="0" w:semiHidden="0" w:name="heading 6" w:locked="1"/>
    <w:lsdException w:qFormat="1" w:unhideWhenUsed="0" w:uiPriority="0" w:semiHidden="0" w:name="heading 7" w:locked="1"/>
    <w:lsdException w:qFormat="1" w:unhideWhenUsed="0" w:uiPriority="0" w:semiHidden="0" w:name="heading 8" w:locked="1"/>
    <w:lsdException w:qFormat="1" w:unhideWhenUsed="0" w:uiPriority="0" w:semiHidden="0" w:name="heading 9" w:locked="1"/>
    <w:lsdException w:qFormat="1" w:uiPriority="0" w:semiHidden="0" w:name="index 1" w:locked="1"/>
    <w:lsdException w:unhideWhenUsed="0" w:uiPriority="0" w:semiHidden="0" w:name="index 2" w:locked="1"/>
    <w:lsdException w:unhideWhenUsed="0" w:uiPriority="0" w:semiHidden="0" w:name="index 3" w:locked="1"/>
    <w:lsdException w:qFormat="1"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qFormat="1" w:unhideWhenUsed="0" w:uiPriority="39" w:semiHidden="0" w:name="toc 3" w:locked="1"/>
    <w:lsdException w:qFormat="1" w:unhideWhenUsed="0" w:uiPriority="39" w:semiHidden="0" w:name="toc 4" w:locked="1"/>
    <w:lsdException w:qFormat="1" w:unhideWhenUsed="0" w:uiPriority="39" w:semiHidden="0" w:name="toc 5" w:locked="1"/>
    <w:lsdException w:qFormat="1" w:unhideWhenUsed="0" w:uiPriority="39" w:semiHidden="0" w:name="toc 6" w:locked="1"/>
    <w:lsdException w:qFormat="1" w:unhideWhenUsed="0" w:uiPriority="39" w:semiHidden="0" w:name="toc 7" w:locked="1"/>
    <w:lsdException w:qFormat="1" w:unhideWhenUsed="0" w:uiPriority="39" w:semiHidden="0" w:name="toc 8" w:locked="1"/>
    <w:lsdException w:qFormat="1" w:unhideWhenUsed="0" w:uiPriority="39" w:semiHidden="0" w:name="toc 9" w:locked="1"/>
    <w:lsdException w:qFormat="1" w:unhideWhenUsed="0" w:uiPriority="99" w:semiHidden="0" w:name="Normal Indent" w:locked="1"/>
    <w:lsdException w:qFormat="1" w:unhideWhenUsed="0" w:uiPriority="0" w:semiHidden="0" w:name="footnote text" w:locked="1"/>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ocked="1"/>
    <w:lsdException w:qFormat="1" w:unhideWhenUsed="0" w:uiPriority="35" w:semiHidden="0" w:name="caption" w:locked="1"/>
    <w:lsdException w:qFormat="1" w:unhideWhenUsed="0" w:uiPriority="0" w:semiHidden="0" w:name="table of figures" w:locked="1"/>
    <w:lsdException w:qFormat="1" w:unhideWhenUsed="0" w:uiPriority="0" w:semiHidden="0" w:name="envelope address" w:locked="1"/>
    <w:lsdException w:qFormat="1" w:unhideWhenUsed="0" w:uiPriority="0" w:semiHidden="0" w:name="envelope return" w:locked="1"/>
    <w:lsdException w:qFormat="1"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qFormat="1" w:unhideWhenUsed="0" w:uiPriority="0" w:semiHidden="0" w:name="endnote reference" w:locked="1"/>
    <w:lsdException w:qFormat="1" w:unhideWhenUsed="0" w:uiPriority="0" w:semiHidden="0" w:name="endnote text" w:locked="1"/>
    <w:lsdException w:qFormat="1" w:unhideWhenUsed="0" w:uiPriority="0" w:semiHidden="0" w:name="table of authorities" w:locked="1"/>
    <w:lsdException w:qFormat="1" w:unhideWhenUsed="0" w:uiPriority="0" w:semiHidden="0" w:name="macro" w:locked="1"/>
    <w:lsdException w:qFormat="1" w:unhideWhenUsed="0" w:uiPriority="0" w:semiHidden="0" w:name="toa heading" w:locked="1"/>
    <w:lsdException w:qFormat="1" w:unhideWhenUsed="0" w:uiPriority="0" w:semiHidden="0" w:name="List" w:locked="1"/>
    <w:lsdException w:qFormat="1" w:unhideWhenUsed="0" w:uiPriority="0" w:semiHidden="0" w:name="List Bullet" w:locked="1"/>
    <w:lsdException w:qFormat="1" w:unhideWhenUsed="0" w:uiPriority="0" w:semiHidden="0" w:name="List Number" w:locked="1"/>
    <w:lsdException w:qFormat="1" w:unhideWhenUsed="0" w:uiPriority="0" w:semiHidden="0" w:name="List 2" w:locked="1"/>
    <w:lsdException w:qFormat="1" w:unhideWhenUsed="0" w:uiPriority="0" w:semiHidden="0" w:name="List 3" w:locked="1"/>
    <w:lsdException w:qFormat="1" w:unhideWhenUsed="0" w:uiPriority="0" w:semiHidden="0" w:name="List 4" w:locked="1"/>
    <w:lsdException w:qFormat="1" w:unhideWhenUsed="0" w:uiPriority="0" w:semiHidden="0" w:name="List 5" w:locked="1"/>
    <w:lsdException w:qFormat="1" w:unhideWhenUsed="0" w:uiPriority="0" w:semiHidden="0" w:name="List Bullet 2" w:locked="1"/>
    <w:lsdException w:qFormat="1" w:unhideWhenUsed="0" w:uiPriority="0" w:semiHidden="0" w:name="List Bullet 3" w:locked="1"/>
    <w:lsdException w:qFormat="1" w:unhideWhenUsed="0" w:uiPriority="0" w:semiHidden="0" w:name="List Bullet 4" w:locked="1"/>
    <w:lsdException w:qFormat="1" w:unhideWhenUsed="0" w:uiPriority="0" w:semiHidden="0" w:name="List Bullet 5" w:locked="1"/>
    <w:lsdException w:qFormat="1" w:unhideWhenUsed="0" w:uiPriority="0" w:semiHidden="0" w:name="List Number 2" w:locked="1"/>
    <w:lsdException w:qFormat="1" w:unhideWhenUsed="0" w:uiPriority="0" w:semiHidden="0" w:name="List Number 3" w:locked="1"/>
    <w:lsdException w:qFormat="1" w:unhideWhenUsed="0" w:uiPriority="0" w:semiHidden="0" w:name="List Number 4" w:locked="1"/>
    <w:lsdException w:qFormat="1" w:unhideWhenUsed="0" w:uiPriority="0" w:semiHidden="0" w:name="List Number 5" w:locked="1"/>
    <w:lsdException w:qFormat="1" w:unhideWhenUsed="0" w:uiPriority="0" w:semiHidden="0" w:name="Title" w:locked="1"/>
    <w:lsdException w:qFormat="1" w:unhideWhenUsed="0" w:uiPriority="0" w:semiHidden="0" w:name="Closing" w:locked="1"/>
    <w:lsdException w:qFormat="1" w:unhideWhenUsed="0" w:uiPriority="0" w:semiHidden="0" w:name="Signature" w:locked="1"/>
    <w:lsdException w:qFormat="1" w:uiPriority="1" w:name="Default Paragraph Font"/>
    <w:lsdException w:qFormat="1" w:unhideWhenUsed="0" w:uiPriority="0" w:semiHidden="0" w:name="Body Text"/>
    <w:lsdException w:qFormat="1" w:unhideWhenUsed="0" w:uiPriority="99" w:semiHidden="0" w:name="Body Text Indent"/>
    <w:lsdException w:qFormat="1" w:unhideWhenUsed="0" w:uiPriority="0" w:semiHidden="0" w:name="List Continue" w:locked="1"/>
    <w:lsdException w:qFormat="1" w:unhideWhenUsed="0" w:uiPriority="0" w:semiHidden="0" w:name="List Continue 2" w:locked="1"/>
    <w:lsdException w:qFormat="1" w:unhideWhenUsed="0" w:uiPriority="0" w:semiHidden="0" w:name="List Continue 3" w:locked="1"/>
    <w:lsdException w:qFormat="1" w:unhideWhenUsed="0" w:uiPriority="0" w:semiHidden="0" w:name="List Continue 4" w:locked="1"/>
    <w:lsdException w:qFormat="1" w:unhideWhenUsed="0" w:uiPriority="0" w:semiHidden="0" w:name="List Continue 5" w:locked="1"/>
    <w:lsdException w:qFormat="1" w:unhideWhenUsed="0" w:uiPriority="0" w:semiHidden="0" w:name="Message Header" w:locked="1"/>
    <w:lsdException w:qFormat="1" w:unhideWhenUsed="0" w:uiPriority="0" w:semiHidden="0" w:name="Subtitle" w:locked="1"/>
    <w:lsdException w:qFormat="1" w:unhideWhenUsed="0" w:uiPriority="0" w:semiHidden="0" w:name="Salutation" w:locked="1"/>
    <w:lsdException w:qFormat="1" w:unhideWhenUsed="0" w:uiPriority="99" w:semiHidden="0" w:name="Date"/>
    <w:lsdException w:qFormat="1" w:unhideWhenUsed="0" w:uiPriority="0" w:semiHidden="0" w:name="Body Text First Indent" w:locked="1"/>
    <w:lsdException w:qFormat="1" w:uiPriority="99" w:semiHidden="0" w:name="Body Text First Indent 2" w:locked="1"/>
    <w:lsdException w:qFormat="1" w:unhideWhenUsed="0" w:uiPriority="0" w:semiHidden="0" w:name="Note Heading" w:locked="1"/>
    <w:lsdException w:qFormat="1" w:unhideWhenUsed="0" w:uiPriority="0" w:semiHidden="0" w:name="Body Text 2" w:locked="1"/>
    <w:lsdException w:qFormat="1"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99" w:semiHidden="0" w:name="Hyperlink" w:locked="1"/>
    <w:lsdException w:qFormat="1" w:uiPriority="99" w:semiHidden="0" w:name="FollowedHyperlink" w:locked="1"/>
    <w:lsdException w:qFormat="1" w:unhideWhenUsed="0" w:uiPriority="0" w:semiHidden="0" w:name="Strong" w:locked="1"/>
    <w:lsdException w:qFormat="1" w:unhideWhenUsed="0" w:uiPriority="0" w:semiHidden="0" w:name="Emphasis" w:locked="1"/>
    <w:lsdException w:qFormat="1" w:unhideWhenUsed="0" w:uiPriority="99" w:semiHidden="0" w:name="Document Map" w:locked="1"/>
    <w:lsdException w:qFormat="1" w:unhideWhenUsed="0" w:uiPriority="0" w:semiHidden="0" w:name="Plain Text" w:locked="1"/>
    <w:lsdException w:qFormat="1" w:unhideWhenUsed="0" w:uiPriority="0" w:semiHidden="0" w:name="E-mail Signature" w:locked="1"/>
    <w:lsdException w:qFormat="1" w:unhideWhenUsed="0" w:uiPriority="0" w:semiHidden="0" w:name="Normal (Web)"/>
    <w:lsdException w:unhideWhenUsed="0" w:uiPriority="0" w:semiHidden="0" w:name="HTML Acronym" w:locked="1"/>
    <w:lsdException w:qFormat="1" w:unhideWhenUsed="0" w:uiPriority="0" w:semiHidden="0" w:name="HTML Address" w:locked="1"/>
    <w:lsdException w:unhideWhenUsed="0" w:uiPriority="0" w:semiHidden="0" w:name="HTML Cite" w:locked="1"/>
    <w:lsdException w:qFormat="1"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qFormat="1" w:unhideWhenUsed="0" w:uiPriority="0" w:semiHidden="0" w:name="Table Grid 1" w:locked="1"/>
    <w:lsdException w:uiPriority="0" w:name="Table Grid 2" w:locked="1"/>
    <w:lsdException w:uiPriority="0" w:name="Table Grid 3" w:locked="1"/>
    <w:lsdException w:uiPriority="0" w:name="Table Grid 4" w:locked="1"/>
    <w:lsdException w:qFormat="1" w:unhideWhenUsed="0" w:uiPriority="0" w:semiHidden="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qFormat="1" w:unhideWhenUsed="0" w:uiPriority="0" w:semiHidden="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99" w:semiHidden="0" w:name="Table Grid"/>
    <w:lsdException w:qFormat="1" w:unhideWhenUsed="0" w:uiPriority="0" w:semiHidden="0" w:name="Table Theme" w:locked="1"/>
    <w:lsdException w:qFormat="1" w:unhideWhenUsed="0" w:uiPriority="0" w:semiHidden="0"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3">
    <w:name w:val="heading 1"/>
    <w:basedOn w:val="1"/>
    <w:next w:val="1"/>
    <w:link w:val="106"/>
    <w:autoRedefine/>
    <w:qFormat/>
    <w:locked/>
    <w:uiPriority w:val="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link w:val="107"/>
    <w:autoRedefine/>
    <w:qFormat/>
    <w:locked/>
    <w:uiPriority w:val="9"/>
    <w:pPr>
      <w:keepNext/>
      <w:keepLines/>
      <w:spacing w:before="260" w:after="260" w:line="416" w:lineRule="auto"/>
      <w:outlineLvl w:val="1"/>
    </w:pPr>
    <w:rPr>
      <w:rFonts w:ascii="Arial" w:hAnsi="Arial" w:eastAsia="黑体"/>
      <w:b/>
      <w:bCs/>
      <w:sz w:val="32"/>
      <w:szCs w:val="32"/>
    </w:rPr>
  </w:style>
  <w:style w:type="paragraph" w:styleId="5">
    <w:name w:val="heading 3"/>
    <w:basedOn w:val="1"/>
    <w:next w:val="1"/>
    <w:link w:val="108"/>
    <w:autoRedefine/>
    <w:qFormat/>
    <w:locked/>
    <w:uiPriority w:val="9"/>
    <w:pPr>
      <w:keepNext/>
      <w:keepLines/>
      <w:spacing w:before="260" w:after="260" w:line="416" w:lineRule="auto"/>
      <w:outlineLvl w:val="2"/>
    </w:pPr>
    <w:rPr>
      <w:b/>
      <w:bCs/>
      <w:sz w:val="32"/>
      <w:szCs w:val="32"/>
    </w:rPr>
  </w:style>
  <w:style w:type="paragraph" w:styleId="6">
    <w:name w:val="heading 4"/>
    <w:basedOn w:val="1"/>
    <w:next w:val="1"/>
    <w:link w:val="109"/>
    <w:autoRedefine/>
    <w:qFormat/>
    <w:locked/>
    <w:uiPriority w:val="0"/>
    <w:pPr>
      <w:keepNext/>
      <w:keepLines/>
      <w:spacing w:before="280" w:after="290" w:line="376" w:lineRule="auto"/>
      <w:outlineLvl w:val="3"/>
    </w:pPr>
    <w:rPr>
      <w:rFonts w:ascii="Cambria" w:hAnsi="Cambria"/>
      <w:b/>
      <w:bCs/>
      <w:sz w:val="28"/>
      <w:szCs w:val="28"/>
    </w:rPr>
  </w:style>
  <w:style w:type="paragraph" w:styleId="7">
    <w:name w:val="heading 5"/>
    <w:basedOn w:val="1"/>
    <w:next w:val="8"/>
    <w:link w:val="110"/>
    <w:autoRedefine/>
    <w:qFormat/>
    <w:locked/>
    <w:uiPriority w:val="0"/>
    <w:pPr>
      <w:keepNext/>
      <w:keepLines/>
      <w:tabs>
        <w:tab w:val="left" w:pos="1008"/>
      </w:tabs>
      <w:spacing w:before="280" w:after="290" w:line="376" w:lineRule="auto"/>
      <w:ind w:left="1008" w:hanging="1008"/>
      <w:outlineLvl w:val="4"/>
    </w:pPr>
    <w:rPr>
      <w:b/>
      <w:sz w:val="28"/>
      <w:szCs w:val="20"/>
    </w:rPr>
  </w:style>
  <w:style w:type="paragraph" w:styleId="9">
    <w:name w:val="heading 6"/>
    <w:basedOn w:val="1"/>
    <w:next w:val="1"/>
    <w:link w:val="112"/>
    <w:autoRedefine/>
    <w:qFormat/>
    <w:locked/>
    <w:uiPriority w:val="0"/>
    <w:pPr>
      <w:keepNext/>
      <w:keepLines/>
      <w:spacing w:line="360" w:lineRule="auto"/>
      <w:jc w:val="center"/>
      <w:outlineLvl w:val="5"/>
    </w:pPr>
    <w:rPr>
      <w:rFonts w:ascii="Arial" w:hAnsi="Arial"/>
      <w:b/>
      <w:bCs/>
      <w:sz w:val="24"/>
    </w:rPr>
  </w:style>
  <w:style w:type="paragraph" w:styleId="10">
    <w:name w:val="heading 7"/>
    <w:basedOn w:val="1"/>
    <w:next w:val="1"/>
    <w:link w:val="113"/>
    <w:autoRedefine/>
    <w:qFormat/>
    <w:locked/>
    <w:uiPriority w:val="0"/>
    <w:pPr>
      <w:keepNext/>
      <w:keepLines/>
      <w:tabs>
        <w:tab w:val="left" w:pos="1296"/>
      </w:tabs>
      <w:adjustRightInd w:val="0"/>
      <w:snapToGrid w:val="0"/>
      <w:spacing w:before="240" w:after="64" w:line="320" w:lineRule="auto"/>
      <w:ind w:left="1296" w:leftChars="200" w:hanging="1296"/>
      <w:jc w:val="left"/>
      <w:outlineLvl w:val="6"/>
    </w:pPr>
    <w:rPr>
      <w:b/>
      <w:bCs/>
      <w:sz w:val="24"/>
    </w:rPr>
  </w:style>
  <w:style w:type="paragraph" w:styleId="11">
    <w:name w:val="heading 8"/>
    <w:basedOn w:val="1"/>
    <w:next w:val="8"/>
    <w:link w:val="114"/>
    <w:autoRedefine/>
    <w:qFormat/>
    <w:locked/>
    <w:uiPriority w:val="0"/>
    <w:pPr>
      <w:keepNext/>
      <w:keepLines/>
      <w:tabs>
        <w:tab w:val="left" w:pos="1440"/>
      </w:tabs>
      <w:adjustRightInd w:val="0"/>
      <w:spacing w:line="360" w:lineRule="auto"/>
      <w:ind w:left="1440" w:hanging="1440"/>
      <w:textAlignment w:val="baseline"/>
      <w:outlineLvl w:val="7"/>
    </w:pPr>
    <w:rPr>
      <w:rFonts w:ascii="Arial" w:hAnsi="Arial"/>
      <w:kern w:val="0"/>
      <w:sz w:val="24"/>
      <w:szCs w:val="20"/>
    </w:rPr>
  </w:style>
  <w:style w:type="paragraph" w:styleId="12">
    <w:name w:val="heading 9"/>
    <w:basedOn w:val="1"/>
    <w:next w:val="8"/>
    <w:link w:val="115"/>
    <w:autoRedefine/>
    <w:qFormat/>
    <w:locked/>
    <w:uiPriority w:val="0"/>
    <w:pPr>
      <w:keepNext/>
      <w:keepLines/>
      <w:tabs>
        <w:tab w:val="left" w:pos="1584"/>
      </w:tabs>
      <w:adjustRightInd w:val="0"/>
      <w:spacing w:line="360" w:lineRule="auto"/>
      <w:ind w:left="1584" w:hanging="1584"/>
      <w:textAlignment w:val="baseline"/>
      <w:outlineLvl w:val="8"/>
    </w:pPr>
    <w:rPr>
      <w:rFonts w:ascii="Arial" w:hAnsi="Arial"/>
      <w:kern w:val="0"/>
      <w:sz w:val="24"/>
      <w:szCs w:val="20"/>
    </w:rPr>
  </w:style>
  <w:style w:type="character" w:default="1" w:styleId="87">
    <w:name w:val="Default Paragraph Font"/>
    <w:autoRedefine/>
    <w:semiHidden/>
    <w:unhideWhenUsed/>
    <w:qFormat/>
    <w:uiPriority w:val="1"/>
  </w:style>
  <w:style w:type="table" w:default="1" w:styleId="81">
    <w:name w:val="Normal Table"/>
    <w:autoRedefine/>
    <w:semiHidden/>
    <w:unhideWhenUsed/>
    <w:qFormat/>
    <w:uiPriority w:val="99"/>
    <w:tblPr>
      <w:tblCellMar>
        <w:top w:w="0" w:type="dxa"/>
        <w:left w:w="108" w:type="dxa"/>
        <w:bottom w:w="0" w:type="dxa"/>
        <w:right w:w="108" w:type="dxa"/>
      </w:tblCellMar>
    </w:tblPr>
  </w:style>
  <w:style w:type="paragraph" w:styleId="2">
    <w:name w:val="macro"/>
    <w:basedOn w:val="1"/>
    <w:link w:val="105"/>
    <w:autoRedefine/>
    <w:qFormat/>
    <w:locked/>
    <w:uiPriority w:val="0"/>
    <w:pPr>
      <w:widowControl/>
      <w:spacing w:before="100" w:beforeAutospacing="1" w:after="100" w:afterAutospacing="1"/>
      <w:jc w:val="left"/>
    </w:pPr>
    <w:rPr>
      <w:rFonts w:ascii="宋体" w:hAnsi="宋体"/>
      <w:sz w:val="24"/>
    </w:rPr>
  </w:style>
  <w:style w:type="paragraph" w:styleId="8">
    <w:name w:val="Normal Indent"/>
    <w:basedOn w:val="1"/>
    <w:link w:val="111"/>
    <w:autoRedefine/>
    <w:qFormat/>
    <w:locked/>
    <w:uiPriority w:val="99"/>
    <w:pPr>
      <w:ind w:firstLine="420" w:firstLineChars="200"/>
    </w:pPr>
  </w:style>
  <w:style w:type="paragraph" w:styleId="13">
    <w:name w:val="List 3"/>
    <w:basedOn w:val="1"/>
    <w:autoRedefine/>
    <w:qFormat/>
    <w:locked/>
    <w:uiPriority w:val="0"/>
    <w:pPr>
      <w:spacing w:before="60"/>
      <w:ind w:left="1260" w:hanging="420"/>
    </w:pPr>
    <w:rPr>
      <w:rFonts w:ascii="Arial" w:hAnsi="Arial" w:eastAsia="仿宋_GB2312"/>
      <w:kern w:val="0"/>
      <w:sz w:val="24"/>
      <w:szCs w:val="20"/>
    </w:rPr>
  </w:style>
  <w:style w:type="paragraph" w:styleId="14">
    <w:name w:val="toc 7"/>
    <w:basedOn w:val="1"/>
    <w:next w:val="1"/>
    <w:autoRedefine/>
    <w:qFormat/>
    <w:locked/>
    <w:uiPriority w:val="39"/>
    <w:pPr>
      <w:snapToGrid w:val="0"/>
      <w:spacing w:line="500" w:lineRule="exact"/>
      <w:ind w:left="1440"/>
      <w:jc w:val="left"/>
    </w:pPr>
    <w:rPr>
      <w:sz w:val="18"/>
      <w:szCs w:val="18"/>
    </w:rPr>
  </w:style>
  <w:style w:type="paragraph" w:styleId="15">
    <w:name w:val="List Number 2"/>
    <w:basedOn w:val="1"/>
    <w:autoRedefine/>
    <w:qFormat/>
    <w:locked/>
    <w:uiPriority w:val="0"/>
    <w:pPr>
      <w:tabs>
        <w:tab w:val="left" w:pos="780"/>
      </w:tabs>
      <w:spacing w:before="60"/>
      <w:ind w:left="780" w:hanging="360"/>
    </w:pPr>
    <w:rPr>
      <w:rFonts w:ascii="Arial" w:hAnsi="Arial" w:eastAsia="仿宋_GB2312"/>
      <w:kern w:val="0"/>
      <w:sz w:val="24"/>
      <w:szCs w:val="20"/>
    </w:rPr>
  </w:style>
  <w:style w:type="paragraph" w:styleId="16">
    <w:name w:val="table of authorities"/>
    <w:basedOn w:val="1"/>
    <w:next w:val="1"/>
    <w:autoRedefine/>
    <w:qFormat/>
    <w:locked/>
    <w:uiPriority w:val="0"/>
    <w:pPr>
      <w:ind w:left="210" w:hanging="210"/>
      <w:jc w:val="left"/>
    </w:pPr>
    <w:rPr>
      <w:sz w:val="20"/>
      <w:szCs w:val="20"/>
    </w:rPr>
  </w:style>
  <w:style w:type="paragraph" w:styleId="17">
    <w:name w:val="Note Heading"/>
    <w:basedOn w:val="1"/>
    <w:next w:val="1"/>
    <w:link w:val="116"/>
    <w:autoRedefine/>
    <w:qFormat/>
    <w:locked/>
    <w:uiPriority w:val="0"/>
    <w:pPr>
      <w:jc w:val="center"/>
    </w:pPr>
    <w:rPr>
      <w:rFonts w:ascii="Arial" w:hAnsi="Arial"/>
      <w:bCs/>
      <w:sz w:val="28"/>
      <w:szCs w:val="28"/>
    </w:rPr>
  </w:style>
  <w:style w:type="paragraph" w:styleId="18">
    <w:name w:val="List Bullet 4"/>
    <w:basedOn w:val="1"/>
    <w:autoRedefine/>
    <w:qFormat/>
    <w:locked/>
    <w:uiPriority w:val="0"/>
    <w:pPr>
      <w:tabs>
        <w:tab w:val="left" w:pos="1620"/>
      </w:tabs>
      <w:spacing w:before="60"/>
      <w:ind w:left="1620" w:leftChars="600" w:hanging="360" w:hangingChars="200"/>
    </w:pPr>
    <w:rPr>
      <w:rFonts w:ascii="Arial" w:hAnsi="Arial" w:eastAsia="仿宋_GB2312"/>
      <w:kern w:val="0"/>
      <w:sz w:val="24"/>
      <w:szCs w:val="20"/>
    </w:rPr>
  </w:style>
  <w:style w:type="paragraph" w:styleId="19">
    <w:name w:val="E-mail Signature"/>
    <w:basedOn w:val="1"/>
    <w:link w:val="117"/>
    <w:autoRedefine/>
    <w:qFormat/>
    <w:locked/>
    <w:uiPriority w:val="0"/>
    <w:pPr>
      <w:spacing w:before="60"/>
      <w:ind w:firstLine="482"/>
    </w:pPr>
    <w:rPr>
      <w:rFonts w:ascii="Arial" w:hAnsi="Arial" w:eastAsia="仿宋_GB2312"/>
      <w:sz w:val="24"/>
      <w:szCs w:val="22"/>
    </w:rPr>
  </w:style>
  <w:style w:type="paragraph" w:styleId="20">
    <w:name w:val="List Number"/>
    <w:basedOn w:val="1"/>
    <w:autoRedefine/>
    <w:qFormat/>
    <w:locked/>
    <w:uiPriority w:val="0"/>
    <w:pPr>
      <w:tabs>
        <w:tab w:val="left" w:pos="360"/>
      </w:tabs>
      <w:spacing w:before="60"/>
      <w:ind w:left="360" w:hanging="360" w:hangingChars="200"/>
    </w:pPr>
    <w:rPr>
      <w:rFonts w:ascii="Arial" w:hAnsi="Arial" w:eastAsia="仿宋_GB2312"/>
      <w:kern w:val="0"/>
      <w:sz w:val="24"/>
      <w:szCs w:val="20"/>
    </w:rPr>
  </w:style>
  <w:style w:type="paragraph" w:styleId="21">
    <w:name w:val="caption"/>
    <w:basedOn w:val="1"/>
    <w:next w:val="1"/>
    <w:link w:val="118"/>
    <w:autoRedefine/>
    <w:qFormat/>
    <w:locked/>
    <w:uiPriority w:val="35"/>
    <w:pPr>
      <w:snapToGrid w:val="0"/>
      <w:spacing w:line="500" w:lineRule="exact"/>
      <w:jc w:val="left"/>
    </w:pPr>
    <w:rPr>
      <w:rFonts w:ascii="Arial" w:hAnsi="Arial" w:eastAsia="黑体" w:cs="Arial"/>
      <w:sz w:val="20"/>
      <w:szCs w:val="20"/>
    </w:rPr>
  </w:style>
  <w:style w:type="paragraph" w:styleId="22">
    <w:name w:val="List Bullet"/>
    <w:basedOn w:val="1"/>
    <w:autoRedefine/>
    <w:qFormat/>
    <w:locked/>
    <w:uiPriority w:val="0"/>
    <w:pPr>
      <w:numPr>
        <w:ilvl w:val="0"/>
        <w:numId w:val="1"/>
      </w:numPr>
      <w:spacing w:line="360" w:lineRule="auto"/>
    </w:pPr>
    <w:rPr>
      <w:sz w:val="24"/>
    </w:rPr>
  </w:style>
  <w:style w:type="paragraph" w:styleId="23">
    <w:name w:val="envelope address"/>
    <w:basedOn w:val="1"/>
    <w:autoRedefine/>
    <w:qFormat/>
    <w:locked/>
    <w:uiPriority w:val="0"/>
    <w:pPr>
      <w:snapToGrid w:val="0"/>
      <w:spacing w:before="60"/>
      <w:ind w:left="2880" w:firstLine="482"/>
    </w:pPr>
    <w:rPr>
      <w:rFonts w:ascii="Arial" w:hAnsi="Arial" w:eastAsia="仿宋_GB2312" w:cs="Arial"/>
      <w:kern w:val="0"/>
      <w:sz w:val="24"/>
      <w:szCs w:val="20"/>
    </w:rPr>
  </w:style>
  <w:style w:type="paragraph" w:styleId="24">
    <w:name w:val="Document Map"/>
    <w:basedOn w:val="1"/>
    <w:link w:val="119"/>
    <w:autoRedefine/>
    <w:qFormat/>
    <w:locked/>
    <w:uiPriority w:val="99"/>
    <w:pPr>
      <w:shd w:val="clear" w:color="auto" w:fill="000080"/>
    </w:pPr>
  </w:style>
  <w:style w:type="paragraph" w:styleId="25">
    <w:name w:val="toa heading"/>
    <w:basedOn w:val="1"/>
    <w:next w:val="1"/>
    <w:autoRedefine/>
    <w:qFormat/>
    <w:locked/>
    <w:uiPriority w:val="0"/>
    <w:pPr>
      <w:spacing w:before="120"/>
    </w:pPr>
    <w:rPr>
      <w:rFonts w:ascii="Arial" w:hAnsi="Arial" w:cs="Arial"/>
      <w:sz w:val="24"/>
    </w:rPr>
  </w:style>
  <w:style w:type="paragraph" w:styleId="26">
    <w:name w:val="annotation text"/>
    <w:basedOn w:val="1"/>
    <w:link w:val="120"/>
    <w:autoRedefine/>
    <w:qFormat/>
    <w:uiPriority w:val="0"/>
    <w:pPr>
      <w:jc w:val="left"/>
    </w:pPr>
    <w:rPr>
      <w:kern w:val="0"/>
      <w:sz w:val="24"/>
      <w:szCs w:val="20"/>
    </w:rPr>
  </w:style>
  <w:style w:type="paragraph" w:styleId="27">
    <w:name w:val="Salutation"/>
    <w:basedOn w:val="1"/>
    <w:next w:val="1"/>
    <w:link w:val="121"/>
    <w:autoRedefine/>
    <w:qFormat/>
    <w:locked/>
    <w:uiPriority w:val="0"/>
  </w:style>
  <w:style w:type="paragraph" w:styleId="28">
    <w:name w:val="Body Text 3"/>
    <w:basedOn w:val="1"/>
    <w:link w:val="122"/>
    <w:autoRedefine/>
    <w:qFormat/>
    <w:locked/>
    <w:uiPriority w:val="0"/>
    <w:pPr>
      <w:spacing w:line="360" w:lineRule="auto"/>
    </w:pPr>
    <w:rPr>
      <w:rFonts w:ascii="宋体" w:hAnsi="宋体"/>
      <w:sz w:val="24"/>
    </w:rPr>
  </w:style>
  <w:style w:type="paragraph" w:styleId="29">
    <w:name w:val="Closing"/>
    <w:basedOn w:val="1"/>
    <w:link w:val="123"/>
    <w:autoRedefine/>
    <w:qFormat/>
    <w:locked/>
    <w:uiPriority w:val="0"/>
    <w:pPr>
      <w:spacing w:before="60"/>
      <w:ind w:left="4320" w:firstLine="482"/>
    </w:pPr>
    <w:rPr>
      <w:rFonts w:ascii="Arial" w:hAnsi="Arial" w:eastAsia="仿宋_GB2312"/>
      <w:sz w:val="24"/>
      <w:szCs w:val="22"/>
    </w:rPr>
  </w:style>
  <w:style w:type="paragraph" w:styleId="30">
    <w:name w:val="List Bullet 3"/>
    <w:basedOn w:val="1"/>
    <w:autoRedefine/>
    <w:qFormat/>
    <w:locked/>
    <w:uiPriority w:val="0"/>
    <w:pPr>
      <w:tabs>
        <w:tab w:val="left" w:pos="1200"/>
      </w:tabs>
      <w:spacing w:before="60"/>
      <w:ind w:left="1200" w:hanging="360"/>
    </w:pPr>
    <w:rPr>
      <w:rFonts w:ascii="Arial" w:hAnsi="Arial" w:eastAsia="仿宋_GB2312"/>
      <w:kern w:val="0"/>
      <w:sz w:val="24"/>
      <w:szCs w:val="20"/>
    </w:rPr>
  </w:style>
  <w:style w:type="paragraph" w:styleId="31">
    <w:name w:val="Body Text"/>
    <w:basedOn w:val="1"/>
    <w:next w:val="32"/>
    <w:link w:val="124"/>
    <w:autoRedefine/>
    <w:qFormat/>
    <w:uiPriority w:val="0"/>
    <w:pPr>
      <w:widowControl/>
      <w:snapToGrid w:val="0"/>
      <w:spacing w:before="60" w:after="160" w:line="259" w:lineRule="auto"/>
      <w:ind w:right="113"/>
    </w:pPr>
    <w:rPr>
      <w:kern w:val="0"/>
      <w:sz w:val="18"/>
      <w:szCs w:val="20"/>
    </w:rPr>
  </w:style>
  <w:style w:type="paragraph" w:styleId="32">
    <w:name w:val="List Bullet 5"/>
    <w:basedOn w:val="1"/>
    <w:autoRedefine/>
    <w:qFormat/>
    <w:locked/>
    <w:uiPriority w:val="0"/>
    <w:pPr>
      <w:tabs>
        <w:tab w:val="left" w:pos="2040"/>
      </w:tabs>
      <w:spacing w:before="60"/>
      <w:ind w:left="2040" w:hanging="360"/>
    </w:pPr>
    <w:rPr>
      <w:rFonts w:ascii="Arial" w:hAnsi="Arial" w:eastAsia="仿宋_GB2312"/>
      <w:kern w:val="0"/>
      <w:sz w:val="24"/>
      <w:szCs w:val="20"/>
    </w:rPr>
  </w:style>
  <w:style w:type="paragraph" w:styleId="33">
    <w:name w:val="Body Text Indent"/>
    <w:basedOn w:val="1"/>
    <w:link w:val="125"/>
    <w:autoRedefine/>
    <w:qFormat/>
    <w:uiPriority w:val="99"/>
    <w:pPr>
      <w:spacing w:after="120"/>
      <w:ind w:left="420" w:leftChars="200"/>
    </w:pPr>
    <w:rPr>
      <w:kern w:val="0"/>
      <w:sz w:val="24"/>
      <w:szCs w:val="20"/>
    </w:rPr>
  </w:style>
  <w:style w:type="paragraph" w:styleId="34">
    <w:name w:val="List Number 3"/>
    <w:basedOn w:val="1"/>
    <w:autoRedefine/>
    <w:qFormat/>
    <w:locked/>
    <w:uiPriority w:val="0"/>
    <w:pPr>
      <w:tabs>
        <w:tab w:val="left" w:pos="1200"/>
      </w:tabs>
      <w:spacing w:before="60"/>
      <w:ind w:left="1200" w:hanging="360"/>
    </w:pPr>
    <w:rPr>
      <w:rFonts w:ascii="Arial" w:hAnsi="Arial" w:eastAsia="仿宋_GB2312"/>
      <w:kern w:val="0"/>
      <w:sz w:val="24"/>
      <w:szCs w:val="20"/>
    </w:rPr>
  </w:style>
  <w:style w:type="paragraph" w:styleId="35">
    <w:name w:val="List 2"/>
    <w:basedOn w:val="1"/>
    <w:autoRedefine/>
    <w:qFormat/>
    <w:locked/>
    <w:uiPriority w:val="0"/>
    <w:pPr>
      <w:ind w:left="100" w:leftChars="200" w:hanging="200" w:hangingChars="200"/>
    </w:pPr>
    <w:rPr>
      <w:rFonts w:eastAsia="仿宋_GB2312"/>
      <w:snapToGrid w:val="0"/>
      <w:color w:val="000000"/>
      <w:kern w:val="0"/>
      <w:sz w:val="28"/>
      <w:szCs w:val="32"/>
    </w:rPr>
  </w:style>
  <w:style w:type="paragraph" w:styleId="36">
    <w:name w:val="List Continue"/>
    <w:basedOn w:val="1"/>
    <w:autoRedefine/>
    <w:qFormat/>
    <w:locked/>
    <w:uiPriority w:val="0"/>
    <w:pPr>
      <w:spacing w:after="120"/>
      <w:ind w:left="420" w:leftChars="200"/>
    </w:pPr>
  </w:style>
  <w:style w:type="paragraph" w:styleId="37">
    <w:name w:val="Block Text"/>
    <w:basedOn w:val="1"/>
    <w:autoRedefine/>
    <w:qFormat/>
    <w:locked/>
    <w:uiPriority w:val="0"/>
    <w:pPr>
      <w:autoSpaceDE w:val="0"/>
      <w:autoSpaceDN w:val="0"/>
      <w:adjustRightInd w:val="0"/>
      <w:ind w:left="98" w:right="72" w:firstLine="490" w:firstLineChars="175"/>
      <w:jc w:val="left"/>
    </w:pPr>
    <w:rPr>
      <w:rFonts w:ascii="宋体" w:hAnsi="宋体"/>
      <w:kern w:val="0"/>
      <w:sz w:val="28"/>
      <w:szCs w:val="26"/>
    </w:rPr>
  </w:style>
  <w:style w:type="paragraph" w:styleId="38">
    <w:name w:val="List Bullet 2"/>
    <w:basedOn w:val="1"/>
    <w:autoRedefine/>
    <w:qFormat/>
    <w:locked/>
    <w:uiPriority w:val="0"/>
    <w:pPr>
      <w:tabs>
        <w:tab w:val="left" w:pos="780"/>
      </w:tabs>
      <w:spacing w:before="60"/>
      <w:ind w:left="780" w:leftChars="200" w:hanging="360" w:hangingChars="200"/>
    </w:pPr>
    <w:rPr>
      <w:rFonts w:ascii="Arial" w:hAnsi="Arial" w:eastAsia="仿宋_GB2312"/>
      <w:kern w:val="0"/>
      <w:sz w:val="24"/>
      <w:szCs w:val="20"/>
    </w:rPr>
  </w:style>
  <w:style w:type="paragraph" w:styleId="39">
    <w:name w:val="HTML Address"/>
    <w:basedOn w:val="1"/>
    <w:link w:val="127"/>
    <w:autoRedefine/>
    <w:qFormat/>
    <w:locked/>
    <w:uiPriority w:val="0"/>
    <w:pPr>
      <w:spacing w:before="60"/>
      <w:ind w:firstLine="482"/>
    </w:pPr>
    <w:rPr>
      <w:rFonts w:ascii="Arial" w:hAnsi="Arial" w:eastAsia="仿宋_GB2312"/>
      <w:i/>
      <w:iCs/>
      <w:sz w:val="24"/>
      <w:szCs w:val="22"/>
    </w:rPr>
  </w:style>
  <w:style w:type="paragraph" w:styleId="40">
    <w:name w:val="index 4"/>
    <w:basedOn w:val="1"/>
    <w:next w:val="1"/>
    <w:autoRedefine/>
    <w:qFormat/>
    <w:locked/>
    <w:uiPriority w:val="0"/>
    <w:pPr>
      <w:spacing w:line="360" w:lineRule="auto"/>
      <w:ind w:left="600" w:leftChars="600" w:firstLine="200" w:firstLineChars="200"/>
    </w:pPr>
    <w:rPr>
      <w:rFonts w:ascii="宋体"/>
      <w:sz w:val="24"/>
    </w:rPr>
  </w:style>
  <w:style w:type="paragraph" w:styleId="41">
    <w:name w:val="toc 5"/>
    <w:basedOn w:val="1"/>
    <w:next w:val="1"/>
    <w:autoRedefine/>
    <w:qFormat/>
    <w:locked/>
    <w:uiPriority w:val="39"/>
    <w:pPr>
      <w:snapToGrid w:val="0"/>
      <w:spacing w:line="500" w:lineRule="exact"/>
      <w:ind w:left="960"/>
      <w:jc w:val="left"/>
    </w:pPr>
    <w:rPr>
      <w:sz w:val="18"/>
      <w:szCs w:val="18"/>
    </w:rPr>
  </w:style>
  <w:style w:type="paragraph" w:styleId="42">
    <w:name w:val="toc 3"/>
    <w:basedOn w:val="1"/>
    <w:next w:val="1"/>
    <w:autoRedefine/>
    <w:qFormat/>
    <w:locked/>
    <w:uiPriority w:val="39"/>
    <w:pPr>
      <w:snapToGrid w:val="0"/>
      <w:spacing w:line="500" w:lineRule="exact"/>
      <w:ind w:left="480"/>
      <w:jc w:val="left"/>
    </w:pPr>
    <w:rPr>
      <w:i/>
      <w:iCs/>
      <w:sz w:val="20"/>
      <w:szCs w:val="20"/>
    </w:rPr>
  </w:style>
  <w:style w:type="paragraph" w:styleId="43">
    <w:name w:val="Plain Text"/>
    <w:basedOn w:val="1"/>
    <w:link w:val="104"/>
    <w:autoRedefine/>
    <w:qFormat/>
    <w:locked/>
    <w:uiPriority w:val="0"/>
    <w:rPr>
      <w:rFonts w:ascii="宋体" w:hAnsi="Courier New" w:cs="Courier New"/>
    </w:rPr>
  </w:style>
  <w:style w:type="paragraph" w:styleId="44">
    <w:name w:val="List Number 4"/>
    <w:basedOn w:val="1"/>
    <w:autoRedefine/>
    <w:qFormat/>
    <w:locked/>
    <w:uiPriority w:val="0"/>
    <w:pPr>
      <w:tabs>
        <w:tab w:val="left" w:pos="1620"/>
      </w:tabs>
      <w:spacing w:before="60"/>
      <w:ind w:left="1620" w:hanging="360"/>
    </w:pPr>
    <w:rPr>
      <w:rFonts w:ascii="Arial" w:hAnsi="Arial" w:eastAsia="仿宋_GB2312"/>
      <w:kern w:val="0"/>
      <w:sz w:val="24"/>
      <w:szCs w:val="20"/>
    </w:rPr>
  </w:style>
  <w:style w:type="paragraph" w:styleId="45">
    <w:name w:val="toc 8"/>
    <w:basedOn w:val="1"/>
    <w:next w:val="1"/>
    <w:autoRedefine/>
    <w:qFormat/>
    <w:locked/>
    <w:uiPriority w:val="39"/>
    <w:pPr>
      <w:snapToGrid w:val="0"/>
      <w:spacing w:line="500" w:lineRule="exact"/>
      <w:ind w:left="1680"/>
      <w:jc w:val="left"/>
    </w:pPr>
    <w:rPr>
      <w:sz w:val="18"/>
      <w:szCs w:val="18"/>
    </w:rPr>
  </w:style>
  <w:style w:type="paragraph" w:styleId="46">
    <w:name w:val="Date"/>
    <w:basedOn w:val="1"/>
    <w:next w:val="1"/>
    <w:link w:val="128"/>
    <w:autoRedefine/>
    <w:qFormat/>
    <w:uiPriority w:val="99"/>
    <w:pPr>
      <w:ind w:left="100" w:leftChars="2500"/>
    </w:pPr>
    <w:rPr>
      <w:kern w:val="0"/>
      <w:sz w:val="24"/>
      <w:szCs w:val="20"/>
    </w:rPr>
  </w:style>
  <w:style w:type="paragraph" w:styleId="47">
    <w:name w:val="Body Text Indent 2"/>
    <w:basedOn w:val="1"/>
    <w:link w:val="129"/>
    <w:autoRedefine/>
    <w:qFormat/>
    <w:locked/>
    <w:uiPriority w:val="0"/>
    <w:pPr>
      <w:spacing w:before="120"/>
      <w:ind w:right="113" w:firstLine="570"/>
    </w:pPr>
    <w:rPr>
      <w:kern w:val="24"/>
      <w:sz w:val="28"/>
      <w:szCs w:val="20"/>
    </w:rPr>
  </w:style>
  <w:style w:type="paragraph" w:styleId="48">
    <w:name w:val="endnote text"/>
    <w:basedOn w:val="1"/>
    <w:link w:val="130"/>
    <w:autoRedefine/>
    <w:qFormat/>
    <w:locked/>
    <w:uiPriority w:val="0"/>
    <w:pPr>
      <w:snapToGrid w:val="0"/>
      <w:jc w:val="left"/>
    </w:pPr>
  </w:style>
  <w:style w:type="paragraph" w:styleId="49">
    <w:name w:val="List Continue 5"/>
    <w:basedOn w:val="1"/>
    <w:autoRedefine/>
    <w:qFormat/>
    <w:locked/>
    <w:uiPriority w:val="0"/>
    <w:pPr>
      <w:spacing w:before="60" w:after="120"/>
      <w:ind w:left="2100" w:firstLine="482"/>
    </w:pPr>
    <w:rPr>
      <w:rFonts w:ascii="Arial" w:hAnsi="Arial" w:eastAsia="仿宋_GB2312"/>
      <w:kern w:val="0"/>
      <w:sz w:val="24"/>
      <w:szCs w:val="20"/>
    </w:rPr>
  </w:style>
  <w:style w:type="paragraph" w:styleId="50">
    <w:name w:val="Balloon Text"/>
    <w:basedOn w:val="1"/>
    <w:link w:val="131"/>
    <w:autoRedefine/>
    <w:semiHidden/>
    <w:qFormat/>
    <w:uiPriority w:val="0"/>
    <w:rPr>
      <w:kern w:val="0"/>
      <w:sz w:val="18"/>
      <w:szCs w:val="20"/>
    </w:rPr>
  </w:style>
  <w:style w:type="paragraph" w:styleId="51">
    <w:name w:val="footer"/>
    <w:basedOn w:val="1"/>
    <w:link w:val="132"/>
    <w:autoRedefine/>
    <w:qFormat/>
    <w:uiPriority w:val="99"/>
    <w:pPr>
      <w:tabs>
        <w:tab w:val="center" w:pos="4153"/>
        <w:tab w:val="right" w:pos="8306"/>
      </w:tabs>
      <w:snapToGrid w:val="0"/>
      <w:jc w:val="left"/>
    </w:pPr>
    <w:rPr>
      <w:kern w:val="0"/>
      <w:sz w:val="18"/>
      <w:szCs w:val="20"/>
    </w:rPr>
  </w:style>
  <w:style w:type="paragraph" w:styleId="52">
    <w:name w:val="envelope return"/>
    <w:basedOn w:val="1"/>
    <w:autoRedefine/>
    <w:qFormat/>
    <w:locked/>
    <w:uiPriority w:val="0"/>
    <w:pPr>
      <w:snapToGrid w:val="0"/>
      <w:spacing w:before="60"/>
      <w:ind w:firstLine="482"/>
    </w:pPr>
    <w:rPr>
      <w:rFonts w:ascii="Arial" w:hAnsi="Arial" w:eastAsia="仿宋_GB2312" w:cs="Arial"/>
      <w:kern w:val="0"/>
      <w:sz w:val="24"/>
      <w:szCs w:val="20"/>
    </w:rPr>
  </w:style>
  <w:style w:type="paragraph" w:styleId="53">
    <w:name w:val="header"/>
    <w:basedOn w:val="1"/>
    <w:link w:val="133"/>
    <w:autoRedefine/>
    <w:qFormat/>
    <w:uiPriority w:val="99"/>
    <w:pPr>
      <w:pBdr>
        <w:bottom w:val="single" w:color="auto" w:sz="6" w:space="1"/>
      </w:pBdr>
      <w:tabs>
        <w:tab w:val="center" w:pos="4153"/>
        <w:tab w:val="right" w:pos="8306"/>
      </w:tabs>
      <w:snapToGrid w:val="0"/>
      <w:jc w:val="center"/>
    </w:pPr>
    <w:rPr>
      <w:kern w:val="0"/>
      <w:sz w:val="18"/>
      <w:szCs w:val="20"/>
    </w:rPr>
  </w:style>
  <w:style w:type="paragraph" w:styleId="54">
    <w:name w:val="Signature"/>
    <w:basedOn w:val="1"/>
    <w:link w:val="134"/>
    <w:autoRedefine/>
    <w:qFormat/>
    <w:locked/>
    <w:uiPriority w:val="0"/>
    <w:pPr>
      <w:spacing w:before="60"/>
      <w:ind w:left="4320" w:firstLine="482"/>
    </w:pPr>
    <w:rPr>
      <w:rFonts w:ascii="Arial" w:hAnsi="Arial" w:eastAsia="仿宋_GB2312"/>
      <w:sz w:val="24"/>
      <w:szCs w:val="22"/>
    </w:rPr>
  </w:style>
  <w:style w:type="paragraph" w:styleId="55">
    <w:name w:val="toc 1"/>
    <w:basedOn w:val="1"/>
    <w:next w:val="1"/>
    <w:link w:val="135"/>
    <w:autoRedefine/>
    <w:qFormat/>
    <w:locked/>
    <w:uiPriority w:val="39"/>
    <w:pPr>
      <w:tabs>
        <w:tab w:val="right" w:leader="dot" w:pos="9060"/>
      </w:tabs>
      <w:snapToGrid w:val="0"/>
      <w:spacing w:before="120" w:after="120" w:line="360" w:lineRule="auto"/>
      <w:jc w:val="left"/>
    </w:pPr>
    <w:rPr>
      <w:b/>
      <w:bCs/>
      <w:caps/>
      <w:sz w:val="20"/>
      <w:szCs w:val="20"/>
    </w:rPr>
  </w:style>
  <w:style w:type="paragraph" w:styleId="56">
    <w:name w:val="List Continue 4"/>
    <w:basedOn w:val="1"/>
    <w:autoRedefine/>
    <w:qFormat/>
    <w:locked/>
    <w:uiPriority w:val="0"/>
    <w:pPr>
      <w:spacing w:before="60" w:after="120"/>
      <w:ind w:left="1680" w:firstLine="482"/>
    </w:pPr>
    <w:rPr>
      <w:rFonts w:ascii="Arial" w:hAnsi="Arial" w:eastAsia="仿宋_GB2312"/>
      <w:kern w:val="0"/>
      <w:sz w:val="24"/>
      <w:szCs w:val="20"/>
    </w:rPr>
  </w:style>
  <w:style w:type="paragraph" w:styleId="57">
    <w:name w:val="toc 4"/>
    <w:basedOn w:val="1"/>
    <w:next w:val="1"/>
    <w:autoRedefine/>
    <w:qFormat/>
    <w:locked/>
    <w:uiPriority w:val="39"/>
    <w:pPr>
      <w:tabs>
        <w:tab w:val="right" w:leader="dot" w:pos="9060"/>
      </w:tabs>
      <w:snapToGrid w:val="0"/>
      <w:spacing w:line="360" w:lineRule="auto"/>
      <w:ind w:left="720"/>
      <w:jc w:val="left"/>
    </w:pPr>
    <w:rPr>
      <w:b/>
      <w:sz w:val="18"/>
      <w:szCs w:val="18"/>
    </w:rPr>
  </w:style>
  <w:style w:type="paragraph" w:styleId="58">
    <w:name w:val="index heading"/>
    <w:basedOn w:val="1"/>
    <w:next w:val="59"/>
    <w:autoRedefine/>
    <w:qFormat/>
    <w:locked/>
    <w:uiPriority w:val="0"/>
  </w:style>
  <w:style w:type="paragraph" w:styleId="59">
    <w:name w:val="index 1"/>
    <w:basedOn w:val="1"/>
    <w:next w:val="1"/>
    <w:autoRedefine/>
    <w:unhideWhenUsed/>
    <w:qFormat/>
    <w:locked/>
    <w:uiPriority w:val="0"/>
  </w:style>
  <w:style w:type="paragraph" w:styleId="60">
    <w:name w:val="Subtitle"/>
    <w:basedOn w:val="1"/>
    <w:link w:val="136"/>
    <w:autoRedefine/>
    <w:qFormat/>
    <w:locked/>
    <w:uiPriority w:val="0"/>
    <w:pPr>
      <w:spacing w:before="240" w:after="60" w:line="312" w:lineRule="auto"/>
      <w:ind w:firstLine="482"/>
      <w:jc w:val="center"/>
      <w:outlineLvl w:val="1"/>
    </w:pPr>
    <w:rPr>
      <w:rFonts w:ascii="Arial" w:hAnsi="Arial" w:eastAsia="仿宋_GB2312"/>
      <w:b/>
      <w:bCs/>
      <w:kern w:val="28"/>
      <w:sz w:val="32"/>
      <w:szCs w:val="32"/>
    </w:rPr>
  </w:style>
  <w:style w:type="paragraph" w:styleId="61">
    <w:name w:val="List Number 5"/>
    <w:basedOn w:val="1"/>
    <w:autoRedefine/>
    <w:qFormat/>
    <w:locked/>
    <w:uiPriority w:val="0"/>
    <w:pPr>
      <w:tabs>
        <w:tab w:val="left" w:pos="420"/>
      </w:tabs>
      <w:spacing w:before="60"/>
      <w:ind w:left="420" w:hanging="420"/>
    </w:pPr>
    <w:rPr>
      <w:rFonts w:ascii="Arial" w:hAnsi="Arial" w:eastAsia="仿宋_GB2312"/>
      <w:kern w:val="0"/>
      <w:sz w:val="24"/>
      <w:szCs w:val="20"/>
    </w:rPr>
  </w:style>
  <w:style w:type="paragraph" w:styleId="62">
    <w:name w:val="List"/>
    <w:basedOn w:val="1"/>
    <w:autoRedefine/>
    <w:qFormat/>
    <w:locked/>
    <w:uiPriority w:val="0"/>
    <w:pPr>
      <w:snapToGrid w:val="0"/>
      <w:spacing w:line="500" w:lineRule="exact"/>
      <w:jc w:val="left"/>
    </w:pPr>
    <w:rPr>
      <w:szCs w:val="20"/>
    </w:rPr>
  </w:style>
  <w:style w:type="paragraph" w:styleId="63">
    <w:name w:val="footnote text"/>
    <w:basedOn w:val="1"/>
    <w:link w:val="137"/>
    <w:autoRedefine/>
    <w:qFormat/>
    <w:locked/>
    <w:uiPriority w:val="0"/>
    <w:pPr>
      <w:snapToGrid w:val="0"/>
      <w:spacing w:line="360" w:lineRule="auto"/>
      <w:ind w:firstLine="200" w:firstLineChars="200"/>
      <w:jc w:val="left"/>
    </w:pPr>
    <w:rPr>
      <w:rFonts w:ascii="宋体"/>
      <w:sz w:val="18"/>
      <w:szCs w:val="18"/>
    </w:rPr>
  </w:style>
  <w:style w:type="paragraph" w:styleId="64">
    <w:name w:val="toc 6"/>
    <w:basedOn w:val="1"/>
    <w:next w:val="1"/>
    <w:autoRedefine/>
    <w:qFormat/>
    <w:locked/>
    <w:uiPriority w:val="39"/>
    <w:pPr>
      <w:snapToGrid w:val="0"/>
      <w:spacing w:line="500" w:lineRule="exact"/>
      <w:ind w:left="1200"/>
      <w:jc w:val="left"/>
    </w:pPr>
    <w:rPr>
      <w:sz w:val="18"/>
      <w:szCs w:val="18"/>
    </w:rPr>
  </w:style>
  <w:style w:type="paragraph" w:styleId="65">
    <w:name w:val="List 5"/>
    <w:basedOn w:val="1"/>
    <w:autoRedefine/>
    <w:qFormat/>
    <w:locked/>
    <w:uiPriority w:val="0"/>
    <w:pPr>
      <w:spacing w:before="60"/>
      <w:ind w:left="2100" w:hanging="420"/>
    </w:pPr>
    <w:rPr>
      <w:rFonts w:ascii="Arial" w:hAnsi="Arial" w:eastAsia="仿宋_GB2312"/>
      <w:kern w:val="0"/>
      <w:sz w:val="24"/>
      <w:szCs w:val="20"/>
    </w:rPr>
  </w:style>
  <w:style w:type="paragraph" w:styleId="66">
    <w:name w:val="Body Text Indent 3"/>
    <w:basedOn w:val="1"/>
    <w:link w:val="138"/>
    <w:autoRedefine/>
    <w:qFormat/>
    <w:locked/>
    <w:uiPriority w:val="0"/>
    <w:pPr>
      <w:spacing w:after="120"/>
      <w:ind w:left="420" w:leftChars="200"/>
    </w:pPr>
    <w:rPr>
      <w:sz w:val="16"/>
      <w:szCs w:val="16"/>
    </w:rPr>
  </w:style>
  <w:style w:type="paragraph" w:styleId="67">
    <w:name w:val="table of figures"/>
    <w:basedOn w:val="1"/>
    <w:next w:val="1"/>
    <w:autoRedefine/>
    <w:qFormat/>
    <w:locked/>
    <w:uiPriority w:val="0"/>
    <w:pPr>
      <w:tabs>
        <w:tab w:val="right" w:leader="dot" w:pos="8312"/>
      </w:tabs>
      <w:adjustRightInd w:val="0"/>
      <w:spacing w:line="360" w:lineRule="auto"/>
      <w:textAlignment w:val="baseline"/>
    </w:pPr>
    <w:rPr>
      <w:rFonts w:ascii="宋体"/>
      <w:kern w:val="0"/>
      <w:szCs w:val="20"/>
    </w:rPr>
  </w:style>
  <w:style w:type="paragraph" w:styleId="68">
    <w:name w:val="toc 2"/>
    <w:basedOn w:val="1"/>
    <w:next w:val="1"/>
    <w:autoRedefine/>
    <w:qFormat/>
    <w:locked/>
    <w:uiPriority w:val="39"/>
    <w:pPr>
      <w:tabs>
        <w:tab w:val="right" w:leader="dot" w:pos="9060"/>
      </w:tabs>
      <w:snapToGrid w:val="0"/>
      <w:ind w:left="240"/>
      <w:jc w:val="left"/>
    </w:pPr>
    <w:rPr>
      <w:smallCaps/>
      <w:sz w:val="20"/>
      <w:szCs w:val="20"/>
    </w:rPr>
  </w:style>
  <w:style w:type="paragraph" w:styleId="69">
    <w:name w:val="toc 9"/>
    <w:basedOn w:val="1"/>
    <w:next w:val="1"/>
    <w:autoRedefine/>
    <w:qFormat/>
    <w:locked/>
    <w:uiPriority w:val="39"/>
    <w:pPr>
      <w:snapToGrid w:val="0"/>
      <w:spacing w:line="500" w:lineRule="exact"/>
      <w:ind w:left="1920"/>
      <w:jc w:val="left"/>
    </w:pPr>
    <w:rPr>
      <w:sz w:val="18"/>
      <w:szCs w:val="18"/>
    </w:rPr>
  </w:style>
  <w:style w:type="paragraph" w:styleId="70">
    <w:name w:val="Body Text 2"/>
    <w:basedOn w:val="1"/>
    <w:link w:val="139"/>
    <w:autoRedefine/>
    <w:qFormat/>
    <w:locked/>
    <w:uiPriority w:val="0"/>
    <w:rPr>
      <w:rFonts w:eastAsia="仿宋_GB2312"/>
      <w:sz w:val="32"/>
    </w:rPr>
  </w:style>
  <w:style w:type="paragraph" w:styleId="71">
    <w:name w:val="List 4"/>
    <w:basedOn w:val="1"/>
    <w:autoRedefine/>
    <w:qFormat/>
    <w:locked/>
    <w:uiPriority w:val="0"/>
    <w:pPr>
      <w:spacing w:before="60"/>
      <w:ind w:left="1680" w:hanging="420"/>
    </w:pPr>
    <w:rPr>
      <w:rFonts w:ascii="Arial" w:hAnsi="Arial" w:eastAsia="仿宋_GB2312"/>
      <w:kern w:val="0"/>
      <w:sz w:val="24"/>
      <w:szCs w:val="20"/>
    </w:rPr>
  </w:style>
  <w:style w:type="paragraph" w:styleId="72">
    <w:name w:val="List Continue 2"/>
    <w:basedOn w:val="1"/>
    <w:autoRedefine/>
    <w:qFormat/>
    <w:locked/>
    <w:uiPriority w:val="0"/>
    <w:pPr>
      <w:spacing w:before="60" w:after="120"/>
      <w:ind w:left="840" w:firstLine="482"/>
    </w:pPr>
    <w:rPr>
      <w:rFonts w:ascii="Arial" w:hAnsi="Arial" w:eastAsia="仿宋_GB2312"/>
      <w:kern w:val="0"/>
      <w:sz w:val="24"/>
      <w:szCs w:val="20"/>
    </w:rPr>
  </w:style>
  <w:style w:type="paragraph" w:styleId="73">
    <w:name w:val="Message Header"/>
    <w:basedOn w:val="1"/>
    <w:link w:val="140"/>
    <w:autoRedefine/>
    <w:qFormat/>
    <w:locked/>
    <w:uiPriority w:val="0"/>
    <w:pPr>
      <w:pBdr>
        <w:top w:val="single" w:color="auto" w:sz="6" w:space="1"/>
        <w:left w:val="single" w:color="auto" w:sz="6" w:space="1"/>
        <w:bottom w:val="single" w:color="auto" w:sz="6" w:space="1"/>
        <w:right w:val="single" w:color="auto" w:sz="6" w:space="1"/>
      </w:pBdr>
      <w:shd w:val="pct20" w:color="auto" w:fill="auto"/>
      <w:spacing w:before="60"/>
      <w:ind w:left="1080" w:hanging="1080"/>
    </w:pPr>
    <w:rPr>
      <w:rFonts w:ascii="宋体" w:hAnsi="宋体" w:cs="宋体"/>
      <w:sz w:val="24"/>
    </w:rPr>
  </w:style>
  <w:style w:type="paragraph" w:styleId="74">
    <w:name w:val="HTML Preformatted"/>
    <w:basedOn w:val="1"/>
    <w:link w:val="141"/>
    <w:autoRedefine/>
    <w:qFormat/>
    <w:locked/>
    <w:uiPriority w:val="0"/>
    <w:rPr>
      <w:rFonts w:ascii="Courier New" w:hAnsi="Courier New" w:cs="Courier New"/>
      <w:sz w:val="20"/>
      <w:szCs w:val="20"/>
    </w:rPr>
  </w:style>
  <w:style w:type="paragraph" w:styleId="75">
    <w:name w:val="Normal (Web)"/>
    <w:basedOn w:val="1"/>
    <w:link w:val="142"/>
    <w:autoRedefine/>
    <w:qFormat/>
    <w:uiPriority w:val="0"/>
    <w:pPr>
      <w:widowControl/>
      <w:spacing w:before="100" w:beforeAutospacing="1" w:after="100" w:afterAutospacing="1"/>
      <w:jc w:val="left"/>
    </w:pPr>
    <w:rPr>
      <w:rFonts w:ascii="宋体" w:hAnsi="宋体"/>
      <w:kern w:val="0"/>
      <w:sz w:val="24"/>
      <w:szCs w:val="20"/>
    </w:rPr>
  </w:style>
  <w:style w:type="paragraph" w:styleId="76">
    <w:name w:val="List Continue 3"/>
    <w:basedOn w:val="1"/>
    <w:autoRedefine/>
    <w:qFormat/>
    <w:locked/>
    <w:uiPriority w:val="0"/>
    <w:pPr>
      <w:spacing w:before="60" w:after="120"/>
      <w:ind w:left="1260" w:firstLine="482"/>
    </w:pPr>
    <w:rPr>
      <w:rFonts w:ascii="Arial" w:hAnsi="Arial" w:eastAsia="仿宋_GB2312"/>
      <w:kern w:val="0"/>
      <w:sz w:val="24"/>
      <w:szCs w:val="20"/>
    </w:rPr>
  </w:style>
  <w:style w:type="paragraph" w:styleId="77">
    <w:name w:val="Title"/>
    <w:basedOn w:val="1"/>
    <w:next w:val="1"/>
    <w:link w:val="143"/>
    <w:autoRedefine/>
    <w:qFormat/>
    <w:locked/>
    <w:uiPriority w:val="0"/>
    <w:pPr>
      <w:spacing w:before="240" w:after="60"/>
      <w:jc w:val="center"/>
      <w:outlineLvl w:val="0"/>
    </w:pPr>
    <w:rPr>
      <w:rFonts w:ascii="Cambria" w:hAnsi="Cambria"/>
      <w:b/>
      <w:bCs/>
      <w:sz w:val="32"/>
      <w:szCs w:val="32"/>
    </w:rPr>
  </w:style>
  <w:style w:type="paragraph" w:styleId="78">
    <w:name w:val="annotation subject"/>
    <w:basedOn w:val="26"/>
    <w:next w:val="26"/>
    <w:link w:val="144"/>
    <w:autoRedefine/>
    <w:semiHidden/>
    <w:qFormat/>
    <w:uiPriority w:val="0"/>
    <w:rPr>
      <w:b/>
    </w:rPr>
  </w:style>
  <w:style w:type="paragraph" w:styleId="79">
    <w:name w:val="Body Text First Indent"/>
    <w:basedOn w:val="31"/>
    <w:next w:val="1"/>
    <w:link w:val="126"/>
    <w:autoRedefine/>
    <w:qFormat/>
    <w:locked/>
    <w:uiPriority w:val="0"/>
    <w:pPr>
      <w:widowControl w:val="0"/>
      <w:snapToGrid/>
      <w:spacing w:before="0" w:after="120" w:line="240" w:lineRule="auto"/>
      <w:ind w:right="0" w:firstLine="420" w:firstLineChars="100"/>
    </w:pPr>
    <w:rPr>
      <w:kern w:val="2"/>
      <w:sz w:val="21"/>
      <w:szCs w:val="24"/>
    </w:rPr>
  </w:style>
  <w:style w:type="paragraph" w:styleId="80">
    <w:name w:val="Body Text First Indent 2"/>
    <w:basedOn w:val="33"/>
    <w:link w:val="145"/>
    <w:autoRedefine/>
    <w:unhideWhenUsed/>
    <w:qFormat/>
    <w:locked/>
    <w:uiPriority w:val="99"/>
    <w:pPr>
      <w:ind w:firstLine="420" w:firstLineChars="200"/>
    </w:pPr>
    <w:rPr>
      <w:szCs w:val="24"/>
    </w:rPr>
  </w:style>
  <w:style w:type="table" w:styleId="82">
    <w:name w:val="Table Grid"/>
    <w:basedOn w:val="81"/>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3">
    <w:name w:val="Table Theme"/>
    <w:basedOn w:val="81"/>
    <w:autoRedefine/>
    <w:qFormat/>
    <w:locked/>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4">
    <w:name w:val="Table Grid 1"/>
    <w:basedOn w:val="81"/>
    <w:autoRedefine/>
    <w:qFormat/>
    <w:locked/>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85">
    <w:name w:val="Table Grid 5"/>
    <w:basedOn w:val="81"/>
    <w:autoRedefine/>
    <w:qFormat/>
    <w:locked/>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single" w:color="000000"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86">
    <w:name w:val="Table Professional"/>
    <w:basedOn w:val="81"/>
    <w:autoRedefine/>
    <w:qFormat/>
    <w:locked/>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88">
    <w:name w:val="Strong"/>
    <w:autoRedefine/>
    <w:qFormat/>
    <w:locked/>
    <w:uiPriority w:val="0"/>
    <w:rPr>
      <w:b/>
      <w:bCs/>
    </w:rPr>
  </w:style>
  <w:style w:type="character" w:styleId="89">
    <w:name w:val="endnote reference"/>
    <w:autoRedefine/>
    <w:qFormat/>
    <w:locked/>
    <w:uiPriority w:val="0"/>
    <w:rPr>
      <w:rFonts w:ascii="宋体" w:hAnsi="宋体" w:eastAsia="宋体" w:cs="宋体"/>
      <w:kern w:val="2"/>
      <w:sz w:val="21"/>
      <w:szCs w:val="24"/>
      <w:vertAlign w:val="superscript"/>
      <w:lang w:val="en-US" w:eastAsia="zh-CN" w:bidi="ar-SA"/>
    </w:rPr>
  </w:style>
  <w:style w:type="character" w:styleId="90">
    <w:name w:val="page number"/>
    <w:autoRedefine/>
    <w:qFormat/>
    <w:locked/>
    <w:uiPriority w:val="0"/>
  </w:style>
  <w:style w:type="character" w:styleId="91">
    <w:name w:val="FollowedHyperlink"/>
    <w:autoRedefine/>
    <w:unhideWhenUsed/>
    <w:qFormat/>
    <w:locked/>
    <w:uiPriority w:val="99"/>
    <w:rPr>
      <w:color w:val="954F72"/>
      <w:u w:val="single"/>
    </w:rPr>
  </w:style>
  <w:style w:type="character" w:styleId="92">
    <w:name w:val="Emphasis"/>
    <w:autoRedefine/>
    <w:qFormat/>
    <w:locked/>
    <w:uiPriority w:val="0"/>
    <w:rPr>
      <w:rFonts w:ascii="宋体" w:hAnsi="宋体" w:eastAsia="宋体" w:cs="宋体"/>
      <w:color w:val="CC0000"/>
      <w:kern w:val="2"/>
      <w:sz w:val="24"/>
      <w:szCs w:val="24"/>
      <w:lang w:val="en-US" w:eastAsia="zh-CN" w:bidi="ar-SA"/>
    </w:rPr>
  </w:style>
  <w:style w:type="character" w:styleId="93">
    <w:name w:val="Hyperlink"/>
    <w:autoRedefine/>
    <w:qFormat/>
    <w:locked/>
    <w:uiPriority w:val="99"/>
    <w:rPr>
      <w:color w:val="0000FF"/>
      <w:u w:val="single"/>
    </w:rPr>
  </w:style>
  <w:style w:type="character" w:styleId="94">
    <w:name w:val="HTML Code"/>
    <w:autoRedefine/>
    <w:qFormat/>
    <w:locked/>
    <w:uiPriority w:val="0"/>
    <w:rPr>
      <w:rFonts w:ascii="黑体" w:hAnsi="Courier New" w:eastAsia="黑体" w:cs="Courier New"/>
      <w:sz w:val="24"/>
      <w:szCs w:val="24"/>
    </w:rPr>
  </w:style>
  <w:style w:type="character" w:styleId="95">
    <w:name w:val="annotation reference"/>
    <w:autoRedefine/>
    <w:semiHidden/>
    <w:qFormat/>
    <w:uiPriority w:val="0"/>
    <w:rPr>
      <w:sz w:val="21"/>
    </w:rPr>
  </w:style>
  <w:style w:type="character" w:styleId="96">
    <w:name w:val="footnote reference"/>
    <w:autoRedefine/>
    <w:qFormat/>
    <w:locked/>
    <w:uiPriority w:val="0"/>
    <w:rPr>
      <w:rFonts w:ascii="宋体" w:hAnsi="宋体" w:eastAsia="宋体" w:cs="宋体"/>
      <w:kern w:val="2"/>
      <w:sz w:val="24"/>
      <w:szCs w:val="24"/>
      <w:vertAlign w:val="superscript"/>
      <w:lang w:val="en-US" w:eastAsia="zh-CN" w:bidi="ar-SA"/>
    </w:rPr>
  </w:style>
  <w:style w:type="paragraph" w:customStyle="1" w:styleId="97">
    <w:name w:val="样式 正文文本缩进 + 行距: 1.5 倍行距"/>
    <w:basedOn w:val="98"/>
    <w:next w:val="1"/>
    <w:autoRedefine/>
    <w:qFormat/>
    <w:uiPriority w:val="0"/>
    <w:pPr>
      <w:ind w:left="90" w:leftChars="32" w:firstLine="560"/>
    </w:pPr>
    <w:rPr>
      <w:rFonts w:cs="宋体"/>
    </w:rPr>
  </w:style>
  <w:style w:type="paragraph" w:customStyle="1" w:styleId="98">
    <w:name w:val="正文文本缩进1"/>
    <w:basedOn w:val="99"/>
    <w:next w:val="97"/>
    <w:autoRedefine/>
    <w:qFormat/>
    <w:uiPriority w:val="0"/>
    <w:pPr>
      <w:spacing w:after="120" w:line="360" w:lineRule="auto"/>
      <w:ind w:left="420" w:leftChars="200" w:firstLine="200" w:firstLineChars="200"/>
    </w:pPr>
    <w:rPr>
      <w:sz w:val="24"/>
    </w:rPr>
  </w:style>
  <w:style w:type="paragraph" w:customStyle="1" w:styleId="99">
    <w:name w:val="Normal New New New New New New New New New New New New New New New New New New New New New New New New New New New New New New New New New New New New New New New New New New New New New New New New New New New New New New New New New New New New New 53"/>
    <w:qFormat/>
    <w:uiPriority w:val="0"/>
    <w:pPr>
      <w:widowControl w:val="0"/>
      <w:jc w:val="both"/>
    </w:pPr>
    <w:rPr>
      <w:rFonts w:hint="eastAsia" w:ascii="Calibri" w:hAnsi="Calibri" w:eastAsia="宋体" w:cs="Times New Roman"/>
      <w:kern w:val="2"/>
      <w:sz w:val="21"/>
      <w:lang w:val="en-US" w:eastAsia="zh-CN" w:bidi="ar-SA"/>
    </w:rPr>
  </w:style>
  <w:style w:type="paragraph" w:customStyle="1" w:styleId="100">
    <w:name w:val="样式5"/>
    <w:basedOn w:val="101"/>
    <w:next w:val="1"/>
    <w:link w:val="265"/>
    <w:autoRedefine/>
    <w:qFormat/>
    <w:uiPriority w:val="0"/>
    <w:pPr>
      <w:widowControl w:val="0"/>
      <w:snapToGrid/>
      <w:spacing w:before="0" w:after="0" w:line="240" w:lineRule="auto"/>
      <w:ind w:right="-105" w:rightChars="-50"/>
      <w:jc w:val="center"/>
    </w:pPr>
    <w:rPr>
      <w:rFonts w:ascii="宋体"/>
      <w:sz w:val="20"/>
      <w:szCs w:val="21"/>
    </w:rPr>
  </w:style>
  <w:style w:type="paragraph" w:customStyle="1" w:styleId="101">
    <w:name w:val="正文1"/>
    <w:basedOn w:val="31"/>
    <w:next w:val="1"/>
    <w:link w:val="266"/>
    <w:autoRedefine/>
    <w:qFormat/>
    <w:uiPriority w:val="0"/>
    <w:pPr>
      <w:adjustRightInd w:val="0"/>
      <w:spacing w:line="500" w:lineRule="atLeast"/>
      <w:ind w:firstLine="567"/>
    </w:pPr>
    <w:rPr>
      <w:sz w:val="28"/>
    </w:rPr>
  </w:style>
  <w:style w:type="paragraph" w:customStyle="1" w:styleId="102">
    <w:name w:val="Body Text Indent"/>
    <w:basedOn w:val="1"/>
    <w:next w:val="97"/>
    <w:autoRedefine/>
    <w:qFormat/>
    <w:uiPriority w:val="0"/>
    <w:pPr>
      <w:spacing w:after="120" w:afterLines="0"/>
      <w:ind w:left="420" w:leftChars="200"/>
    </w:pPr>
    <w:rPr>
      <w:rFonts w:ascii="Times New Roman" w:hAnsi="Times New Roman" w:eastAsia="宋体"/>
      <w:sz w:val="24"/>
    </w:rPr>
  </w:style>
  <w:style w:type="paragraph" w:customStyle="1" w:styleId="103">
    <w:name w:val="一般内容"/>
    <w:basedOn w:val="1"/>
    <w:autoRedefine/>
    <w:qFormat/>
    <w:uiPriority w:val="0"/>
    <w:pPr>
      <w:spacing w:line="360" w:lineRule="auto"/>
      <w:ind w:firstLine="200" w:firstLineChars="200"/>
    </w:pPr>
    <w:rPr>
      <w:rFonts w:ascii="Arial" w:hAnsi="Arial"/>
      <w:bCs/>
      <w:sz w:val="24"/>
    </w:rPr>
  </w:style>
  <w:style w:type="character" w:customStyle="1" w:styleId="104">
    <w:name w:val="纯文本 字符"/>
    <w:link w:val="43"/>
    <w:autoRedefine/>
    <w:qFormat/>
    <w:uiPriority w:val="0"/>
    <w:rPr>
      <w:rFonts w:ascii="宋体" w:hAnsi="Courier New" w:cs="Courier New"/>
      <w:kern w:val="2"/>
      <w:sz w:val="21"/>
      <w:szCs w:val="21"/>
    </w:rPr>
  </w:style>
  <w:style w:type="character" w:customStyle="1" w:styleId="105">
    <w:name w:val="宏文本 字符"/>
    <w:link w:val="2"/>
    <w:autoRedefine/>
    <w:qFormat/>
    <w:uiPriority w:val="0"/>
    <w:rPr>
      <w:rFonts w:ascii="宋体" w:hAnsi="宋体"/>
      <w:kern w:val="2"/>
      <w:sz w:val="24"/>
      <w:szCs w:val="24"/>
    </w:rPr>
  </w:style>
  <w:style w:type="character" w:customStyle="1" w:styleId="106">
    <w:name w:val="标题 1 字符"/>
    <w:link w:val="3"/>
    <w:autoRedefine/>
    <w:qFormat/>
    <w:uiPriority w:val="9"/>
    <w:rPr>
      <w:rFonts w:eastAsia="黑体"/>
      <w:b/>
      <w:bCs/>
      <w:color w:val="000000"/>
      <w:kern w:val="44"/>
      <w:sz w:val="30"/>
      <w:szCs w:val="30"/>
    </w:rPr>
  </w:style>
  <w:style w:type="character" w:customStyle="1" w:styleId="107">
    <w:name w:val="标题 2 字符"/>
    <w:link w:val="4"/>
    <w:autoRedefine/>
    <w:qFormat/>
    <w:uiPriority w:val="9"/>
    <w:rPr>
      <w:rFonts w:ascii="Arial" w:hAnsi="Arial" w:eastAsia="黑体"/>
      <w:b/>
      <w:bCs/>
      <w:kern w:val="2"/>
      <w:sz w:val="32"/>
      <w:szCs w:val="32"/>
    </w:rPr>
  </w:style>
  <w:style w:type="character" w:customStyle="1" w:styleId="108">
    <w:name w:val="标题 3 字符"/>
    <w:link w:val="5"/>
    <w:autoRedefine/>
    <w:qFormat/>
    <w:uiPriority w:val="9"/>
    <w:rPr>
      <w:b/>
      <w:bCs/>
      <w:kern w:val="2"/>
      <w:sz w:val="32"/>
      <w:szCs w:val="32"/>
    </w:rPr>
  </w:style>
  <w:style w:type="character" w:customStyle="1" w:styleId="109">
    <w:name w:val="标题 4 字符"/>
    <w:link w:val="6"/>
    <w:autoRedefine/>
    <w:qFormat/>
    <w:uiPriority w:val="0"/>
    <w:rPr>
      <w:rFonts w:ascii="Cambria" w:hAnsi="Cambria"/>
      <w:b/>
      <w:bCs/>
      <w:kern w:val="2"/>
      <w:sz w:val="28"/>
      <w:szCs w:val="28"/>
    </w:rPr>
  </w:style>
  <w:style w:type="character" w:customStyle="1" w:styleId="110">
    <w:name w:val="标题 5 字符"/>
    <w:link w:val="7"/>
    <w:autoRedefine/>
    <w:qFormat/>
    <w:uiPriority w:val="0"/>
    <w:rPr>
      <w:b/>
      <w:kern w:val="2"/>
      <w:sz w:val="28"/>
    </w:rPr>
  </w:style>
  <w:style w:type="character" w:customStyle="1" w:styleId="111">
    <w:name w:val="正文缩进 字符"/>
    <w:link w:val="8"/>
    <w:autoRedefine/>
    <w:qFormat/>
    <w:uiPriority w:val="99"/>
    <w:rPr>
      <w:kern w:val="2"/>
      <w:sz w:val="21"/>
      <w:szCs w:val="24"/>
    </w:rPr>
  </w:style>
  <w:style w:type="character" w:customStyle="1" w:styleId="112">
    <w:name w:val="标题 6 字符"/>
    <w:link w:val="9"/>
    <w:autoRedefine/>
    <w:qFormat/>
    <w:uiPriority w:val="0"/>
    <w:rPr>
      <w:rFonts w:ascii="Arial" w:hAnsi="Arial"/>
      <w:b/>
      <w:bCs/>
      <w:kern w:val="2"/>
      <w:sz w:val="24"/>
      <w:szCs w:val="24"/>
    </w:rPr>
  </w:style>
  <w:style w:type="character" w:customStyle="1" w:styleId="113">
    <w:name w:val="标题 7 字符"/>
    <w:link w:val="10"/>
    <w:autoRedefine/>
    <w:qFormat/>
    <w:uiPriority w:val="0"/>
    <w:rPr>
      <w:b/>
      <w:bCs/>
      <w:kern w:val="2"/>
      <w:sz w:val="24"/>
      <w:szCs w:val="24"/>
    </w:rPr>
  </w:style>
  <w:style w:type="character" w:customStyle="1" w:styleId="114">
    <w:name w:val="标题 8 字符"/>
    <w:link w:val="11"/>
    <w:autoRedefine/>
    <w:qFormat/>
    <w:uiPriority w:val="0"/>
    <w:rPr>
      <w:rFonts w:ascii="Arial" w:hAnsi="Arial"/>
      <w:sz w:val="24"/>
    </w:rPr>
  </w:style>
  <w:style w:type="character" w:customStyle="1" w:styleId="115">
    <w:name w:val="标题 9 字符"/>
    <w:link w:val="12"/>
    <w:autoRedefine/>
    <w:qFormat/>
    <w:uiPriority w:val="0"/>
    <w:rPr>
      <w:rFonts w:ascii="Arial" w:hAnsi="Arial"/>
      <w:sz w:val="24"/>
    </w:rPr>
  </w:style>
  <w:style w:type="character" w:customStyle="1" w:styleId="116">
    <w:name w:val="注释标题 字符"/>
    <w:link w:val="17"/>
    <w:autoRedefine/>
    <w:qFormat/>
    <w:uiPriority w:val="0"/>
    <w:rPr>
      <w:rFonts w:ascii="Arial" w:hAnsi="Arial"/>
      <w:bCs/>
      <w:kern w:val="2"/>
      <w:sz w:val="28"/>
      <w:szCs w:val="28"/>
    </w:rPr>
  </w:style>
  <w:style w:type="character" w:customStyle="1" w:styleId="117">
    <w:name w:val="电子邮件签名 字符"/>
    <w:link w:val="19"/>
    <w:autoRedefine/>
    <w:qFormat/>
    <w:uiPriority w:val="0"/>
    <w:rPr>
      <w:rFonts w:ascii="Arial" w:hAnsi="Arial" w:eastAsia="仿宋_GB2312"/>
      <w:kern w:val="2"/>
      <w:sz w:val="24"/>
      <w:szCs w:val="22"/>
    </w:rPr>
  </w:style>
  <w:style w:type="character" w:customStyle="1" w:styleId="118">
    <w:name w:val="题注 字符"/>
    <w:link w:val="21"/>
    <w:autoRedefine/>
    <w:qFormat/>
    <w:uiPriority w:val="35"/>
    <w:rPr>
      <w:rFonts w:ascii="Arial" w:hAnsi="Arial" w:eastAsia="黑体" w:cs="Arial"/>
      <w:kern w:val="2"/>
    </w:rPr>
  </w:style>
  <w:style w:type="character" w:customStyle="1" w:styleId="119">
    <w:name w:val="文档结构图 字符"/>
    <w:link w:val="24"/>
    <w:autoRedefine/>
    <w:qFormat/>
    <w:uiPriority w:val="99"/>
    <w:rPr>
      <w:kern w:val="2"/>
      <w:sz w:val="21"/>
      <w:szCs w:val="24"/>
      <w:shd w:val="clear" w:color="auto" w:fill="000080"/>
    </w:rPr>
  </w:style>
  <w:style w:type="character" w:customStyle="1" w:styleId="120">
    <w:name w:val="批注文字 字符"/>
    <w:link w:val="26"/>
    <w:autoRedefine/>
    <w:qFormat/>
    <w:locked/>
    <w:uiPriority w:val="0"/>
    <w:rPr>
      <w:rFonts w:ascii="Times New Roman" w:hAnsi="Times New Roman" w:eastAsia="宋体"/>
      <w:sz w:val="24"/>
    </w:rPr>
  </w:style>
  <w:style w:type="character" w:customStyle="1" w:styleId="121">
    <w:name w:val="称呼 字符"/>
    <w:link w:val="27"/>
    <w:autoRedefine/>
    <w:qFormat/>
    <w:uiPriority w:val="0"/>
    <w:rPr>
      <w:kern w:val="2"/>
      <w:sz w:val="21"/>
      <w:szCs w:val="24"/>
    </w:rPr>
  </w:style>
  <w:style w:type="character" w:customStyle="1" w:styleId="122">
    <w:name w:val="正文文本 3 字符"/>
    <w:link w:val="28"/>
    <w:autoRedefine/>
    <w:qFormat/>
    <w:uiPriority w:val="0"/>
    <w:rPr>
      <w:rFonts w:ascii="宋体" w:hAnsi="宋体"/>
      <w:kern w:val="2"/>
      <w:sz w:val="24"/>
      <w:szCs w:val="24"/>
    </w:rPr>
  </w:style>
  <w:style w:type="character" w:customStyle="1" w:styleId="123">
    <w:name w:val="结束语 字符"/>
    <w:link w:val="29"/>
    <w:autoRedefine/>
    <w:qFormat/>
    <w:uiPriority w:val="0"/>
    <w:rPr>
      <w:rFonts w:ascii="Arial" w:hAnsi="Arial" w:eastAsia="仿宋_GB2312"/>
      <w:kern w:val="2"/>
      <w:sz w:val="24"/>
      <w:szCs w:val="22"/>
    </w:rPr>
  </w:style>
  <w:style w:type="character" w:customStyle="1" w:styleId="124">
    <w:name w:val="正文文本 字符"/>
    <w:link w:val="31"/>
    <w:autoRedefine/>
    <w:qFormat/>
    <w:locked/>
    <w:uiPriority w:val="0"/>
    <w:rPr>
      <w:sz w:val="18"/>
    </w:rPr>
  </w:style>
  <w:style w:type="character" w:customStyle="1" w:styleId="125">
    <w:name w:val="正文文本缩进 字符"/>
    <w:link w:val="33"/>
    <w:autoRedefine/>
    <w:qFormat/>
    <w:locked/>
    <w:uiPriority w:val="99"/>
    <w:rPr>
      <w:rFonts w:ascii="Times New Roman" w:hAnsi="Times New Roman" w:eastAsia="宋体"/>
      <w:sz w:val="24"/>
    </w:rPr>
  </w:style>
  <w:style w:type="character" w:customStyle="1" w:styleId="126">
    <w:name w:val="正文文本首行缩进 字符"/>
    <w:link w:val="79"/>
    <w:autoRedefine/>
    <w:qFormat/>
    <w:uiPriority w:val="0"/>
    <w:rPr>
      <w:kern w:val="2"/>
      <w:sz w:val="21"/>
      <w:szCs w:val="24"/>
    </w:rPr>
  </w:style>
  <w:style w:type="character" w:customStyle="1" w:styleId="127">
    <w:name w:val="HTML 地址 字符"/>
    <w:link w:val="39"/>
    <w:autoRedefine/>
    <w:qFormat/>
    <w:uiPriority w:val="0"/>
    <w:rPr>
      <w:rFonts w:ascii="Arial" w:hAnsi="Arial" w:eastAsia="仿宋_GB2312"/>
      <w:i/>
      <w:iCs/>
      <w:kern w:val="2"/>
      <w:sz w:val="24"/>
      <w:szCs w:val="22"/>
    </w:rPr>
  </w:style>
  <w:style w:type="character" w:customStyle="1" w:styleId="128">
    <w:name w:val="日期 字符1"/>
    <w:link w:val="46"/>
    <w:autoRedefine/>
    <w:qFormat/>
    <w:locked/>
    <w:uiPriority w:val="0"/>
    <w:rPr>
      <w:rFonts w:ascii="Times New Roman" w:hAnsi="Times New Roman" w:eastAsia="宋体"/>
      <w:sz w:val="24"/>
    </w:rPr>
  </w:style>
  <w:style w:type="character" w:customStyle="1" w:styleId="129">
    <w:name w:val="正文文本缩进 2 字符"/>
    <w:link w:val="47"/>
    <w:autoRedefine/>
    <w:qFormat/>
    <w:uiPriority w:val="0"/>
    <w:rPr>
      <w:kern w:val="24"/>
      <w:sz w:val="28"/>
    </w:rPr>
  </w:style>
  <w:style w:type="character" w:customStyle="1" w:styleId="130">
    <w:name w:val="尾注文本 字符"/>
    <w:link w:val="48"/>
    <w:autoRedefine/>
    <w:qFormat/>
    <w:uiPriority w:val="0"/>
    <w:rPr>
      <w:kern w:val="2"/>
      <w:sz w:val="21"/>
      <w:szCs w:val="24"/>
    </w:rPr>
  </w:style>
  <w:style w:type="character" w:customStyle="1" w:styleId="131">
    <w:name w:val="批注框文本 字符"/>
    <w:link w:val="50"/>
    <w:autoRedefine/>
    <w:semiHidden/>
    <w:qFormat/>
    <w:locked/>
    <w:uiPriority w:val="0"/>
    <w:rPr>
      <w:rFonts w:ascii="Times New Roman" w:hAnsi="Times New Roman" w:eastAsia="宋体"/>
      <w:sz w:val="18"/>
    </w:rPr>
  </w:style>
  <w:style w:type="character" w:customStyle="1" w:styleId="132">
    <w:name w:val="页脚 字符1"/>
    <w:link w:val="51"/>
    <w:autoRedefine/>
    <w:qFormat/>
    <w:locked/>
    <w:uiPriority w:val="99"/>
    <w:rPr>
      <w:sz w:val="18"/>
    </w:rPr>
  </w:style>
  <w:style w:type="character" w:customStyle="1" w:styleId="133">
    <w:name w:val="页眉 字符"/>
    <w:link w:val="53"/>
    <w:autoRedefine/>
    <w:qFormat/>
    <w:locked/>
    <w:uiPriority w:val="99"/>
    <w:rPr>
      <w:sz w:val="18"/>
    </w:rPr>
  </w:style>
  <w:style w:type="character" w:customStyle="1" w:styleId="134">
    <w:name w:val="签名 字符"/>
    <w:link w:val="54"/>
    <w:autoRedefine/>
    <w:qFormat/>
    <w:uiPriority w:val="0"/>
    <w:rPr>
      <w:rFonts w:ascii="Arial" w:hAnsi="Arial" w:eastAsia="仿宋_GB2312"/>
      <w:kern w:val="2"/>
      <w:sz w:val="24"/>
      <w:szCs w:val="22"/>
    </w:rPr>
  </w:style>
  <w:style w:type="character" w:customStyle="1" w:styleId="135">
    <w:name w:val="TOC 1 字符"/>
    <w:link w:val="55"/>
    <w:autoRedefine/>
    <w:qFormat/>
    <w:uiPriority w:val="39"/>
    <w:rPr>
      <w:b/>
      <w:bCs/>
      <w:caps/>
      <w:kern w:val="2"/>
    </w:rPr>
  </w:style>
  <w:style w:type="character" w:customStyle="1" w:styleId="136">
    <w:name w:val="副标题 字符"/>
    <w:link w:val="60"/>
    <w:autoRedefine/>
    <w:qFormat/>
    <w:uiPriority w:val="0"/>
    <w:rPr>
      <w:rFonts w:ascii="Arial" w:hAnsi="Arial" w:eastAsia="仿宋_GB2312"/>
      <w:b/>
      <w:bCs/>
      <w:kern w:val="28"/>
      <w:sz w:val="32"/>
      <w:szCs w:val="32"/>
    </w:rPr>
  </w:style>
  <w:style w:type="character" w:customStyle="1" w:styleId="137">
    <w:name w:val="脚注文本 字符"/>
    <w:link w:val="63"/>
    <w:autoRedefine/>
    <w:qFormat/>
    <w:uiPriority w:val="0"/>
    <w:rPr>
      <w:rFonts w:ascii="宋体"/>
      <w:kern w:val="2"/>
      <w:sz w:val="18"/>
      <w:szCs w:val="18"/>
    </w:rPr>
  </w:style>
  <w:style w:type="character" w:customStyle="1" w:styleId="138">
    <w:name w:val="正文文本缩进 3 字符"/>
    <w:link w:val="66"/>
    <w:autoRedefine/>
    <w:qFormat/>
    <w:uiPriority w:val="0"/>
    <w:rPr>
      <w:kern w:val="2"/>
      <w:sz w:val="16"/>
      <w:szCs w:val="16"/>
    </w:rPr>
  </w:style>
  <w:style w:type="character" w:customStyle="1" w:styleId="139">
    <w:name w:val="正文文本 2 字符"/>
    <w:link w:val="70"/>
    <w:autoRedefine/>
    <w:qFormat/>
    <w:uiPriority w:val="0"/>
    <w:rPr>
      <w:rFonts w:eastAsia="仿宋_GB2312"/>
      <w:kern w:val="2"/>
      <w:sz w:val="32"/>
      <w:szCs w:val="24"/>
    </w:rPr>
  </w:style>
  <w:style w:type="character" w:customStyle="1" w:styleId="140">
    <w:name w:val="信息标题 字符"/>
    <w:link w:val="73"/>
    <w:autoRedefine/>
    <w:qFormat/>
    <w:uiPriority w:val="0"/>
    <w:rPr>
      <w:rFonts w:ascii="宋体" w:hAnsi="宋体" w:cs="宋体"/>
      <w:kern w:val="2"/>
      <w:sz w:val="24"/>
      <w:szCs w:val="21"/>
      <w:shd w:val="pct20" w:color="auto" w:fill="auto"/>
    </w:rPr>
  </w:style>
  <w:style w:type="character" w:customStyle="1" w:styleId="141">
    <w:name w:val="HTML 预设格式 字符"/>
    <w:link w:val="74"/>
    <w:autoRedefine/>
    <w:qFormat/>
    <w:uiPriority w:val="0"/>
    <w:rPr>
      <w:rFonts w:ascii="Courier New" w:hAnsi="Courier New" w:cs="Courier New"/>
      <w:kern w:val="2"/>
    </w:rPr>
  </w:style>
  <w:style w:type="character" w:customStyle="1" w:styleId="142">
    <w:name w:val="普通(网站) 字符"/>
    <w:link w:val="75"/>
    <w:autoRedefine/>
    <w:qFormat/>
    <w:locked/>
    <w:uiPriority w:val="0"/>
    <w:rPr>
      <w:rFonts w:ascii="宋体" w:hAnsi="宋体" w:eastAsia="宋体"/>
      <w:sz w:val="24"/>
    </w:rPr>
  </w:style>
  <w:style w:type="character" w:customStyle="1" w:styleId="143">
    <w:name w:val="标题 字符"/>
    <w:link w:val="77"/>
    <w:autoRedefine/>
    <w:qFormat/>
    <w:uiPriority w:val="0"/>
    <w:rPr>
      <w:rFonts w:ascii="Cambria" w:hAnsi="Cambria"/>
      <w:b/>
      <w:bCs/>
      <w:kern w:val="2"/>
      <w:sz w:val="32"/>
      <w:szCs w:val="32"/>
    </w:rPr>
  </w:style>
  <w:style w:type="character" w:customStyle="1" w:styleId="144">
    <w:name w:val="批注主题 字符"/>
    <w:link w:val="78"/>
    <w:autoRedefine/>
    <w:semiHidden/>
    <w:qFormat/>
    <w:locked/>
    <w:uiPriority w:val="0"/>
    <w:rPr>
      <w:rFonts w:ascii="Times New Roman" w:hAnsi="Times New Roman" w:eastAsia="宋体"/>
      <w:b/>
      <w:kern w:val="2"/>
      <w:sz w:val="24"/>
    </w:rPr>
  </w:style>
  <w:style w:type="character" w:customStyle="1" w:styleId="145">
    <w:name w:val="正文文本首行缩进 2 字符"/>
    <w:link w:val="80"/>
    <w:autoRedefine/>
    <w:qFormat/>
    <w:uiPriority w:val="99"/>
    <w:rPr>
      <w:rFonts w:ascii="Times New Roman" w:hAnsi="Times New Roman" w:eastAsia="宋体"/>
      <w:kern w:val="2"/>
      <w:sz w:val="21"/>
      <w:szCs w:val="24"/>
    </w:rPr>
  </w:style>
  <w:style w:type="character" w:customStyle="1" w:styleId="146">
    <w:name w:val="内容"/>
    <w:autoRedefine/>
    <w:qFormat/>
    <w:uiPriority w:val="0"/>
  </w:style>
  <w:style w:type="character" w:customStyle="1" w:styleId="147">
    <w:name w:val="页脚 字符"/>
    <w:autoRedefine/>
    <w:qFormat/>
    <w:uiPriority w:val="99"/>
  </w:style>
  <w:style w:type="character" w:customStyle="1" w:styleId="148">
    <w:name w:val="样式2 Char"/>
    <w:link w:val="149"/>
    <w:autoRedefine/>
    <w:qFormat/>
    <w:uiPriority w:val="0"/>
    <w:rPr>
      <w:rFonts w:ascii="宋体"/>
      <w:b/>
      <w:kern w:val="2"/>
      <w:sz w:val="24"/>
      <w:szCs w:val="28"/>
    </w:rPr>
  </w:style>
  <w:style w:type="paragraph" w:customStyle="1" w:styleId="149">
    <w:name w:val="样式2"/>
    <w:basedOn w:val="1"/>
    <w:link w:val="148"/>
    <w:autoRedefine/>
    <w:qFormat/>
    <w:uiPriority w:val="0"/>
    <w:pPr>
      <w:widowControl/>
      <w:spacing w:line="360" w:lineRule="auto"/>
      <w:jc w:val="center"/>
    </w:pPr>
    <w:rPr>
      <w:rFonts w:ascii="宋体"/>
      <w:b/>
      <w:sz w:val="24"/>
      <w:szCs w:val="28"/>
    </w:rPr>
  </w:style>
  <w:style w:type="character" w:customStyle="1" w:styleId="150">
    <w:name w:val="标题 3 Char Char"/>
    <w:autoRedefine/>
    <w:qFormat/>
    <w:uiPriority w:val="0"/>
    <w:rPr>
      <w:rFonts w:ascii="宋体" w:hAnsi="宋体" w:eastAsia="宋体" w:cs="宋体"/>
      <w:b/>
      <w:bCs/>
      <w:color w:val="000000"/>
      <w:kern w:val="2"/>
      <w:sz w:val="32"/>
      <w:szCs w:val="24"/>
      <w:lang w:val="zh-CN" w:eastAsia="zh-CN" w:bidi="ar-SA"/>
    </w:rPr>
  </w:style>
  <w:style w:type="character" w:customStyle="1" w:styleId="151">
    <w:name w:val="参加人员 Char Char"/>
    <w:link w:val="152"/>
    <w:autoRedefine/>
    <w:qFormat/>
    <w:uiPriority w:val="0"/>
    <w:rPr>
      <w:sz w:val="24"/>
    </w:rPr>
  </w:style>
  <w:style w:type="paragraph" w:customStyle="1" w:styleId="152">
    <w:name w:val="参加人员"/>
    <w:basedOn w:val="1"/>
    <w:link w:val="151"/>
    <w:autoRedefine/>
    <w:qFormat/>
    <w:uiPriority w:val="0"/>
    <w:pPr>
      <w:spacing w:line="360" w:lineRule="auto"/>
    </w:pPr>
    <w:rPr>
      <w:kern w:val="0"/>
      <w:sz w:val="24"/>
      <w:szCs w:val="20"/>
    </w:rPr>
  </w:style>
  <w:style w:type="character" w:customStyle="1" w:styleId="153">
    <w:name w:val="正文王 Char Char"/>
    <w:link w:val="154"/>
    <w:autoRedefine/>
    <w:semiHidden/>
    <w:qFormat/>
    <w:uiPriority w:val="0"/>
    <w:rPr>
      <w:snapToGrid/>
      <w:color w:val="000000"/>
      <w:sz w:val="21"/>
      <w:szCs w:val="21"/>
    </w:rPr>
  </w:style>
  <w:style w:type="paragraph" w:customStyle="1" w:styleId="154">
    <w:name w:val="正文王"/>
    <w:basedOn w:val="1"/>
    <w:link w:val="153"/>
    <w:autoRedefine/>
    <w:semiHidden/>
    <w:qFormat/>
    <w:uiPriority w:val="0"/>
    <w:pPr>
      <w:adjustRightInd w:val="0"/>
      <w:snapToGrid w:val="0"/>
      <w:spacing w:line="320" w:lineRule="exact"/>
      <w:jc w:val="center"/>
    </w:pPr>
    <w:rPr>
      <w:snapToGrid w:val="0"/>
      <w:color w:val="000000"/>
      <w:kern w:val="0"/>
    </w:rPr>
  </w:style>
  <w:style w:type="character" w:customStyle="1" w:styleId="155">
    <w:name w:val="style11"/>
    <w:autoRedefine/>
    <w:qFormat/>
    <w:uiPriority w:val="0"/>
    <w:rPr>
      <w:rFonts w:ascii="宋体" w:hAnsi="宋体" w:eastAsia="宋体" w:cs="宋体"/>
      <w:color w:val="000000"/>
      <w:kern w:val="2"/>
      <w:sz w:val="24"/>
      <w:szCs w:val="24"/>
      <w:lang w:val="en-US" w:eastAsia="zh-CN" w:bidi="ar-SA"/>
    </w:rPr>
  </w:style>
  <w:style w:type="character" w:customStyle="1" w:styleId="156">
    <w:name w:val="title6"/>
    <w:autoRedefine/>
    <w:qFormat/>
    <w:uiPriority w:val="0"/>
    <w:rPr>
      <w:rFonts w:ascii="宋体" w:hAnsi="宋体" w:eastAsia="宋体" w:cs="宋体"/>
      <w:kern w:val="2"/>
      <w:sz w:val="24"/>
      <w:szCs w:val="24"/>
      <w:lang w:val="en-US" w:eastAsia="zh-CN" w:bidi="ar-SA"/>
    </w:rPr>
  </w:style>
  <w:style w:type="character" w:customStyle="1" w:styleId="157">
    <w:name w:val="f12h201"/>
    <w:autoRedefine/>
    <w:qFormat/>
    <w:uiPriority w:val="0"/>
    <w:rPr>
      <w:rFonts w:ascii="宋体" w:hAnsi="宋体" w:eastAsia="宋体" w:cs="宋体"/>
      <w:kern w:val="2"/>
      <w:sz w:val="18"/>
      <w:szCs w:val="18"/>
      <w:lang w:val="en-US" w:eastAsia="zh-CN" w:bidi="ar-SA"/>
    </w:rPr>
  </w:style>
  <w:style w:type="character" w:customStyle="1" w:styleId="158">
    <w:name w:val="apple-converted-space"/>
    <w:autoRedefine/>
    <w:qFormat/>
    <w:uiPriority w:val="0"/>
  </w:style>
  <w:style w:type="character" w:customStyle="1" w:styleId="159">
    <w:name w:val="表头 Char Char"/>
    <w:link w:val="160"/>
    <w:autoRedefine/>
    <w:qFormat/>
    <w:uiPriority w:val="0"/>
    <w:rPr>
      <w:rFonts w:eastAsia="黑体"/>
      <w:spacing w:val="-10"/>
      <w:sz w:val="21"/>
    </w:rPr>
  </w:style>
  <w:style w:type="paragraph" w:customStyle="1" w:styleId="160">
    <w:name w:val="表头"/>
    <w:basedOn w:val="1"/>
    <w:link w:val="159"/>
    <w:autoRedefine/>
    <w:qFormat/>
    <w:uiPriority w:val="0"/>
    <w:pPr>
      <w:adjustRightInd w:val="0"/>
      <w:snapToGrid w:val="0"/>
      <w:spacing w:line="320" w:lineRule="atLeast"/>
      <w:jc w:val="center"/>
      <w:textAlignment w:val="baseline"/>
    </w:pPr>
    <w:rPr>
      <w:rFonts w:eastAsia="黑体"/>
      <w:spacing w:val="-10"/>
      <w:kern w:val="0"/>
      <w:szCs w:val="20"/>
    </w:rPr>
  </w:style>
  <w:style w:type="character" w:customStyle="1" w:styleId="161">
    <w:name w:val="btd1"/>
    <w:autoRedefine/>
    <w:qFormat/>
    <w:uiPriority w:val="0"/>
    <w:rPr>
      <w:rFonts w:ascii="宋体" w:hAnsi="宋体" w:eastAsia="宋体" w:cs="宋体"/>
      <w:b/>
      <w:bCs/>
      <w:kern w:val="2"/>
      <w:sz w:val="24"/>
      <w:szCs w:val="24"/>
      <w:lang w:val="en-US" w:eastAsia="zh-CN" w:bidi="ar-SA"/>
    </w:rPr>
  </w:style>
  <w:style w:type="character" w:customStyle="1" w:styleId="162">
    <w:name w:val="表格格式 Char"/>
    <w:link w:val="163"/>
    <w:autoRedefine/>
    <w:qFormat/>
    <w:uiPriority w:val="0"/>
    <w:rPr>
      <w:rFonts w:ascii="宋体" w:hAnsi="宋体" w:cs="宋体"/>
      <w:color w:val="000000"/>
      <w:szCs w:val="21"/>
    </w:rPr>
  </w:style>
  <w:style w:type="paragraph" w:customStyle="1" w:styleId="163">
    <w:name w:val="表格格式"/>
    <w:basedOn w:val="1"/>
    <w:link w:val="162"/>
    <w:autoRedefine/>
    <w:qFormat/>
    <w:uiPriority w:val="0"/>
    <w:pPr>
      <w:snapToGrid w:val="0"/>
      <w:jc w:val="center"/>
    </w:pPr>
    <w:rPr>
      <w:rFonts w:ascii="宋体" w:hAnsi="宋体" w:cs="宋体"/>
      <w:color w:val="000000"/>
      <w:kern w:val="0"/>
      <w:sz w:val="20"/>
    </w:rPr>
  </w:style>
  <w:style w:type="character" w:customStyle="1" w:styleId="164">
    <w:name w:val="样式68 Char Char"/>
    <w:link w:val="165"/>
    <w:autoRedefine/>
    <w:qFormat/>
    <w:uiPriority w:val="0"/>
    <w:rPr>
      <w:rFonts w:ascii="宋体" w:hAnsi="宋体"/>
      <w:color w:val="000000"/>
      <w:spacing w:val="-2"/>
      <w:sz w:val="28"/>
    </w:rPr>
  </w:style>
  <w:style w:type="paragraph" w:customStyle="1" w:styleId="165">
    <w:name w:val="样式68"/>
    <w:basedOn w:val="1"/>
    <w:link w:val="164"/>
    <w:autoRedefine/>
    <w:qFormat/>
    <w:uiPriority w:val="0"/>
    <w:pPr>
      <w:ind w:firstLine="552" w:firstLineChars="200"/>
    </w:pPr>
    <w:rPr>
      <w:rFonts w:ascii="宋体" w:hAnsi="宋体"/>
      <w:color w:val="000000"/>
      <w:spacing w:val="-2"/>
      <w:kern w:val="0"/>
      <w:sz w:val="28"/>
      <w:szCs w:val="20"/>
    </w:rPr>
  </w:style>
  <w:style w:type="character" w:customStyle="1" w:styleId="166">
    <w:name w:val="正文3 Char1"/>
    <w:link w:val="167"/>
    <w:autoRedefine/>
    <w:qFormat/>
    <w:uiPriority w:val="0"/>
    <w:rPr>
      <w:sz w:val="30"/>
      <w:szCs w:val="24"/>
    </w:rPr>
  </w:style>
  <w:style w:type="paragraph" w:customStyle="1" w:styleId="167">
    <w:name w:val="正文3"/>
    <w:basedOn w:val="1"/>
    <w:link w:val="166"/>
    <w:autoRedefine/>
    <w:qFormat/>
    <w:uiPriority w:val="0"/>
    <w:pPr>
      <w:adjustRightInd w:val="0"/>
      <w:spacing w:line="360" w:lineRule="auto"/>
      <w:ind w:firstLine="624"/>
      <w:textAlignment w:val="baseline"/>
    </w:pPr>
    <w:rPr>
      <w:kern w:val="0"/>
      <w:sz w:val="30"/>
    </w:rPr>
  </w:style>
  <w:style w:type="character" w:customStyle="1" w:styleId="168">
    <w:name w:val="样式 样式 正文 行距: 固定值 25 磅 + 首行缩进:  2 字符1 Char"/>
    <w:link w:val="169"/>
    <w:autoRedefine/>
    <w:qFormat/>
    <w:uiPriority w:val="0"/>
    <w:rPr>
      <w:rFonts w:cs="宋体"/>
      <w:kern w:val="2"/>
      <w:sz w:val="24"/>
      <w:szCs w:val="24"/>
    </w:rPr>
  </w:style>
  <w:style w:type="paragraph" w:customStyle="1" w:styleId="169">
    <w:name w:val="样式 样式 正文 行距: 固定值 25 磅 + 首行缩进:  2 字符1"/>
    <w:basedOn w:val="170"/>
    <w:link w:val="168"/>
    <w:autoRedefine/>
    <w:qFormat/>
    <w:uiPriority w:val="0"/>
    <w:pPr>
      <w:ind w:firstLine="480"/>
    </w:pPr>
  </w:style>
  <w:style w:type="paragraph" w:customStyle="1" w:styleId="170">
    <w:name w:val="样式 正文 行距: 固定值 25 磅"/>
    <w:basedOn w:val="1"/>
    <w:link w:val="171"/>
    <w:autoRedefine/>
    <w:semiHidden/>
    <w:qFormat/>
    <w:uiPriority w:val="0"/>
    <w:pPr>
      <w:adjustRightInd w:val="0"/>
      <w:spacing w:line="500" w:lineRule="exact"/>
      <w:ind w:firstLine="200" w:firstLineChars="200"/>
    </w:pPr>
    <w:rPr>
      <w:rFonts w:cs="宋体"/>
      <w:sz w:val="24"/>
    </w:rPr>
  </w:style>
  <w:style w:type="character" w:customStyle="1" w:styleId="171">
    <w:name w:val="样式 正文 行距: 固定值 25 磅 Char"/>
    <w:link w:val="170"/>
    <w:autoRedefine/>
    <w:semiHidden/>
    <w:qFormat/>
    <w:uiPriority w:val="0"/>
    <w:rPr>
      <w:rFonts w:cs="宋体"/>
      <w:kern w:val="2"/>
      <w:sz w:val="24"/>
      <w:szCs w:val="24"/>
    </w:rPr>
  </w:style>
  <w:style w:type="character" w:customStyle="1" w:styleId="172">
    <w:name w:val="表头 Char Char Char"/>
    <w:autoRedefine/>
    <w:qFormat/>
    <w:uiPriority w:val="0"/>
    <w:rPr>
      <w:rFonts w:ascii="宋体" w:hAnsi="宋体" w:eastAsia="宋体"/>
      <w:b/>
      <w:spacing w:val="-10"/>
      <w:sz w:val="24"/>
      <w:lang w:val="en-US" w:eastAsia="zh-CN" w:bidi="ar-SA"/>
    </w:rPr>
  </w:style>
  <w:style w:type="character" w:customStyle="1" w:styleId="173">
    <w:name w:val="Char Char13"/>
    <w:autoRedefine/>
    <w:qFormat/>
    <w:uiPriority w:val="0"/>
    <w:rPr>
      <w:rFonts w:eastAsia="宋体"/>
      <w:kern w:val="2"/>
      <w:sz w:val="18"/>
      <w:szCs w:val="18"/>
      <w:lang w:val="en-US" w:eastAsia="zh-CN" w:bidi="ar-SA"/>
    </w:rPr>
  </w:style>
  <w:style w:type="character" w:customStyle="1" w:styleId="174">
    <w:name w:val="表格标题博泵 Char Char"/>
    <w:link w:val="175"/>
    <w:autoRedefine/>
    <w:qFormat/>
    <w:uiPriority w:val="0"/>
    <w:rPr>
      <w:b/>
      <w:color w:val="000000"/>
    </w:rPr>
  </w:style>
  <w:style w:type="paragraph" w:customStyle="1" w:styleId="175">
    <w:name w:val="表格标题博泵"/>
    <w:basedOn w:val="1"/>
    <w:link w:val="174"/>
    <w:autoRedefine/>
    <w:qFormat/>
    <w:uiPriority w:val="0"/>
    <w:pPr>
      <w:adjustRightInd w:val="0"/>
      <w:snapToGrid w:val="0"/>
      <w:jc w:val="center"/>
      <w:textAlignment w:val="baseline"/>
    </w:pPr>
    <w:rPr>
      <w:b/>
      <w:color w:val="000000"/>
      <w:kern w:val="0"/>
      <w:sz w:val="20"/>
      <w:szCs w:val="20"/>
    </w:rPr>
  </w:style>
  <w:style w:type="character" w:customStyle="1" w:styleId="176">
    <w:name w:val="al11"/>
    <w:autoRedefine/>
    <w:qFormat/>
    <w:uiPriority w:val="0"/>
    <w:rPr>
      <w:color w:val="333333"/>
      <w:sz w:val="18"/>
      <w:szCs w:val="18"/>
    </w:rPr>
  </w:style>
  <w:style w:type="character" w:customStyle="1" w:styleId="177">
    <w:name w:val="表格内文字 Char"/>
    <w:link w:val="178"/>
    <w:autoRedefine/>
    <w:qFormat/>
    <w:uiPriority w:val="0"/>
    <w:rPr>
      <w:rFonts w:eastAsia="仿宋_GB2312"/>
      <w:kern w:val="2"/>
      <w:sz w:val="24"/>
      <w:szCs w:val="24"/>
    </w:rPr>
  </w:style>
  <w:style w:type="paragraph" w:customStyle="1" w:styleId="178">
    <w:name w:val="表格内文字"/>
    <w:basedOn w:val="1"/>
    <w:link w:val="177"/>
    <w:autoRedefine/>
    <w:qFormat/>
    <w:uiPriority w:val="0"/>
    <w:pPr>
      <w:tabs>
        <w:tab w:val="left" w:pos="0"/>
      </w:tabs>
      <w:adjustRightInd w:val="0"/>
      <w:snapToGrid w:val="0"/>
      <w:jc w:val="center"/>
    </w:pPr>
    <w:rPr>
      <w:rFonts w:eastAsia="仿宋_GB2312"/>
      <w:sz w:val="24"/>
    </w:rPr>
  </w:style>
  <w:style w:type="character" w:customStyle="1" w:styleId="179">
    <w:name w:val="Char Char9"/>
    <w:autoRedefine/>
    <w:qFormat/>
    <w:uiPriority w:val="0"/>
    <w:rPr>
      <w:rFonts w:ascii="Cambria" w:hAnsi="Cambria" w:eastAsia="宋体" w:cs="宋体"/>
      <w:b/>
      <w:bCs/>
      <w:iCs/>
      <w:kern w:val="2"/>
      <w:sz w:val="30"/>
      <w:szCs w:val="28"/>
      <w:lang w:val="en-US" w:eastAsia="en-US" w:bidi="en-US"/>
    </w:rPr>
  </w:style>
  <w:style w:type="character" w:customStyle="1" w:styleId="180">
    <w:name w:val="px141"/>
    <w:autoRedefine/>
    <w:qFormat/>
    <w:uiPriority w:val="0"/>
    <w:rPr>
      <w:sz w:val="21"/>
    </w:rPr>
  </w:style>
  <w:style w:type="character" w:customStyle="1" w:styleId="181">
    <w:name w:val="hz"/>
    <w:autoRedefine/>
    <w:qFormat/>
    <w:uiPriority w:val="0"/>
  </w:style>
  <w:style w:type="character" w:customStyle="1" w:styleId="182">
    <w:name w:val="scs62"/>
    <w:autoRedefine/>
    <w:qFormat/>
    <w:uiPriority w:val="0"/>
  </w:style>
  <w:style w:type="character" w:customStyle="1" w:styleId="183">
    <w:name w:val="样式75 Char Char"/>
    <w:link w:val="184"/>
    <w:autoRedefine/>
    <w:qFormat/>
    <w:uiPriority w:val="0"/>
    <w:rPr>
      <w:rFonts w:ascii="黑体" w:hAnsi="宋体" w:eastAsia="黑体"/>
      <w:color w:val="000000"/>
      <w:sz w:val="28"/>
      <w:szCs w:val="28"/>
    </w:rPr>
  </w:style>
  <w:style w:type="paragraph" w:customStyle="1" w:styleId="184">
    <w:name w:val="样式75"/>
    <w:basedOn w:val="1"/>
    <w:link w:val="183"/>
    <w:autoRedefine/>
    <w:qFormat/>
    <w:uiPriority w:val="0"/>
    <w:pPr>
      <w:spacing w:beforeLines="150" w:line="360" w:lineRule="auto"/>
    </w:pPr>
    <w:rPr>
      <w:rFonts w:ascii="黑体" w:hAnsi="宋体" w:eastAsia="黑体"/>
      <w:color w:val="000000"/>
      <w:kern w:val="0"/>
      <w:sz w:val="28"/>
      <w:szCs w:val="28"/>
    </w:rPr>
  </w:style>
  <w:style w:type="character" w:customStyle="1" w:styleId="185">
    <w:name w:val="标题1.1.1.1.1 Char1"/>
    <w:autoRedefine/>
    <w:qFormat/>
    <w:uiPriority w:val="0"/>
    <w:rPr>
      <w:rFonts w:eastAsia="宋体"/>
      <w:b/>
      <w:bCs/>
      <w:sz w:val="28"/>
      <w:szCs w:val="28"/>
      <w:lang w:bidi="ar-SA"/>
    </w:rPr>
  </w:style>
  <w:style w:type="character" w:customStyle="1" w:styleId="186">
    <w:name w:val="图名 Char"/>
    <w:link w:val="187"/>
    <w:autoRedefine/>
    <w:qFormat/>
    <w:uiPriority w:val="0"/>
    <w:rPr>
      <w:rFonts w:ascii="宋体" w:eastAsia="黑体"/>
      <w:sz w:val="24"/>
      <w:szCs w:val="24"/>
      <w:lang w:eastAsia="en-US" w:bidi="en-US"/>
    </w:rPr>
  </w:style>
  <w:style w:type="paragraph" w:customStyle="1" w:styleId="187">
    <w:name w:val="图名"/>
    <w:basedOn w:val="1"/>
    <w:link w:val="186"/>
    <w:autoRedefine/>
    <w:qFormat/>
    <w:uiPriority w:val="0"/>
    <w:pPr>
      <w:widowControl/>
      <w:adjustRightInd w:val="0"/>
      <w:snapToGrid w:val="0"/>
      <w:spacing w:line="360" w:lineRule="auto"/>
      <w:jc w:val="center"/>
      <w:textAlignment w:val="baseline"/>
    </w:pPr>
    <w:rPr>
      <w:rFonts w:ascii="宋体" w:eastAsia="黑体"/>
      <w:kern w:val="0"/>
      <w:sz w:val="24"/>
      <w:lang w:eastAsia="en-US" w:bidi="en-US"/>
    </w:rPr>
  </w:style>
  <w:style w:type="character" w:customStyle="1" w:styleId="188">
    <w:name w:val="word131"/>
    <w:autoRedefine/>
    <w:qFormat/>
    <w:uiPriority w:val="0"/>
    <w:rPr>
      <w:rFonts w:hint="default" w:ascii="ˎ̥" w:hAnsi="ˎ̥"/>
      <w:color w:val="000000"/>
      <w:sz w:val="20"/>
      <w:szCs w:val="20"/>
      <w:u w:val="none"/>
    </w:rPr>
  </w:style>
  <w:style w:type="character" w:customStyle="1" w:styleId="189">
    <w:name w:val="样式4 Char Char"/>
    <w:link w:val="190"/>
    <w:autoRedefine/>
    <w:qFormat/>
    <w:uiPriority w:val="0"/>
    <w:rPr>
      <w:rFonts w:eastAsia="黑体" w:cs="宋体"/>
      <w:b/>
      <w:bCs/>
      <w:kern w:val="2"/>
      <w:sz w:val="28"/>
    </w:rPr>
  </w:style>
  <w:style w:type="paragraph" w:customStyle="1" w:styleId="190">
    <w:name w:val="样式4"/>
    <w:basedOn w:val="191"/>
    <w:link w:val="189"/>
    <w:autoRedefine/>
    <w:qFormat/>
    <w:uiPriority w:val="0"/>
  </w:style>
  <w:style w:type="paragraph" w:customStyle="1" w:styleId="191">
    <w:name w:val="样式 标题 2H2节标题 1.1节标题 1.1 Char1.1标题2条标题h2l22nd levelTitre..."/>
    <w:basedOn w:val="4"/>
    <w:autoRedefine/>
    <w:qFormat/>
    <w:uiPriority w:val="0"/>
    <w:pPr>
      <w:snapToGrid w:val="0"/>
      <w:spacing w:before="120" w:beforeLines="100" w:after="0" w:line="240" w:lineRule="auto"/>
      <w:ind w:left="1134" w:hanging="992"/>
    </w:pPr>
    <w:rPr>
      <w:rFonts w:ascii="Times New Roman" w:hAnsi="Times New Roman" w:cs="宋体"/>
      <w:sz w:val="28"/>
      <w:szCs w:val="20"/>
    </w:rPr>
  </w:style>
  <w:style w:type="character" w:customStyle="1" w:styleId="192">
    <w:name w:val="main-11"/>
    <w:autoRedefine/>
    <w:qFormat/>
    <w:uiPriority w:val="0"/>
  </w:style>
  <w:style w:type="character" w:customStyle="1" w:styleId="193">
    <w:name w:val="description"/>
    <w:autoRedefine/>
    <w:qFormat/>
    <w:uiPriority w:val="0"/>
  </w:style>
  <w:style w:type="character" w:customStyle="1" w:styleId="194">
    <w:name w:val="zw1"/>
    <w:autoRedefine/>
    <w:qFormat/>
    <w:uiPriority w:val="0"/>
    <w:rPr>
      <w:rFonts w:hint="eastAsia" w:ascii="宋体" w:hAnsi="宋体" w:eastAsia="宋体"/>
      <w:sz w:val="22"/>
      <w:szCs w:val="22"/>
    </w:rPr>
  </w:style>
  <w:style w:type="character" w:customStyle="1" w:styleId="195">
    <w:name w:val="正文5号 Char2"/>
    <w:autoRedefine/>
    <w:qFormat/>
    <w:uiPriority w:val="0"/>
    <w:rPr>
      <w:rFonts w:ascii="宋体" w:hAnsi="宋体" w:eastAsia="宋体" w:cs="宋体"/>
      <w:kern w:val="2"/>
      <w:sz w:val="24"/>
      <w:szCs w:val="24"/>
      <w:lang w:val="en-US" w:eastAsia="zh-CN" w:bidi="ar-SA"/>
    </w:rPr>
  </w:style>
  <w:style w:type="character" w:customStyle="1" w:styleId="196">
    <w:name w:val="表内容1 Char"/>
    <w:link w:val="197"/>
    <w:autoRedefine/>
    <w:qFormat/>
    <w:uiPriority w:val="0"/>
    <w:rPr>
      <w:rFonts w:ascii="楷体_GB2312" w:hAnsi="楷体_GB2312" w:eastAsia="仿宋_GB2312"/>
      <w:bCs/>
      <w:szCs w:val="24"/>
    </w:rPr>
  </w:style>
  <w:style w:type="paragraph" w:customStyle="1" w:styleId="197">
    <w:name w:val="表内容1"/>
    <w:basedOn w:val="1"/>
    <w:link w:val="196"/>
    <w:autoRedefine/>
    <w:qFormat/>
    <w:uiPriority w:val="0"/>
    <w:pPr>
      <w:snapToGrid w:val="0"/>
      <w:jc w:val="center"/>
    </w:pPr>
    <w:rPr>
      <w:rFonts w:ascii="楷体_GB2312" w:hAnsi="楷体_GB2312" w:eastAsia="仿宋_GB2312"/>
      <w:bCs/>
      <w:kern w:val="0"/>
      <w:sz w:val="20"/>
    </w:rPr>
  </w:style>
  <w:style w:type="character" w:customStyle="1" w:styleId="198">
    <w:name w:val="Char Char31"/>
    <w:autoRedefine/>
    <w:qFormat/>
    <w:uiPriority w:val="0"/>
    <w:rPr>
      <w:sz w:val="24"/>
      <w:lang w:bidi="ar-SA"/>
    </w:rPr>
  </w:style>
  <w:style w:type="character" w:customStyle="1" w:styleId="199">
    <w:name w:val="表格 Char"/>
    <w:link w:val="200"/>
    <w:autoRedefine/>
    <w:qFormat/>
    <w:locked/>
    <w:uiPriority w:val="0"/>
    <w:rPr>
      <w:rFonts w:ascii="宋体"/>
      <w:sz w:val="21"/>
    </w:rPr>
  </w:style>
  <w:style w:type="paragraph" w:customStyle="1" w:styleId="200">
    <w:name w:val="表格"/>
    <w:basedOn w:val="201"/>
    <w:next w:val="1"/>
    <w:link w:val="199"/>
    <w:autoRedefine/>
    <w:qFormat/>
    <w:uiPriority w:val="0"/>
    <w:pPr>
      <w:adjustRightInd w:val="0"/>
      <w:snapToGrid w:val="0"/>
      <w:spacing w:beforeLines="10" w:afterLines="10" w:line="259" w:lineRule="auto"/>
    </w:pPr>
    <w:rPr>
      <w:rFonts w:ascii="宋体"/>
      <w:kern w:val="0"/>
      <w:szCs w:val="20"/>
    </w:rPr>
  </w:style>
  <w:style w:type="paragraph" w:customStyle="1" w:styleId="201">
    <w:name w:val="表格使用文字"/>
    <w:basedOn w:val="1"/>
    <w:link w:val="202"/>
    <w:autoRedefine/>
    <w:qFormat/>
    <w:uiPriority w:val="99"/>
    <w:pPr>
      <w:jc w:val="center"/>
    </w:pPr>
    <w:rPr>
      <w:color w:val="000000"/>
    </w:rPr>
  </w:style>
  <w:style w:type="character" w:customStyle="1" w:styleId="202">
    <w:name w:val="表格使用文字 Char"/>
    <w:link w:val="201"/>
    <w:autoRedefine/>
    <w:qFormat/>
    <w:uiPriority w:val="99"/>
    <w:rPr>
      <w:color w:val="000000"/>
      <w:kern w:val="2"/>
      <w:sz w:val="21"/>
      <w:szCs w:val="21"/>
    </w:rPr>
  </w:style>
  <w:style w:type="character" w:customStyle="1" w:styleId="203">
    <w:name w:val="Char Char8"/>
    <w:autoRedefine/>
    <w:semiHidden/>
    <w:qFormat/>
    <w:uiPriority w:val="0"/>
    <w:rPr>
      <w:rFonts w:ascii="宋体" w:hAnsi="宋体" w:eastAsia="宋体" w:cs="宋体"/>
      <w:kern w:val="2"/>
      <w:sz w:val="18"/>
      <w:szCs w:val="18"/>
      <w:lang w:val="en-US" w:eastAsia="zh-CN" w:bidi="ar-SA"/>
    </w:rPr>
  </w:style>
  <w:style w:type="character" w:customStyle="1" w:styleId="204">
    <w:name w:val="haogao1"/>
    <w:autoRedefine/>
    <w:qFormat/>
    <w:uiPriority w:val="0"/>
  </w:style>
  <w:style w:type="character" w:customStyle="1" w:styleId="205">
    <w:name w:val="Plain Text Char1 Char"/>
    <w:autoRedefine/>
    <w:qFormat/>
    <w:uiPriority w:val="0"/>
    <w:rPr>
      <w:rFonts w:ascii="宋体" w:hAnsi="Courier New"/>
      <w:kern w:val="2"/>
      <w:sz w:val="21"/>
      <w:szCs w:val="21"/>
      <w:lang w:bidi="ar-SA"/>
    </w:rPr>
  </w:style>
  <w:style w:type="character" w:customStyle="1" w:styleId="206">
    <w:name w:val="sppkvsc"/>
    <w:autoRedefine/>
    <w:qFormat/>
    <w:uiPriority w:val="0"/>
  </w:style>
  <w:style w:type="character" w:customStyle="1" w:styleId="207">
    <w:name w:val="样式20 Char Char"/>
    <w:link w:val="208"/>
    <w:autoRedefine/>
    <w:qFormat/>
    <w:uiPriority w:val="0"/>
    <w:rPr>
      <w:rFonts w:ascii="楷体_GB2312" w:hAnsi="楷体_GB2312" w:eastAsia="楷体_GB2312"/>
      <w:b/>
      <w:color w:val="000000"/>
      <w:sz w:val="32"/>
    </w:rPr>
  </w:style>
  <w:style w:type="paragraph" w:customStyle="1" w:styleId="208">
    <w:name w:val="样式20"/>
    <w:basedOn w:val="4"/>
    <w:link w:val="207"/>
    <w:autoRedefine/>
    <w:qFormat/>
    <w:uiPriority w:val="0"/>
    <w:pPr>
      <w:tabs>
        <w:tab w:val="left" w:pos="840"/>
      </w:tabs>
      <w:snapToGrid w:val="0"/>
      <w:spacing w:before="0" w:after="0" w:line="360" w:lineRule="auto"/>
      <w:ind w:left="840"/>
      <w:jc w:val="center"/>
    </w:pPr>
    <w:rPr>
      <w:rFonts w:ascii="楷体_GB2312" w:hAnsi="楷体_GB2312" w:eastAsia="楷体_GB2312"/>
      <w:bCs w:val="0"/>
      <w:color w:val="000000"/>
      <w:kern w:val="0"/>
      <w:szCs w:val="20"/>
    </w:rPr>
  </w:style>
  <w:style w:type="character" w:customStyle="1" w:styleId="209">
    <w:name w:val="参数解释 Char Char"/>
    <w:link w:val="210"/>
    <w:autoRedefine/>
    <w:qFormat/>
    <w:uiPriority w:val="0"/>
    <w:rPr>
      <w:sz w:val="24"/>
    </w:rPr>
  </w:style>
  <w:style w:type="paragraph" w:customStyle="1" w:styleId="210">
    <w:name w:val="参数解释"/>
    <w:basedOn w:val="211"/>
    <w:link w:val="209"/>
    <w:autoRedefine/>
    <w:qFormat/>
    <w:uiPriority w:val="0"/>
    <w:pPr>
      <w:ind w:firstLine="1274" w:firstLineChars="531"/>
    </w:pPr>
    <w:rPr>
      <w:rFonts w:ascii="Times New Roman" w:hAnsi="Times New Roman"/>
      <w:kern w:val="0"/>
      <w:szCs w:val="20"/>
    </w:rPr>
  </w:style>
  <w:style w:type="paragraph" w:customStyle="1" w:styleId="211">
    <w:name w:val="金源"/>
    <w:basedOn w:val="1"/>
    <w:link w:val="212"/>
    <w:autoRedefine/>
    <w:qFormat/>
    <w:uiPriority w:val="0"/>
    <w:pPr>
      <w:spacing w:line="480" w:lineRule="exact"/>
      <w:ind w:firstLine="480" w:firstLineChars="200"/>
      <w:jc w:val="left"/>
    </w:pPr>
    <w:rPr>
      <w:rFonts w:ascii="Calibri" w:hAnsi="Calibri"/>
      <w:sz w:val="24"/>
      <w:szCs w:val="22"/>
    </w:rPr>
  </w:style>
  <w:style w:type="character" w:customStyle="1" w:styleId="212">
    <w:name w:val="金源 Char Char"/>
    <w:link w:val="211"/>
    <w:autoRedefine/>
    <w:qFormat/>
    <w:uiPriority w:val="0"/>
    <w:rPr>
      <w:rFonts w:ascii="Calibri" w:hAnsi="Calibri"/>
      <w:kern w:val="2"/>
      <w:sz w:val="24"/>
      <w:szCs w:val="22"/>
    </w:rPr>
  </w:style>
  <w:style w:type="character" w:customStyle="1" w:styleId="213">
    <w:name w:val="节标题 1.1 Char4"/>
    <w:autoRedefine/>
    <w:qFormat/>
    <w:uiPriority w:val="0"/>
    <w:rPr>
      <w:b/>
      <w:bCs/>
      <w:sz w:val="28"/>
      <w:szCs w:val="32"/>
    </w:rPr>
  </w:style>
  <w:style w:type="character" w:customStyle="1" w:styleId="214">
    <w:name w:val="articlebody3"/>
    <w:autoRedefine/>
    <w:qFormat/>
    <w:uiPriority w:val="0"/>
    <w:rPr>
      <w:rFonts w:ascii="宋体" w:hAnsi="宋体" w:eastAsia="宋体" w:cs="宋体"/>
      <w:kern w:val="2"/>
      <w:sz w:val="21"/>
      <w:szCs w:val="21"/>
      <w:lang w:val="en-US" w:eastAsia="zh-CN" w:bidi="ar-SA"/>
    </w:rPr>
  </w:style>
  <w:style w:type="character" w:customStyle="1" w:styleId="215">
    <w:name w:val="样式 样式 正文 行距: 固定值 25 磅 + 首行缩进:  2 字符 Char"/>
    <w:link w:val="216"/>
    <w:autoRedefine/>
    <w:qFormat/>
    <w:uiPriority w:val="0"/>
    <w:rPr>
      <w:rFonts w:cs="宋体"/>
      <w:kern w:val="2"/>
      <w:sz w:val="24"/>
      <w:szCs w:val="24"/>
    </w:rPr>
  </w:style>
  <w:style w:type="paragraph" w:customStyle="1" w:styleId="216">
    <w:name w:val="样式 样式 正文 行距: 固定值 25 磅 + 首行缩进:  2 字符"/>
    <w:basedOn w:val="1"/>
    <w:link w:val="215"/>
    <w:autoRedefine/>
    <w:qFormat/>
    <w:uiPriority w:val="0"/>
    <w:pPr>
      <w:adjustRightInd w:val="0"/>
      <w:snapToGrid w:val="0"/>
      <w:spacing w:line="500" w:lineRule="exact"/>
      <w:ind w:firstLine="200" w:firstLineChars="200"/>
    </w:pPr>
    <w:rPr>
      <w:rFonts w:cs="宋体"/>
      <w:sz w:val="24"/>
    </w:rPr>
  </w:style>
  <w:style w:type="character" w:customStyle="1" w:styleId="217">
    <w:name w:val="ssqiaz"/>
    <w:autoRedefine/>
    <w:qFormat/>
    <w:uiPriority w:val="0"/>
  </w:style>
  <w:style w:type="character" w:customStyle="1" w:styleId="218">
    <w:name w:val="表格标题 Char"/>
    <w:link w:val="219"/>
    <w:autoRedefine/>
    <w:qFormat/>
    <w:uiPriority w:val="0"/>
    <w:rPr>
      <w:b/>
      <w:color w:val="000000"/>
      <w:kern w:val="2"/>
      <w:sz w:val="21"/>
      <w:szCs w:val="21"/>
    </w:rPr>
  </w:style>
  <w:style w:type="paragraph" w:customStyle="1" w:styleId="219">
    <w:name w:val="表格标题"/>
    <w:basedOn w:val="1"/>
    <w:link w:val="218"/>
    <w:autoRedefine/>
    <w:qFormat/>
    <w:uiPriority w:val="0"/>
    <w:pPr>
      <w:snapToGrid w:val="0"/>
      <w:spacing w:before="120"/>
      <w:ind w:firstLine="1756" w:firstLineChars="833"/>
      <w:contextualSpacing/>
      <w:jc w:val="center"/>
    </w:pPr>
    <w:rPr>
      <w:b/>
      <w:color w:val="000000"/>
    </w:rPr>
  </w:style>
  <w:style w:type="character" w:customStyle="1" w:styleId="220">
    <w:name w:val="页眉1 Char"/>
    <w:autoRedefine/>
    <w:qFormat/>
    <w:uiPriority w:val="0"/>
    <w:rPr>
      <w:rFonts w:ascii="宋体" w:hAnsi="宋体" w:eastAsia="宋体" w:cs="宋体"/>
      <w:kern w:val="2"/>
      <w:sz w:val="18"/>
      <w:szCs w:val="18"/>
      <w:lang w:val="en-US" w:eastAsia="zh-CN" w:bidi="ar-SA"/>
    </w:rPr>
  </w:style>
  <w:style w:type="character" w:customStyle="1" w:styleId="221">
    <w:name w:val="c121"/>
    <w:autoRedefine/>
    <w:qFormat/>
    <w:uiPriority w:val="0"/>
    <w:rPr>
      <w:color w:val="666666"/>
      <w:sz w:val="18"/>
      <w:szCs w:val="18"/>
      <w:u w:val="none"/>
    </w:rPr>
  </w:style>
  <w:style w:type="character" w:customStyle="1" w:styleId="222">
    <w:name w:val="甲乙酮标题1 Char Char"/>
    <w:link w:val="223"/>
    <w:autoRedefine/>
    <w:qFormat/>
    <w:uiPriority w:val="0"/>
    <w:rPr>
      <w:b/>
      <w:bCs/>
      <w:kern w:val="44"/>
      <w:sz w:val="32"/>
      <w:szCs w:val="32"/>
    </w:rPr>
  </w:style>
  <w:style w:type="paragraph" w:customStyle="1" w:styleId="223">
    <w:name w:val="甲乙酮标题1"/>
    <w:basedOn w:val="3"/>
    <w:link w:val="222"/>
    <w:autoRedefine/>
    <w:qFormat/>
    <w:uiPriority w:val="0"/>
    <w:pPr>
      <w:keepLines/>
      <w:tabs>
        <w:tab w:val="left" w:pos="390"/>
      </w:tabs>
      <w:overflowPunct/>
      <w:snapToGrid/>
      <w:spacing w:after="140" w:line="480" w:lineRule="exact"/>
      <w:ind w:left="390" w:firstLine="0"/>
    </w:pPr>
    <w:rPr>
      <w:rFonts w:eastAsia="宋体"/>
      <w:color w:val="auto"/>
      <w:sz w:val="32"/>
      <w:szCs w:val="32"/>
    </w:rPr>
  </w:style>
  <w:style w:type="character" w:customStyle="1" w:styleId="224">
    <w:name w:val="contenttable1"/>
    <w:autoRedefine/>
    <w:qFormat/>
    <w:uiPriority w:val="0"/>
    <w:rPr>
      <w:rFonts w:hint="default" w:ascii="Arial" w:hAnsi="Arial" w:eastAsia="宋体" w:cs="Arial"/>
      <w:color w:val="000000"/>
      <w:kern w:val="2"/>
      <w:sz w:val="18"/>
      <w:szCs w:val="18"/>
      <w:u w:val="none"/>
      <w:lang w:val="en-US" w:eastAsia="zh-CN" w:bidi="ar-SA"/>
    </w:rPr>
  </w:style>
  <w:style w:type="character" w:customStyle="1" w:styleId="225">
    <w:name w:val="未确定 Char Char"/>
    <w:link w:val="226"/>
    <w:autoRedefine/>
    <w:qFormat/>
    <w:uiPriority w:val="0"/>
    <w:rPr>
      <w:color w:val="800080"/>
      <w:sz w:val="24"/>
      <w:szCs w:val="24"/>
    </w:rPr>
  </w:style>
  <w:style w:type="paragraph" w:customStyle="1" w:styleId="226">
    <w:name w:val="未确定"/>
    <w:basedOn w:val="1"/>
    <w:link w:val="225"/>
    <w:autoRedefine/>
    <w:qFormat/>
    <w:uiPriority w:val="0"/>
    <w:pPr>
      <w:spacing w:beforeLines="50" w:line="400" w:lineRule="exact"/>
      <w:ind w:firstLine="480" w:firstLineChars="200"/>
    </w:pPr>
    <w:rPr>
      <w:color w:val="800080"/>
      <w:kern w:val="0"/>
      <w:sz w:val="24"/>
    </w:rPr>
  </w:style>
  <w:style w:type="character" w:customStyle="1" w:styleId="227">
    <w:name w:val="16p"/>
    <w:autoRedefine/>
    <w:qFormat/>
    <w:uiPriority w:val="0"/>
  </w:style>
  <w:style w:type="character" w:customStyle="1" w:styleId="228">
    <w:name w:val="纯文本21"/>
    <w:autoRedefine/>
    <w:qFormat/>
    <w:uiPriority w:val="0"/>
    <w:rPr>
      <w:rFonts w:ascii="宋体" w:hAnsi="Courier New" w:eastAsia="宋体" w:cs="Courier New"/>
      <w:kern w:val="2"/>
      <w:sz w:val="21"/>
      <w:szCs w:val="21"/>
      <w:lang w:val="en-US" w:eastAsia="zh-CN" w:bidi="ar-SA"/>
    </w:rPr>
  </w:style>
  <w:style w:type="character" w:customStyle="1" w:styleId="229">
    <w:name w:val="图表名 大王 20100426 Char"/>
    <w:link w:val="230"/>
    <w:autoRedefine/>
    <w:qFormat/>
    <w:uiPriority w:val="0"/>
    <w:rPr>
      <w:rFonts w:ascii="宋体" w:hAnsi="宋体" w:cs="宋体"/>
      <w:b/>
      <w:bCs/>
      <w:snapToGrid/>
      <w:sz w:val="21"/>
    </w:rPr>
  </w:style>
  <w:style w:type="paragraph" w:customStyle="1" w:styleId="230">
    <w:name w:val="图表名 大王 20100426"/>
    <w:basedOn w:val="231"/>
    <w:link w:val="229"/>
    <w:autoRedefine/>
    <w:qFormat/>
    <w:uiPriority w:val="0"/>
    <w:pPr>
      <w:tabs>
        <w:tab w:val="left" w:pos="377"/>
      </w:tabs>
      <w:spacing w:before="120" w:after="120"/>
    </w:pPr>
    <w:rPr>
      <w:snapToGrid w:val="0"/>
    </w:rPr>
  </w:style>
  <w:style w:type="paragraph" w:customStyle="1" w:styleId="231">
    <w:name w:val="图表标题-大王"/>
    <w:basedOn w:val="1"/>
    <w:link w:val="232"/>
    <w:autoRedefine/>
    <w:qFormat/>
    <w:uiPriority w:val="0"/>
    <w:pPr>
      <w:widowControl/>
      <w:tabs>
        <w:tab w:val="left" w:pos="377"/>
      </w:tabs>
      <w:spacing w:beforeLines="50" w:afterLines="50"/>
      <w:jc w:val="center"/>
    </w:pPr>
    <w:rPr>
      <w:rFonts w:ascii="宋体" w:hAnsi="宋体" w:cs="宋体"/>
      <w:b/>
      <w:bCs/>
      <w:kern w:val="0"/>
      <w:szCs w:val="20"/>
    </w:rPr>
  </w:style>
  <w:style w:type="character" w:customStyle="1" w:styleId="232">
    <w:name w:val="图表标题-大王 Char"/>
    <w:link w:val="231"/>
    <w:autoRedefine/>
    <w:qFormat/>
    <w:uiPriority w:val="0"/>
    <w:rPr>
      <w:rFonts w:ascii="宋体" w:hAnsi="宋体" w:cs="宋体"/>
      <w:b/>
      <w:bCs/>
      <w:sz w:val="21"/>
    </w:rPr>
  </w:style>
  <w:style w:type="character" w:customStyle="1" w:styleId="233">
    <w:name w:val="9css21"/>
    <w:autoRedefine/>
    <w:qFormat/>
    <w:uiPriority w:val="0"/>
    <w:rPr>
      <w:spacing w:val="268"/>
      <w:sz w:val="20"/>
      <w:szCs w:val="20"/>
    </w:rPr>
  </w:style>
  <w:style w:type="character" w:customStyle="1" w:styleId="234">
    <w:name w:val="公示 Char Char"/>
    <w:link w:val="235"/>
    <w:autoRedefine/>
    <w:qFormat/>
    <w:uiPriority w:val="0"/>
  </w:style>
  <w:style w:type="paragraph" w:customStyle="1" w:styleId="235">
    <w:name w:val="公示"/>
    <w:basedOn w:val="1"/>
    <w:link w:val="234"/>
    <w:autoRedefine/>
    <w:qFormat/>
    <w:uiPriority w:val="0"/>
    <w:pPr>
      <w:spacing w:line="360" w:lineRule="auto"/>
      <w:ind w:firstLine="200" w:firstLineChars="200"/>
      <w:jc w:val="center"/>
    </w:pPr>
    <w:rPr>
      <w:kern w:val="0"/>
      <w:sz w:val="20"/>
      <w:szCs w:val="20"/>
    </w:rPr>
  </w:style>
  <w:style w:type="character" w:customStyle="1" w:styleId="236">
    <w:name w:val="style51"/>
    <w:autoRedefine/>
    <w:qFormat/>
    <w:uiPriority w:val="0"/>
    <w:rPr>
      <w:color w:val="000000"/>
      <w:sz w:val="36"/>
      <w:szCs w:val="36"/>
    </w:rPr>
  </w:style>
  <w:style w:type="character" w:customStyle="1" w:styleId="237">
    <w:name w:val="表格内文字 Char Char"/>
    <w:autoRedefine/>
    <w:qFormat/>
    <w:uiPriority w:val="0"/>
    <w:rPr>
      <w:rFonts w:eastAsia="仿宋_GB2312"/>
      <w:sz w:val="24"/>
      <w:szCs w:val="24"/>
      <w:lang w:bidi="ar-SA"/>
    </w:rPr>
  </w:style>
  <w:style w:type="character" w:customStyle="1" w:styleId="238">
    <w:name w:val="表头1 Char"/>
    <w:link w:val="239"/>
    <w:autoRedefine/>
    <w:qFormat/>
    <w:uiPriority w:val="0"/>
    <w:rPr>
      <w:rFonts w:eastAsia="黑体"/>
      <w:sz w:val="21"/>
      <w:szCs w:val="21"/>
    </w:rPr>
  </w:style>
  <w:style w:type="paragraph" w:customStyle="1" w:styleId="239">
    <w:name w:val="表头1"/>
    <w:basedOn w:val="1"/>
    <w:next w:val="1"/>
    <w:link w:val="238"/>
    <w:autoRedefine/>
    <w:qFormat/>
    <w:uiPriority w:val="0"/>
    <w:pPr>
      <w:tabs>
        <w:tab w:val="left" w:pos="605"/>
      </w:tabs>
      <w:adjustRightInd w:val="0"/>
      <w:snapToGrid w:val="0"/>
      <w:jc w:val="center"/>
    </w:pPr>
    <w:rPr>
      <w:rFonts w:eastAsia="黑体"/>
      <w:kern w:val="0"/>
    </w:rPr>
  </w:style>
  <w:style w:type="character" w:customStyle="1" w:styleId="240">
    <w:name w:val="type021"/>
    <w:autoRedefine/>
    <w:qFormat/>
    <w:uiPriority w:val="0"/>
    <w:rPr>
      <w:color w:val="000000"/>
      <w:sz w:val="18"/>
      <w:szCs w:val="18"/>
    </w:rPr>
  </w:style>
  <w:style w:type="character" w:customStyle="1" w:styleId="241">
    <w:name w:val="表蕊居中 Char Char"/>
    <w:link w:val="242"/>
    <w:autoRedefine/>
    <w:qFormat/>
    <w:uiPriority w:val="0"/>
    <w:rPr>
      <w:color w:val="FF0000"/>
      <w:spacing w:val="-10"/>
      <w:szCs w:val="21"/>
    </w:rPr>
  </w:style>
  <w:style w:type="paragraph" w:customStyle="1" w:styleId="242">
    <w:name w:val="表蕊居中"/>
    <w:basedOn w:val="1"/>
    <w:link w:val="241"/>
    <w:autoRedefine/>
    <w:qFormat/>
    <w:uiPriority w:val="0"/>
    <w:pPr>
      <w:adjustRightInd w:val="0"/>
      <w:spacing w:line="280" w:lineRule="atLeast"/>
      <w:jc w:val="center"/>
      <w:textAlignment w:val="baseline"/>
    </w:pPr>
    <w:rPr>
      <w:color w:val="FF0000"/>
      <w:spacing w:val="-10"/>
      <w:kern w:val="0"/>
      <w:sz w:val="20"/>
    </w:rPr>
  </w:style>
  <w:style w:type="character" w:customStyle="1" w:styleId="243">
    <w:name w:val="articlebody1"/>
    <w:autoRedefine/>
    <w:qFormat/>
    <w:uiPriority w:val="0"/>
    <w:rPr>
      <w:rFonts w:ascii="宋体" w:hAnsi="宋体" w:eastAsia="宋体" w:cs="宋体"/>
      <w:color w:val="333333"/>
      <w:kern w:val="2"/>
      <w:sz w:val="21"/>
      <w:szCs w:val="21"/>
      <w:lang w:val="en-US" w:eastAsia="zh-CN" w:bidi="ar-SA"/>
    </w:rPr>
  </w:style>
  <w:style w:type="character" w:customStyle="1" w:styleId="244">
    <w:name w:val="标题 3 Char1"/>
    <w:autoRedefine/>
    <w:qFormat/>
    <w:uiPriority w:val="0"/>
    <w:rPr>
      <w:rFonts w:ascii="宋体" w:hAnsi="宋体" w:eastAsia="宋体" w:cs="宋体"/>
      <w:b/>
      <w:bCs/>
      <w:caps/>
      <w:color w:val="000000"/>
      <w:kern w:val="2"/>
      <w:sz w:val="28"/>
      <w:szCs w:val="24"/>
      <w:lang w:val="zh-CN" w:eastAsia="zh-CN" w:bidi="ar-SA"/>
    </w:rPr>
  </w:style>
  <w:style w:type="character" w:customStyle="1" w:styleId="245">
    <w:name w:val="apple-style-span"/>
    <w:autoRedefine/>
    <w:qFormat/>
    <w:uiPriority w:val="0"/>
    <w:rPr>
      <w:rFonts w:ascii="宋体" w:hAnsi="宋体" w:eastAsia="宋体" w:cs="宋体"/>
      <w:kern w:val="2"/>
      <w:sz w:val="24"/>
      <w:szCs w:val="24"/>
      <w:lang w:val="en-US" w:eastAsia="zh-CN" w:bidi="ar-SA"/>
    </w:rPr>
  </w:style>
  <w:style w:type="character" w:customStyle="1" w:styleId="246">
    <w:name w:val="ssmj9"/>
    <w:autoRedefine/>
    <w:qFormat/>
    <w:uiPriority w:val="0"/>
  </w:style>
  <w:style w:type="character" w:customStyle="1" w:styleId="247">
    <w:name w:val="sfrxxz"/>
    <w:autoRedefine/>
    <w:qFormat/>
    <w:uiPriority w:val="0"/>
  </w:style>
  <w:style w:type="character" w:customStyle="1" w:styleId="248">
    <w:name w:val="无间隔 字符"/>
    <w:link w:val="249"/>
    <w:autoRedefine/>
    <w:qFormat/>
    <w:uiPriority w:val="0"/>
    <w:rPr>
      <w:rFonts w:ascii="Calibri" w:hAnsi="Calibri"/>
      <w:sz w:val="24"/>
      <w:szCs w:val="32"/>
      <w:lang w:eastAsia="en-US" w:bidi="en-US"/>
    </w:rPr>
  </w:style>
  <w:style w:type="paragraph" w:styleId="249">
    <w:name w:val="No Spacing"/>
    <w:basedOn w:val="1"/>
    <w:link w:val="248"/>
    <w:autoRedefine/>
    <w:qFormat/>
    <w:uiPriority w:val="0"/>
    <w:pPr>
      <w:widowControl/>
      <w:jc w:val="left"/>
    </w:pPr>
    <w:rPr>
      <w:rFonts w:ascii="Calibri" w:hAnsi="Calibri"/>
      <w:kern w:val="0"/>
      <w:sz w:val="24"/>
      <w:szCs w:val="32"/>
      <w:lang w:eastAsia="en-US" w:bidi="en-US"/>
    </w:rPr>
  </w:style>
  <w:style w:type="character" w:customStyle="1" w:styleId="250">
    <w:name w:val="news_line"/>
    <w:autoRedefine/>
    <w:qFormat/>
    <w:uiPriority w:val="0"/>
    <w:rPr>
      <w:rFonts w:ascii="宋体" w:hAnsi="宋体" w:eastAsia="宋体" w:cs="宋体"/>
      <w:kern w:val="2"/>
      <w:sz w:val="24"/>
      <w:szCs w:val="24"/>
      <w:lang w:val="en-US" w:eastAsia="zh-CN" w:bidi="ar-SA"/>
    </w:rPr>
  </w:style>
  <w:style w:type="character" w:customStyle="1" w:styleId="251">
    <w:name w:val="正文缩进2"/>
    <w:autoRedefine/>
    <w:qFormat/>
    <w:uiPriority w:val="0"/>
    <w:rPr>
      <w:rFonts w:ascii="仿宋_GB2312" w:eastAsia="仿宋_GB2312"/>
      <w:kern w:val="2"/>
      <w:sz w:val="28"/>
      <w:szCs w:val="24"/>
      <w:lang w:val="en-US" w:eastAsia="zh-CN" w:bidi="ar-SA"/>
    </w:rPr>
  </w:style>
  <w:style w:type="character" w:customStyle="1" w:styleId="252">
    <w:name w:val="正文文本 字符1"/>
    <w:autoRedefine/>
    <w:semiHidden/>
    <w:qFormat/>
    <w:uiPriority w:val="0"/>
    <w:rPr>
      <w:rFonts w:ascii="Times New Roman" w:hAnsi="Times New Roman" w:eastAsia="宋体"/>
      <w:sz w:val="24"/>
    </w:rPr>
  </w:style>
  <w:style w:type="character" w:customStyle="1" w:styleId="253">
    <w:name w:val="241"/>
    <w:autoRedefine/>
    <w:qFormat/>
    <w:uiPriority w:val="0"/>
    <w:rPr>
      <w:rFonts w:ascii="宋体" w:hAnsi="宋体" w:eastAsia="宋体" w:cs="宋体"/>
      <w:kern w:val="2"/>
      <w:sz w:val="24"/>
      <w:szCs w:val="24"/>
      <w:lang w:val="en-US" w:eastAsia="zh-CN" w:bidi="ar-SA"/>
    </w:rPr>
  </w:style>
  <w:style w:type="character" w:customStyle="1" w:styleId="254">
    <w:name w:val="样式84 Char Char"/>
    <w:link w:val="255"/>
    <w:autoRedefine/>
    <w:qFormat/>
    <w:uiPriority w:val="0"/>
    <w:rPr>
      <w:rFonts w:ascii="宋体" w:hAnsi="宋体"/>
      <w:color w:val="000000"/>
      <w:sz w:val="24"/>
      <w:szCs w:val="24"/>
    </w:rPr>
  </w:style>
  <w:style w:type="paragraph" w:customStyle="1" w:styleId="255">
    <w:name w:val="样式84"/>
    <w:basedOn w:val="1"/>
    <w:link w:val="254"/>
    <w:autoRedefine/>
    <w:qFormat/>
    <w:uiPriority w:val="0"/>
    <w:pPr>
      <w:snapToGrid w:val="0"/>
      <w:spacing w:line="520" w:lineRule="exact"/>
      <w:ind w:firstLine="560" w:firstLineChars="200"/>
    </w:pPr>
    <w:rPr>
      <w:rFonts w:ascii="宋体" w:hAnsi="宋体"/>
      <w:color w:val="000000"/>
      <w:kern w:val="0"/>
      <w:sz w:val="24"/>
    </w:rPr>
  </w:style>
  <w:style w:type="character" w:customStyle="1" w:styleId="256">
    <w:name w:val="广石化正文 Char"/>
    <w:link w:val="257"/>
    <w:autoRedefine/>
    <w:qFormat/>
    <w:uiPriority w:val="0"/>
    <w:rPr>
      <w:rFonts w:ascii="宋体" w:hAnsi="宋体"/>
      <w:kern w:val="2"/>
      <w:sz w:val="28"/>
      <w:szCs w:val="28"/>
    </w:rPr>
  </w:style>
  <w:style w:type="paragraph" w:customStyle="1" w:styleId="257">
    <w:name w:val="广石化正文"/>
    <w:basedOn w:val="1"/>
    <w:link w:val="256"/>
    <w:autoRedefine/>
    <w:qFormat/>
    <w:uiPriority w:val="0"/>
    <w:pPr>
      <w:tabs>
        <w:tab w:val="left" w:pos="6520"/>
        <w:tab w:val="left" w:leader="dot" w:pos="8220"/>
      </w:tabs>
      <w:spacing w:line="520" w:lineRule="exact"/>
      <w:ind w:firstLine="538" w:firstLineChars="192"/>
    </w:pPr>
    <w:rPr>
      <w:rFonts w:ascii="宋体" w:hAnsi="宋体"/>
      <w:sz w:val="28"/>
      <w:szCs w:val="28"/>
    </w:rPr>
  </w:style>
  <w:style w:type="character" w:customStyle="1" w:styleId="258">
    <w:name w:val="脚注文本 字符1"/>
    <w:autoRedefine/>
    <w:qFormat/>
    <w:uiPriority w:val="0"/>
    <w:rPr>
      <w:kern w:val="2"/>
      <w:sz w:val="18"/>
      <w:szCs w:val="18"/>
    </w:rPr>
  </w:style>
  <w:style w:type="character" w:customStyle="1" w:styleId="259">
    <w:name w:val="批注文字 字符1"/>
    <w:autoRedefine/>
    <w:semiHidden/>
    <w:qFormat/>
    <w:uiPriority w:val="0"/>
    <w:rPr>
      <w:rFonts w:ascii="Times New Roman" w:hAnsi="Times New Roman" w:eastAsia="宋体"/>
      <w:sz w:val="24"/>
    </w:rPr>
  </w:style>
  <w:style w:type="character" w:customStyle="1" w:styleId="260">
    <w:name w:val="文章正文样式 Char"/>
    <w:link w:val="261"/>
    <w:autoRedefine/>
    <w:qFormat/>
    <w:uiPriority w:val="0"/>
    <w:rPr>
      <w:rFonts w:ascii="宋体" w:hAnsi="宋体" w:cs="宋体"/>
      <w:kern w:val="2"/>
      <w:sz w:val="24"/>
    </w:rPr>
  </w:style>
  <w:style w:type="paragraph" w:customStyle="1" w:styleId="261">
    <w:name w:val="文章正文样式"/>
    <w:basedOn w:val="1"/>
    <w:link w:val="260"/>
    <w:autoRedefine/>
    <w:qFormat/>
    <w:uiPriority w:val="0"/>
    <w:pPr>
      <w:spacing w:line="520" w:lineRule="exact"/>
      <w:ind w:firstLine="480" w:firstLineChars="200"/>
      <w:jc w:val="left"/>
    </w:pPr>
    <w:rPr>
      <w:rFonts w:ascii="宋体" w:hAnsi="宋体" w:cs="宋体"/>
      <w:sz w:val="24"/>
      <w:szCs w:val="20"/>
    </w:rPr>
  </w:style>
  <w:style w:type="character" w:customStyle="1" w:styleId="262">
    <w:name w:val="标题2"/>
    <w:autoRedefine/>
    <w:qFormat/>
    <w:uiPriority w:val="0"/>
  </w:style>
  <w:style w:type="character" w:customStyle="1" w:styleId="263">
    <w:name w:val="样式7 Char Char"/>
    <w:link w:val="264"/>
    <w:autoRedefine/>
    <w:qFormat/>
    <w:uiPriority w:val="0"/>
    <w:rPr>
      <w:rFonts w:ascii="宋体" w:hAnsi="宋体"/>
      <w:color w:val="000000"/>
      <w:sz w:val="24"/>
      <w:szCs w:val="24"/>
    </w:rPr>
  </w:style>
  <w:style w:type="paragraph" w:customStyle="1" w:styleId="264">
    <w:name w:val="样式7"/>
    <w:basedOn w:val="1"/>
    <w:next w:val="1"/>
    <w:link w:val="263"/>
    <w:autoRedefine/>
    <w:qFormat/>
    <w:uiPriority w:val="0"/>
    <w:pPr>
      <w:spacing w:line="360" w:lineRule="auto"/>
      <w:ind w:firstLine="480" w:firstLineChars="200"/>
    </w:pPr>
    <w:rPr>
      <w:rFonts w:ascii="宋体" w:hAnsi="宋体"/>
      <w:color w:val="000000"/>
      <w:kern w:val="0"/>
      <w:sz w:val="24"/>
    </w:rPr>
  </w:style>
  <w:style w:type="character" w:customStyle="1" w:styleId="265">
    <w:name w:val="样式5 Char Char"/>
    <w:link w:val="100"/>
    <w:autoRedefine/>
    <w:qFormat/>
    <w:uiPriority w:val="0"/>
    <w:rPr>
      <w:rFonts w:ascii="宋体"/>
      <w:szCs w:val="21"/>
    </w:rPr>
  </w:style>
  <w:style w:type="character" w:customStyle="1" w:styleId="266">
    <w:name w:val="正文1 Char"/>
    <w:link w:val="101"/>
    <w:autoRedefine/>
    <w:qFormat/>
    <w:uiPriority w:val="0"/>
    <w:rPr>
      <w:kern w:val="2"/>
      <w:sz w:val="28"/>
      <w:szCs w:val="24"/>
    </w:rPr>
  </w:style>
  <w:style w:type="character" w:customStyle="1" w:styleId="267">
    <w:name w:val="unnamed21"/>
    <w:autoRedefine/>
    <w:qFormat/>
    <w:uiPriority w:val="0"/>
    <w:rPr>
      <w:rFonts w:ascii="宋体" w:hAnsi="宋体" w:eastAsia="宋体" w:cs="宋体"/>
      <w:kern w:val="2"/>
      <w:sz w:val="18"/>
      <w:szCs w:val="18"/>
      <w:lang w:val="en-US" w:eastAsia="zh-CN" w:bidi="ar-SA"/>
    </w:rPr>
  </w:style>
  <w:style w:type="character" w:customStyle="1" w:styleId="268">
    <w:name w:val="表格填充1 Char"/>
    <w:link w:val="269"/>
    <w:autoRedefine/>
    <w:qFormat/>
    <w:uiPriority w:val="0"/>
    <w:rPr>
      <w:snapToGrid/>
      <w:kern w:val="2"/>
      <w:sz w:val="24"/>
      <w:szCs w:val="18"/>
    </w:rPr>
  </w:style>
  <w:style w:type="paragraph" w:customStyle="1" w:styleId="269">
    <w:name w:val="表格填充1"/>
    <w:basedOn w:val="1"/>
    <w:link w:val="268"/>
    <w:autoRedefine/>
    <w:semiHidden/>
    <w:qFormat/>
    <w:uiPriority w:val="0"/>
    <w:pPr>
      <w:adjustRightInd w:val="0"/>
      <w:snapToGrid w:val="0"/>
      <w:spacing w:line="400" w:lineRule="exact"/>
      <w:jc w:val="center"/>
    </w:pPr>
    <w:rPr>
      <w:snapToGrid w:val="0"/>
      <w:sz w:val="24"/>
      <w:szCs w:val="18"/>
    </w:rPr>
  </w:style>
  <w:style w:type="character" w:customStyle="1" w:styleId="270">
    <w:name w:val="Char Char6"/>
    <w:autoRedefine/>
    <w:qFormat/>
    <w:uiPriority w:val="0"/>
    <w:rPr>
      <w:rFonts w:ascii="宋体" w:hAnsi="宋体" w:eastAsia="宋体" w:cs="宋体"/>
      <w:b/>
      <w:bCs/>
      <w:i/>
      <w:iCs/>
      <w:kern w:val="2"/>
      <w:sz w:val="26"/>
      <w:szCs w:val="26"/>
      <w:lang w:val="en-US" w:eastAsia="zh-CN" w:bidi="ar-SA"/>
    </w:rPr>
  </w:style>
  <w:style w:type="character" w:customStyle="1" w:styleId="271">
    <w:name w:val="标题 4 Char4"/>
    <w:autoRedefine/>
    <w:qFormat/>
    <w:uiPriority w:val="0"/>
    <w:rPr>
      <w:rFonts w:ascii="宋体" w:hAnsi="宋体" w:eastAsia="宋体" w:cs="宋体"/>
      <w:b/>
      <w:snapToGrid/>
      <w:kern w:val="2"/>
      <w:sz w:val="24"/>
      <w:szCs w:val="24"/>
      <w:lang w:val="en-GB" w:eastAsia="zh-CN" w:bidi="ar-SA"/>
    </w:rPr>
  </w:style>
  <w:style w:type="character" w:customStyle="1" w:styleId="272">
    <w:name w:val="Footer1 Char Char"/>
    <w:autoRedefine/>
    <w:qFormat/>
    <w:uiPriority w:val="0"/>
    <w:rPr>
      <w:rFonts w:eastAsia="宋体"/>
      <w:kern w:val="2"/>
      <w:sz w:val="18"/>
      <w:szCs w:val="18"/>
      <w:lang w:val="en-US" w:eastAsia="zh-CN" w:bidi="ar-SA"/>
    </w:rPr>
  </w:style>
  <w:style w:type="character" w:customStyle="1" w:styleId="273">
    <w:name w:val="公式 Char Char"/>
    <w:link w:val="274"/>
    <w:autoRedefine/>
    <w:qFormat/>
    <w:uiPriority w:val="0"/>
    <w:rPr>
      <w:rFonts w:ascii="宋体"/>
      <w:kern w:val="16"/>
      <w:sz w:val="24"/>
    </w:rPr>
  </w:style>
  <w:style w:type="paragraph" w:customStyle="1" w:styleId="274">
    <w:name w:val="公式"/>
    <w:basedOn w:val="1"/>
    <w:link w:val="273"/>
    <w:autoRedefine/>
    <w:qFormat/>
    <w:uiPriority w:val="0"/>
    <w:pPr>
      <w:adjustRightInd w:val="0"/>
      <w:spacing w:before="240" w:after="240" w:line="480" w:lineRule="exact"/>
      <w:ind w:firstLine="200" w:firstLineChars="200"/>
      <w:jc w:val="center"/>
      <w:textAlignment w:val="baseline"/>
    </w:pPr>
    <w:rPr>
      <w:rFonts w:ascii="宋体"/>
      <w:kern w:val="16"/>
      <w:sz w:val="24"/>
      <w:szCs w:val="20"/>
    </w:rPr>
  </w:style>
  <w:style w:type="character" w:customStyle="1" w:styleId="275">
    <w:name w:val="style2_title1"/>
    <w:autoRedefine/>
    <w:qFormat/>
    <w:uiPriority w:val="0"/>
    <w:rPr>
      <w:b/>
      <w:bCs/>
      <w:sz w:val="25"/>
      <w:szCs w:val="25"/>
    </w:rPr>
  </w:style>
  <w:style w:type="character" w:customStyle="1" w:styleId="276">
    <w:name w:val="表格题目 Char"/>
    <w:link w:val="277"/>
    <w:autoRedefine/>
    <w:qFormat/>
    <w:uiPriority w:val="0"/>
    <w:rPr>
      <w:rFonts w:ascii="宋体" w:hAnsi="宋体"/>
      <w:sz w:val="24"/>
      <w:szCs w:val="24"/>
    </w:rPr>
  </w:style>
  <w:style w:type="paragraph" w:customStyle="1" w:styleId="277">
    <w:name w:val="表格题目"/>
    <w:basedOn w:val="1"/>
    <w:link w:val="276"/>
    <w:autoRedefine/>
    <w:qFormat/>
    <w:uiPriority w:val="0"/>
    <w:pPr>
      <w:spacing w:line="360" w:lineRule="auto"/>
      <w:ind w:firstLine="480" w:firstLineChars="200"/>
    </w:pPr>
    <w:rPr>
      <w:rFonts w:ascii="宋体" w:hAnsi="宋体"/>
      <w:kern w:val="0"/>
      <w:sz w:val="24"/>
      <w:shd w:val="clear" w:color="auto" w:fill="FFFFFF"/>
    </w:rPr>
  </w:style>
  <w:style w:type="character" w:customStyle="1" w:styleId="278">
    <w:name w:val="表格 Char Char"/>
    <w:autoRedefine/>
    <w:qFormat/>
    <w:uiPriority w:val="0"/>
    <w:rPr>
      <w:kern w:val="2"/>
      <w:sz w:val="24"/>
      <w:szCs w:val="24"/>
      <w:lang w:bidi="ar-SA"/>
    </w:rPr>
  </w:style>
  <w:style w:type="character" w:customStyle="1" w:styleId="279">
    <w:name w:val="text_edit editable-title"/>
    <w:autoRedefine/>
    <w:qFormat/>
    <w:uiPriority w:val="0"/>
  </w:style>
  <w:style w:type="character" w:customStyle="1" w:styleId="280">
    <w:name w:val="s c c"/>
    <w:autoRedefine/>
    <w:qFormat/>
    <w:uiPriority w:val="0"/>
  </w:style>
  <w:style w:type="character" w:customStyle="1" w:styleId="281">
    <w:name w:val="tpc_content1"/>
    <w:autoRedefine/>
    <w:qFormat/>
    <w:uiPriority w:val="0"/>
    <w:rPr>
      <w:rFonts w:ascii="宋体" w:hAnsi="宋体" w:eastAsia="宋体" w:cs="宋体"/>
      <w:kern w:val="2"/>
      <w:sz w:val="24"/>
      <w:szCs w:val="24"/>
      <w:lang w:val="en-US" w:eastAsia="zh-CN" w:bidi="ar-SA"/>
    </w:rPr>
  </w:style>
  <w:style w:type="character" w:customStyle="1" w:styleId="282">
    <w:name w:val="样式16 Char Char"/>
    <w:link w:val="283"/>
    <w:autoRedefine/>
    <w:qFormat/>
    <w:uiPriority w:val="0"/>
    <w:rPr>
      <w:rFonts w:eastAsia="楷体_GB2312"/>
      <w:b/>
      <w:bCs/>
      <w:color w:val="000000"/>
      <w:sz w:val="32"/>
      <w:szCs w:val="32"/>
    </w:rPr>
  </w:style>
  <w:style w:type="paragraph" w:customStyle="1" w:styleId="283">
    <w:name w:val="样式16"/>
    <w:basedOn w:val="3"/>
    <w:link w:val="282"/>
    <w:autoRedefine/>
    <w:qFormat/>
    <w:uiPriority w:val="0"/>
    <w:pPr>
      <w:tabs>
        <w:tab w:val="left" w:pos="390"/>
      </w:tabs>
      <w:overflowPunct/>
      <w:snapToGrid/>
      <w:spacing w:before="340" w:beforeLines="100" w:after="330" w:afterLines="100" w:line="240" w:lineRule="auto"/>
      <w:ind w:left="390" w:firstLine="0"/>
      <w:jc w:val="center"/>
    </w:pPr>
    <w:rPr>
      <w:rFonts w:eastAsia="楷体_GB2312"/>
      <w:kern w:val="0"/>
      <w:sz w:val="32"/>
      <w:szCs w:val="32"/>
    </w:rPr>
  </w:style>
  <w:style w:type="character" w:customStyle="1" w:styleId="284">
    <w:name w:val="su21"/>
    <w:autoRedefine/>
    <w:qFormat/>
    <w:uiPriority w:val="0"/>
  </w:style>
  <w:style w:type="character" w:customStyle="1" w:styleId="285">
    <w:name w:val="文本 Char Char"/>
    <w:link w:val="286"/>
    <w:autoRedefine/>
    <w:qFormat/>
    <w:uiPriority w:val="0"/>
    <w:rPr>
      <w:rFonts w:ascii="宋体" w:hAnsi="宋体"/>
      <w:sz w:val="24"/>
      <w:szCs w:val="24"/>
    </w:rPr>
  </w:style>
  <w:style w:type="paragraph" w:customStyle="1" w:styleId="286">
    <w:name w:val="文本"/>
    <w:basedOn w:val="1"/>
    <w:link w:val="285"/>
    <w:autoRedefine/>
    <w:qFormat/>
    <w:uiPriority w:val="0"/>
    <w:pPr>
      <w:spacing w:after="60" w:line="440" w:lineRule="exact"/>
      <w:ind w:firstLine="480" w:firstLineChars="200"/>
    </w:pPr>
    <w:rPr>
      <w:rFonts w:ascii="宋体" w:hAnsi="宋体"/>
      <w:kern w:val="0"/>
      <w:sz w:val="24"/>
    </w:rPr>
  </w:style>
  <w:style w:type="character" w:customStyle="1" w:styleId="287">
    <w:name w:val="样式19 Char Char"/>
    <w:link w:val="288"/>
    <w:autoRedefine/>
    <w:qFormat/>
    <w:uiPriority w:val="0"/>
    <w:rPr>
      <w:b/>
      <w:bCs/>
      <w:kern w:val="44"/>
      <w:sz w:val="32"/>
      <w:szCs w:val="44"/>
    </w:rPr>
  </w:style>
  <w:style w:type="paragraph" w:customStyle="1" w:styleId="288">
    <w:name w:val="样式19"/>
    <w:basedOn w:val="3"/>
    <w:link w:val="287"/>
    <w:autoRedefine/>
    <w:qFormat/>
    <w:uiPriority w:val="0"/>
    <w:pPr>
      <w:keepLines/>
      <w:numPr>
        <w:ilvl w:val="0"/>
        <w:numId w:val="2"/>
      </w:numPr>
      <w:overflowPunct/>
      <w:snapToGrid/>
      <w:spacing w:before="0" w:after="0" w:line="360" w:lineRule="auto"/>
    </w:pPr>
    <w:rPr>
      <w:rFonts w:eastAsia="宋体"/>
      <w:color w:val="auto"/>
      <w:sz w:val="32"/>
      <w:szCs w:val="44"/>
    </w:rPr>
  </w:style>
  <w:style w:type="character" w:customStyle="1" w:styleId="289">
    <w:name w:val="source"/>
    <w:autoRedefine/>
    <w:qFormat/>
    <w:uiPriority w:val="0"/>
  </w:style>
  <w:style w:type="character" w:customStyle="1" w:styleId="290">
    <w:name w:val="表内字 Char1"/>
    <w:link w:val="291"/>
    <w:autoRedefine/>
    <w:qFormat/>
    <w:uiPriority w:val="0"/>
    <w:rPr>
      <w:kern w:val="2"/>
      <w:sz w:val="21"/>
    </w:rPr>
  </w:style>
  <w:style w:type="paragraph" w:customStyle="1" w:styleId="291">
    <w:name w:val="表内字"/>
    <w:link w:val="290"/>
    <w:autoRedefine/>
    <w:qFormat/>
    <w:uiPriority w:val="0"/>
    <w:pPr>
      <w:spacing w:before="80" w:after="80"/>
      <w:jc w:val="both"/>
    </w:pPr>
    <w:rPr>
      <w:rFonts w:ascii="Times New Roman" w:hAnsi="Times New Roman" w:eastAsia="宋体" w:cs="Times New Roman"/>
      <w:kern w:val="2"/>
      <w:sz w:val="21"/>
      <w:lang w:val="en-US" w:eastAsia="zh-CN" w:bidi="ar-SA"/>
    </w:rPr>
  </w:style>
  <w:style w:type="character" w:customStyle="1" w:styleId="292">
    <w:name w:val="标题 2 Char"/>
    <w:autoRedefine/>
    <w:qFormat/>
    <w:uiPriority w:val="9"/>
    <w:rPr>
      <w:rFonts w:ascii="Cambria" w:hAnsi="Cambria" w:eastAsia="宋体" w:cs="Times New Roman"/>
      <w:b/>
      <w:bCs/>
      <w:sz w:val="32"/>
      <w:szCs w:val="32"/>
    </w:rPr>
  </w:style>
  <w:style w:type="character" w:customStyle="1" w:styleId="293">
    <w:name w:val="报告书正文 Char1"/>
    <w:link w:val="294"/>
    <w:autoRedefine/>
    <w:qFormat/>
    <w:uiPriority w:val="0"/>
    <w:rPr>
      <w:sz w:val="18"/>
      <w:szCs w:val="18"/>
      <w:lang w:val="zh-CN"/>
    </w:rPr>
  </w:style>
  <w:style w:type="paragraph" w:customStyle="1" w:styleId="294">
    <w:name w:val="报告书正文"/>
    <w:basedOn w:val="1"/>
    <w:link w:val="293"/>
    <w:autoRedefine/>
    <w:qFormat/>
    <w:uiPriority w:val="0"/>
    <w:pPr>
      <w:adjustRightInd w:val="0"/>
      <w:spacing w:beforeLines="50" w:line="360" w:lineRule="auto"/>
      <w:ind w:firstLine="480" w:firstLineChars="200"/>
      <w:textAlignment w:val="baseline"/>
    </w:pPr>
    <w:rPr>
      <w:kern w:val="0"/>
      <w:sz w:val="18"/>
      <w:szCs w:val="18"/>
      <w:lang w:val="zh-CN"/>
    </w:rPr>
  </w:style>
  <w:style w:type="character" w:customStyle="1" w:styleId="295">
    <w:name w:val="css-text3"/>
    <w:autoRedefine/>
    <w:qFormat/>
    <w:uiPriority w:val="0"/>
  </w:style>
  <w:style w:type="character" w:customStyle="1" w:styleId="296">
    <w:name w:val="样式 标题 3H31.1.1标题 3条标题1.1.1h3level_3PIM 3Level 3 HeadHead...1 Char Char"/>
    <w:link w:val="297"/>
    <w:autoRedefine/>
    <w:qFormat/>
    <w:uiPriority w:val="0"/>
    <w:rPr>
      <w:rFonts w:ascii="黑体" w:hAnsi="黑体" w:eastAsia="黑体"/>
      <w:b/>
      <w:bCs/>
      <w:sz w:val="28"/>
      <w:szCs w:val="32"/>
    </w:rPr>
  </w:style>
  <w:style w:type="paragraph" w:customStyle="1" w:styleId="297">
    <w:name w:val="样式 标题 3H31.1.1标题 3条标题1.1.1h3level_3PIM 3Level 3 HeadHead...1"/>
    <w:basedOn w:val="5"/>
    <w:link w:val="296"/>
    <w:autoRedefine/>
    <w:qFormat/>
    <w:uiPriority w:val="0"/>
    <w:pPr>
      <w:tabs>
        <w:tab w:val="left" w:pos="1260"/>
      </w:tabs>
      <w:ind w:left="1260" w:hanging="420"/>
    </w:pPr>
    <w:rPr>
      <w:rFonts w:ascii="黑体" w:hAnsi="黑体" w:eastAsia="黑体"/>
      <w:kern w:val="0"/>
      <w:sz w:val="28"/>
    </w:rPr>
  </w:style>
  <w:style w:type="character" w:customStyle="1" w:styleId="298">
    <w:name w:val="默认段落字体 Para Char Char Char Char Char"/>
    <w:link w:val="299"/>
    <w:autoRedefine/>
    <w:qFormat/>
    <w:uiPriority w:val="0"/>
    <w:rPr>
      <w:kern w:val="2"/>
      <w:sz w:val="21"/>
      <w:szCs w:val="21"/>
    </w:rPr>
  </w:style>
  <w:style w:type="paragraph" w:customStyle="1" w:styleId="299">
    <w:name w:val="默认段落字体 Para Char Char Char Char"/>
    <w:basedOn w:val="1"/>
    <w:link w:val="298"/>
    <w:autoRedefine/>
    <w:qFormat/>
    <w:uiPriority w:val="0"/>
  </w:style>
  <w:style w:type="character" w:customStyle="1" w:styleId="300">
    <w:name w:val="博泵1 Char Char"/>
    <w:link w:val="301"/>
    <w:autoRedefine/>
    <w:qFormat/>
    <w:uiPriority w:val="0"/>
    <w:rPr>
      <w:rFonts w:hAnsi="宋体"/>
      <w:color w:val="000000"/>
      <w:sz w:val="24"/>
    </w:rPr>
  </w:style>
  <w:style w:type="paragraph" w:customStyle="1" w:styleId="301">
    <w:name w:val="博泵1"/>
    <w:basedOn w:val="1"/>
    <w:link w:val="300"/>
    <w:autoRedefine/>
    <w:qFormat/>
    <w:uiPriority w:val="0"/>
    <w:pPr>
      <w:adjustRightInd w:val="0"/>
      <w:spacing w:line="480" w:lineRule="exact"/>
      <w:ind w:firstLine="200" w:firstLineChars="200"/>
      <w:jc w:val="left"/>
      <w:textAlignment w:val="baseline"/>
    </w:pPr>
    <w:rPr>
      <w:rFonts w:hAnsi="宋体"/>
      <w:color w:val="000000"/>
      <w:kern w:val="0"/>
      <w:sz w:val="24"/>
      <w:szCs w:val="20"/>
    </w:rPr>
  </w:style>
  <w:style w:type="character" w:customStyle="1" w:styleId="302">
    <w:name w:val="特点标题 Char1"/>
    <w:autoRedefine/>
    <w:qFormat/>
    <w:uiPriority w:val="0"/>
    <w:rPr>
      <w:rFonts w:eastAsia="宋体"/>
      <w:kern w:val="2"/>
      <w:sz w:val="24"/>
      <w:szCs w:val="21"/>
      <w:lang w:val="en-US" w:eastAsia="zh-CN" w:bidi="ar-SA"/>
    </w:rPr>
  </w:style>
  <w:style w:type="character" w:customStyle="1" w:styleId="303">
    <w:name w:val="报告标题3 Char Char"/>
    <w:link w:val="304"/>
    <w:autoRedefine/>
    <w:qFormat/>
    <w:uiPriority w:val="0"/>
    <w:rPr>
      <w:b/>
      <w:bCs/>
      <w:color w:val="000000"/>
      <w:sz w:val="28"/>
      <w:szCs w:val="28"/>
    </w:rPr>
  </w:style>
  <w:style w:type="paragraph" w:customStyle="1" w:styleId="304">
    <w:name w:val="报告标题3"/>
    <w:basedOn w:val="5"/>
    <w:link w:val="303"/>
    <w:autoRedefine/>
    <w:qFormat/>
    <w:uiPriority w:val="0"/>
    <w:pPr>
      <w:tabs>
        <w:tab w:val="left" w:pos="1260"/>
      </w:tabs>
      <w:spacing w:before="60" w:after="60" w:line="360" w:lineRule="auto"/>
      <w:ind w:left="1260" w:hanging="420"/>
    </w:pPr>
    <w:rPr>
      <w:color w:val="000000"/>
      <w:kern w:val="0"/>
      <w:sz w:val="28"/>
      <w:szCs w:val="28"/>
    </w:rPr>
  </w:style>
  <w:style w:type="character" w:customStyle="1" w:styleId="305">
    <w:name w:val="f141"/>
    <w:autoRedefine/>
    <w:qFormat/>
    <w:uiPriority w:val="0"/>
    <w:rPr>
      <w:color w:val="000000"/>
      <w:sz w:val="21"/>
      <w:szCs w:val="21"/>
    </w:rPr>
  </w:style>
  <w:style w:type="character" w:customStyle="1" w:styleId="306">
    <w:name w:val="Plain Text Char1 Char2"/>
    <w:autoRedefine/>
    <w:qFormat/>
    <w:uiPriority w:val="0"/>
    <w:rPr>
      <w:rFonts w:ascii="宋体" w:hAnsi="Courier New" w:eastAsia="宋体"/>
      <w:kern w:val="2"/>
      <w:sz w:val="21"/>
      <w:szCs w:val="21"/>
      <w:lang w:val="en-US" w:eastAsia="zh-CN" w:bidi="ar-SA"/>
    </w:rPr>
  </w:style>
  <w:style w:type="character" w:customStyle="1" w:styleId="307">
    <w:name w:val="ourfont11"/>
    <w:autoRedefine/>
    <w:qFormat/>
    <w:uiPriority w:val="0"/>
    <w:rPr>
      <w:sz w:val="20"/>
    </w:rPr>
  </w:style>
  <w:style w:type="character" w:customStyle="1" w:styleId="308">
    <w:name w:val="Footer1 Char2"/>
    <w:autoRedefine/>
    <w:qFormat/>
    <w:uiPriority w:val="0"/>
    <w:rPr>
      <w:sz w:val="18"/>
      <w:szCs w:val="18"/>
      <w:lang w:bidi="ar-SA"/>
    </w:rPr>
  </w:style>
  <w:style w:type="character" w:customStyle="1" w:styleId="309">
    <w:name w:val="文本正文 Char"/>
    <w:link w:val="310"/>
    <w:autoRedefine/>
    <w:semiHidden/>
    <w:qFormat/>
    <w:uiPriority w:val="0"/>
    <w:rPr>
      <w:snapToGrid/>
      <w:sz w:val="24"/>
      <w:szCs w:val="24"/>
    </w:rPr>
  </w:style>
  <w:style w:type="paragraph" w:customStyle="1" w:styleId="310">
    <w:name w:val="文本正文"/>
    <w:basedOn w:val="1"/>
    <w:link w:val="309"/>
    <w:autoRedefine/>
    <w:semiHidden/>
    <w:qFormat/>
    <w:uiPriority w:val="0"/>
    <w:pPr>
      <w:spacing w:line="360" w:lineRule="auto"/>
      <w:ind w:firstLine="200" w:firstLineChars="200"/>
      <w:jc w:val="left"/>
    </w:pPr>
    <w:rPr>
      <w:snapToGrid w:val="0"/>
      <w:kern w:val="0"/>
      <w:sz w:val="24"/>
    </w:rPr>
  </w:style>
  <w:style w:type="character" w:customStyle="1" w:styleId="311">
    <w:name w:val="content"/>
    <w:autoRedefine/>
    <w:qFormat/>
    <w:uiPriority w:val="0"/>
    <w:rPr>
      <w:rFonts w:ascii="宋体" w:hAnsi="宋体" w:eastAsia="宋体" w:cs="宋体"/>
      <w:kern w:val="2"/>
      <w:sz w:val="24"/>
      <w:szCs w:val="24"/>
      <w:lang w:val="en-US" w:eastAsia="zh-CN" w:bidi="ar-SA"/>
    </w:rPr>
  </w:style>
  <w:style w:type="character" w:customStyle="1" w:styleId="312">
    <w:name w:val="dectext1"/>
    <w:autoRedefine/>
    <w:qFormat/>
    <w:uiPriority w:val="0"/>
    <w:rPr>
      <w:rFonts w:hint="eastAsia" w:ascii="宋体" w:hAnsi="宋体" w:eastAsia="宋体"/>
      <w:color w:val="333333"/>
      <w:sz w:val="21"/>
      <w:szCs w:val="21"/>
      <w:u w:val="none"/>
    </w:rPr>
  </w:style>
  <w:style w:type="character" w:customStyle="1" w:styleId="313">
    <w:name w:val="图片居中 大王 20100426 Char"/>
    <w:link w:val="314"/>
    <w:autoRedefine/>
    <w:qFormat/>
    <w:uiPriority w:val="0"/>
    <w:rPr>
      <w:snapToGrid/>
      <w:spacing w:val="10"/>
      <w:sz w:val="24"/>
    </w:rPr>
  </w:style>
  <w:style w:type="paragraph" w:customStyle="1" w:styleId="314">
    <w:name w:val="图片居中 大王 20100426"/>
    <w:basedOn w:val="1"/>
    <w:link w:val="313"/>
    <w:autoRedefine/>
    <w:qFormat/>
    <w:uiPriority w:val="0"/>
    <w:pPr>
      <w:snapToGrid w:val="0"/>
      <w:spacing w:beforeLines="20" w:afterLines="20"/>
      <w:jc w:val="center"/>
    </w:pPr>
    <w:rPr>
      <w:snapToGrid w:val="0"/>
      <w:spacing w:val="10"/>
      <w:kern w:val="0"/>
      <w:sz w:val="24"/>
      <w:szCs w:val="20"/>
    </w:rPr>
  </w:style>
  <w:style w:type="character" w:customStyle="1" w:styleId="315">
    <w:name w:val="fontstyle01"/>
    <w:autoRedefine/>
    <w:qFormat/>
    <w:uiPriority w:val="0"/>
    <w:rPr>
      <w:rFonts w:hint="eastAsia" w:ascii="宋体" w:hAnsi="宋体" w:eastAsia="宋体"/>
      <w:color w:val="000000"/>
      <w:sz w:val="24"/>
      <w:szCs w:val="24"/>
    </w:rPr>
  </w:style>
  <w:style w:type="character" w:customStyle="1" w:styleId="316">
    <w:name w:val="样式24 Char Char"/>
    <w:link w:val="317"/>
    <w:autoRedefine/>
    <w:qFormat/>
    <w:uiPriority w:val="0"/>
    <w:rPr>
      <w:rFonts w:ascii="宋体" w:hAnsi="宋体"/>
      <w:b/>
      <w:bCs/>
      <w:spacing w:val="4"/>
      <w:sz w:val="32"/>
      <w:szCs w:val="32"/>
    </w:rPr>
  </w:style>
  <w:style w:type="paragraph" w:customStyle="1" w:styleId="317">
    <w:name w:val="样式24"/>
    <w:basedOn w:val="1"/>
    <w:link w:val="316"/>
    <w:autoRedefine/>
    <w:qFormat/>
    <w:uiPriority w:val="0"/>
    <w:pPr>
      <w:keepNext/>
      <w:jc w:val="center"/>
      <w:outlineLvl w:val="1"/>
    </w:pPr>
    <w:rPr>
      <w:rFonts w:ascii="宋体" w:hAnsi="宋体"/>
      <w:b/>
      <w:bCs/>
      <w:spacing w:val="4"/>
      <w:kern w:val="0"/>
      <w:sz w:val="32"/>
      <w:szCs w:val="32"/>
    </w:rPr>
  </w:style>
  <w:style w:type="character" w:customStyle="1" w:styleId="318">
    <w:name w:val="表头1 Char Char Char"/>
    <w:autoRedefine/>
    <w:qFormat/>
    <w:uiPriority w:val="0"/>
    <w:rPr>
      <w:rFonts w:eastAsia="黑体"/>
      <w:sz w:val="21"/>
      <w:szCs w:val="28"/>
      <w:lang w:val="en-US" w:eastAsia="zh-CN" w:bidi="ar-SA"/>
    </w:rPr>
  </w:style>
  <w:style w:type="character" w:customStyle="1" w:styleId="319">
    <w:name w:val="表、图名 Char"/>
    <w:link w:val="320"/>
    <w:autoRedefine/>
    <w:semiHidden/>
    <w:qFormat/>
    <w:uiPriority w:val="0"/>
    <w:rPr>
      <w:rFonts w:ascii="宋体" w:eastAsia="黑体"/>
      <w:kern w:val="2"/>
      <w:sz w:val="21"/>
      <w:szCs w:val="24"/>
    </w:rPr>
  </w:style>
  <w:style w:type="paragraph" w:customStyle="1" w:styleId="320">
    <w:name w:val="表、图名"/>
    <w:basedOn w:val="1"/>
    <w:link w:val="319"/>
    <w:autoRedefine/>
    <w:semiHidden/>
    <w:qFormat/>
    <w:uiPriority w:val="0"/>
    <w:pPr>
      <w:adjustRightInd w:val="0"/>
      <w:snapToGrid w:val="0"/>
      <w:spacing w:line="312" w:lineRule="atLeast"/>
      <w:jc w:val="center"/>
    </w:pPr>
    <w:rPr>
      <w:rFonts w:ascii="宋体" w:eastAsia="黑体"/>
    </w:rPr>
  </w:style>
  <w:style w:type="character" w:customStyle="1" w:styleId="321">
    <w:name w:val="Char Char Char Char Char Char Char Char Char"/>
    <w:autoRedefine/>
    <w:qFormat/>
    <w:uiPriority w:val="0"/>
    <w:rPr>
      <w:rFonts w:eastAsia="宋体"/>
      <w:kern w:val="2"/>
      <w:sz w:val="18"/>
      <w:szCs w:val="18"/>
      <w:lang w:val="en-US" w:eastAsia="zh-CN" w:bidi="ar-SA"/>
    </w:rPr>
  </w:style>
  <w:style w:type="character" w:customStyle="1" w:styleId="322">
    <w:name w:val="css11"/>
    <w:autoRedefine/>
    <w:qFormat/>
    <w:uiPriority w:val="0"/>
    <w:rPr>
      <w:rFonts w:hint="eastAsia" w:ascii="宋体" w:hAnsi="宋体" w:eastAsia="宋体"/>
      <w:color w:val="336633"/>
      <w:sz w:val="18"/>
      <w:szCs w:val="18"/>
    </w:rPr>
  </w:style>
  <w:style w:type="character" w:customStyle="1" w:styleId="323">
    <w:name w:val="表格内容 Char"/>
    <w:link w:val="324"/>
    <w:autoRedefine/>
    <w:qFormat/>
    <w:uiPriority w:val="0"/>
    <w:rPr>
      <w:sz w:val="21"/>
      <w:szCs w:val="21"/>
    </w:rPr>
  </w:style>
  <w:style w:type="paragraph" w:customStyle="1" w:styleId="324">
    <w:name w:val="表格内容"/>
    <w:basedOn w:val="1"/>
    <w:link w:val="323"/>
    <w:autoRedefine/>
    <w:qFormat/>
    <w:uiPriority w:val="99"/>
    <w:pPr>
      <w:autoSpaceDE w:val="0"/>
      <w:autoSpaceDN w:val="0"/>
      <w:adjustRightInd w:val="0"/>
      <w:jc w:val="left"/>
    </w:pPr>
    <w:rPr>
      <w:kern w:val="0"/>
    </w:rPr>
  </w:style>
  <w:style w:type="character" w:customStyle="1" w:styleId="325">
    <w:name w:val="样式69 Char Char"/>
    <w:link w:val="326"/>
    <w:autoRedefine/>
    <w:qFormat/>
    <w:uiPriority w:val="0"/>
    <w:rPr>
      <w:rFonts w:ascii="宋体" w:hAnsi="宋体"/>
      <w:color w:val="000000"/>
    </w:rPr>
  </w:style>
  <w:style w:type="paragraph" w:customStyle="1" w:styleId="326">
    <w:name w:val="样式69"/>
    <w:basedOn w:val="1"/>
    <w:link w:val="325"/>
    <w:autoRedefine/>
    <w:qFormat/>
    <w:uiPriority w:val="0"/>
    <w:pPr>
      <w:numPr>
        <w:ilvl w:val="0"/>
        <w:numId w:val="3"/>
      </w:numPr>
      <w:ind w:left="0" w:firstLine="0"/>
      <w:jc w:val="center"/>
    </w:pPr>
    <w:rPr>
      <w:rFonts w:ascii="宋体" w:hAnsi="宋体"/>
      <w:color w:val="000000"/>
      <w:kern w:val="0"/>
      <w:sz w:val="20"/>
      <w:szCs w:val="20"/>
    </w:rPr>
  </w:style>
  <w:style w:type="character" w:customStyle="1" w:styleId="327">
    <w:name w:val="s19n338"/>
    <w:autoRedefine/>
    <w:qFormat/>
    <w:uiPriority w:val="0"/>
  </w:style>
  <w:style w:type="character" w:customStyle="1" w:styleId="328">
    <w:name w:val="1.1.1 Char Char"/>
    <w:link w:val="329"/>
    <w:autoRedefine/>
    <w:qFormat/>
    <w:uiPriority w:val="0"/>
    <w:rPr>
      <w:rFonts w:eastAsia="黑体"/>
      <w:sz w:val="28"/>
      <w:szCs w:val="24"/>
    </w:rPr>
  </w:style>
  <w:style w:type="paragraph" w:customStyle="1" w:styleId="329">
    <w:name w:val="1.1.1"/>
    <w:basedOn w:val="1"/>
    <w:link w:val="328"/>
    <w:autoRedefine/>
    <w:qFormat/>
    <w:uiPriority w:val="0"/>
    <w:pPr>
      <w:spacing w:line="600" w:lineRule="exact"/>
      <w:outlineLvl w:val="0"/>
    </w:pPr>
    <w:rPr>
      <w:rFonts w:eastAsia="黑体"/>
      <w:kern w:val="0"/>
      <w:sz w:val="28"/>
    </w:rPr>
  </w:style>
  <w:style w:type="character" w:customStyle="1" w:styleId="330">
    <w:name w:val="s6wwf"/>
    <w:autoRedefine/>
    <w:qFormat/>
    <w:uiPriority w:val="0"/>
  </w:style>
  <w:style w:type="character" w:customStyle="1" w:styleId="331">
    <w:name w:val="正文 大王 20100426 Char"/>
    <w:link w:val="332"/>
    <w:autoRedefine/>
    <w:qFormat/>
    <w:uiPriority w:val="0"/>
    <w:rPr>
      <w:snapToGrid/>
      <w:spacing w:val="10"/>
      <w:sz w:val="24"/>
    </w:rPr>
  </w:style>
  <w:style w:type="paragraph" w:customStyle="1" w:styleId="332">
    <w:name w:val="正文 大王 20100426"/>
    <w:basedOn w:val="1"/>
    <w:link w:val="331"/>
    <w:autoRedefine/>
    <w:qFormat/>
    <w:uiPriority w:val="0"/>
    <w:pPr>
      <w:numPr>
        <w:ilvl w:val="2"/>
        <w:numId w:val="4"/>
      </w:numPr>
      <w:snapToGrid w:val="0"/>
      <w:spacing w:beforeLines="20" w:afterLines="20" w:line="360" w:lineRule="auto"/>
      <w:ind w:left="0" w:firstLine="520" w:firstLineChars="200"/>
    </w:pPr>
    <w:rPr>
      <w:snapToGrid w:val="0"/>
      <w:spacing w:val="10"/>
      <w:kern w:val="0"/>
      <w:sz w:val="24"/>
      <w:szCs w:val="20"/>
    </w:rPr>
  </w:style>
  <w:style w:type="character" w:customStyle="1" w:styleId="333">
    <w:name w:val="unnamed3"/>
    <w:autoRedefine/>
    <w:qFormat/>
    <w:uiPriority w:val="0"/>
  </w:style>
  <w:style w:type="character" w:customStyle="1" w:styleId="334">
    <w:name w:val="表内容 Char Char"/>
    <w:autoRedefine/>
    <w:qFormat/>
    <w:uiPriority w:val="0"/>
    <w:rPr>
      <w:rFonts w:eastAsia="宋体"/>
      <w:lang w:bidi="ar-SA"/>
    </w:rPr>
  </w:style>
  <w:style w:type="character" w:customStyle="1" w:styleId="335">
    <w:name w:val="question-title2"/>
    <w:autoRedefine/>
    <w:qFormat/>
    <w:uiPriority w:val="0"/>
  </w:style>
  <w:style w:type="character" w:customStyle="1" w:styleId="336">
    <w:name w:val="表内文字 Char"/>
    <w:link w:val="337"/>
    <w:autoRedefine/>
    <w:qFormat/>
    <w:uiPriority w:val="0"/>
    <w:rPr>
      <w:kern w:val="2"/>
      <w:sz w:val="21"/>
      <w:szCs w:val="24"/>
    </w:rPr>
  </w:style>
  <w:style w:type="paragraph" w:customStyle="1" w:styleId="337">
    <w:name w:val="表内文字"/>
    <w:basedOn w:val="1"/>
    <w:next w:val="1"/>
    <w:link w:val="336"/>
    <w:autoRedefine/>
    <w:qFormat/>
    <w:uiPriority w:val="0"/>
    <w:pPr>
      <w:jc w:val="center"/>
    </w:pPr>
  </w:style>
  <w:style w:type="character" w:customStyle="1" w:styleId="338">
    <w:name w:val="postbody1"/>
    <w:autoRedefine/>
    <w:qFormat/>
    <w:uiPriority w:val="0"/>
    <w:rPr>
      <w:sz w:val="21"/>
      <w:szCs w:val="21"/>
    </w:rPr>
  </w:style>
  <w:style w:type="character" w:customStyle="1" w:styleId="339">
    <w:name w:val="!正文_ALT+Z Char Char"/>
    <w:link w:val="340"/>
    <w:autoRedefine/>
    <w:qFormat/>
    <w:uiPriority w:val="0"/>
    <w:rPr>
      <w:rFonts w:eastAsia="仿宋_GB2312"/>
      <w:kern w:val="2"/>
      <w:sz w:val="28"/>
      <w:szCs w:val="28"/>
    </w:rPr>
  </w:style>
  <w:style w:type="paragraph" w:customStyle="1" w:styleId="340">
    <w:name w:val="!正文_ALT+Z"/>
    <w:basedOn w:val="1"/>
    <w:link w:val="339"/>
    <w:autoRedefine/>
    <w:qFormat/>
    <w:uiPriority w:val="0"/>
    <w:pPr>
      <w:spacing w:line="520" w:lineRule="exact"/>
      <w:ind w:firstLine="200" w:firstLineChars="200"/>
    </w:pPr>
    <w:rPr>
      <w:rFonts w:eastAsia="仿宋_GB2312"/>
      <w:sz w:val="28"/>
      <w:szCs w:val="28"/>
    </w:rPr>
  </w:style>
  <w:style w:type="character" w:customStyle="1" w:styleId="341">
    <w:name w:val="表头1 Char Char"/>
    <w:autoRedefine/>
    <w:qFormat/>
    <w:uiPriority w:val="0"/>
    <w:rPr>
      <w:b/>
      <w:bCs/>
      <w:color w:val="000000"/>
      <w:sz w:val="24"/>
      <w:szCs w:val="24"/>
      <w:lang w:bidi="ar-SA"/>
    </w:rPr>
  </w:style>
  <w:style w:type="character" w:customStyle="1" w:styleId="342">
    <w:name w:val="正文文本缩进 Char Char"/>
    <w:autoRedefine/>
    <w:qFormat/>
    <w:uiPriority w:val="0"/>
    <w:rPr>
      <w:rFonts w:ascii="Times New Roman" w:hAnsi="Times New Roman"/>
      <w:sz w:val="24"/>
    </w:rPr>
  </w:style>
  <w:style w:type="character" w:customStyle="1" w:styleId="343">
    <w:name w:val="Char Char11"/>
    <w:autoRedefine/>
    <w:qFormat/>
    <w:uiPriority w:val="0"/>
    <w:rPr>
      <w:rFonts w:ascii="宋体" w:hAnsi="宋体" w:eastAsia="宋体" w:cs="宋体"/>
      <w:kern w:val="2"/>
      <w:sz w:val="18"/>
      <w:szCs w:val="18"/>
      <w:lang w:val="en-US" w:eastAsia="zh-CN" w:bidi="ar-SA"/>
    </w:rPr>
  </w:style>
  <w:style w:type="character" w:customStyle="1" w:styleId="344">
    <w:name w:val="日期 字符"/>
    <w:autoRedefine/>
    <w:qFormat/>
    <w:uiPriority w:val="99"/>
    <w:rPr>
      <w:rFonts w:ascii="Times New Roman" w:hAnsi="Times New Roman" w:eastAsia="宋体"/>
      <w:sz w:val="24"/>
    </w:rPr>
  </w:style>
  <w:style w:type="character" w:customStyle="1" w:styleId="345">
    <w:name w:val="z-窗体顶端 Char"/>
    <w:link w:val="346"/>
    <w:autoRedefine/>
    <w:qFormat/>
    <w:uiPriority w:val="0"/>
    <w:rPr>
      <w:rFonts w:ascii="宋体" w:hAnsi="Courier New" w:cs="宋体"/>
      <w:szCs w:val="24"/>
    </w:rPr>
  </w:style>
  <w:style w:type="paragraph" w:customStyle="1" w:styleId="346">
    <w:name w:val="z-窗体顶端1"/>
    <w:basedOn w:val="1"/>
    <w:next w:val="1"/>
    <w:link w:val="345"/>
    <w:autoRedefine/>
    <w:qFormat/>
    <w:uiPriority w:val="0"/>
    <w:pPr>
      <w:pBdr>
        <w:bottom w:val="single" w:color="auto" w:sz="6" w:space="1"/>
      </w:pBdr>
      <w:adjustRightInd w:val="0"/>
      <w:snapToGrid w:val="0"/>
      <w:spacing w:line="300" w:lineRule="auto"/>
      <w:jc w:val="center"/>
    </w:pPr>
    <w:rPr>
      <w:rFonts w:ascii="宋体" w:hAnsi="Courier New" w:cs="宋体"/>
      <w:kern w:val="0"/>
      <w:sz w:val="20"/>
    </w:rPr>
  </w:style>
  <w:style w:type="character" w:customStyle="1" w:styleId="347">
    <w:name w:val="tpc_content"/>
    <w:autoRedefine/>
    <w:qFormat/>
    <w:uiPriority w:val="0"/>
    <w:rPr>
      <w:rFonts w:ascii="宋体" w:hAnsi="宋体" w:eastAsia="宋体" w:cs="宋体"/>
      <w:kern w:val="2"/>
      <w:sz w:val="24"/>
      <w:szCs w:val="24"/>
      <w:lang w:val="en-US" w:eastAsia="zh-CN" w:bidi="ar-SA"/>
    </w:rPr>
  </w:style>
  <w:style w:type="character" w:customStyle="1" w:styleId="348">
    <w:name w:val="text_new"/>
    <w:autoRedefine/>
    <w:qFormat/>
    <w:uiPriority w:val="0"/>
  </w:style>
  <w:style w:type="character" w:customStyle="1" w:styleId="349">
    <w:name w:val="Char Char12"/>
    <w:autoRedefine/>
    <w:qFormat/>
    <w:uiPriority w:val="0"/>
    <w:rPr>
      <w:rFonts w:eastAsia="宋体"/>
      <w:kern w:val="2"/>
      <w:sz w:val="18"/>
      <w:szCs w:val="18"/>
      <w:lang w:val="en-US" w:eastAsia="zh-CN" w:bidi="ar-SA"/>
    </w:rPr>
  </w:style>
  <w:style w:type="character" w:customStyle="1" w:styleId="350">
    <w:name w:val="表 标题 Char Char"/>
    <w:link w:val="351"/>
    <w:autoRedefine/>
    <w:qFormat/>
    <w:uiPriority w:val="0"/>
    <w:rPr>
      <w:b/>
      <w:sz w:val="24"/>
    </w:rPr>
  </w:style>
  <w:style w:type="paragraph" w:customStyle="1" w:styleId="351">
    <w:name w:val="表 标题"/>
    <w:basedOn w:val="67"/>
    <w:next w:val="1"/>
    <w:link w:val="350"/>
    <w:autoRedefine/>
    <w:qFormat/>
    <w:uiPriority w:val="0"/>
    <w:pPr>
      <w:tabs>
        <w:tab w:val="clear" w:pos="8312"/>
      </w:tabs>
      <w:adjustRightInd/>
      <w:spacing w:beforeLines="50" w:line="240" w:lineRule="auto"/>
      <w:jc w:val="center"/>
      <w:textAlignment w:val="auto"/>
    </w:pPr>
    <w:rPr>
      <w:rFonts w:ascii="Times New Roman"/>
      <w:b/>
      <w:sz w:val="24"/>
    </w:rPr>
  </w:style>
  <w:style w:type="character" w:customStyle="1" w:styleId="352">
    <w:name w:val="content1"/>
    <w:autoRedefine/>
    <w:qFormat/>
    <w:uiPriority w:val="0"/>
    <w:rPr>
      <w:sz w:val="21"/>
      <w:szCs w:val="21"/>
    </w:rPr>
  </w:style>
  <w:style w:type="character" w:customStyle="1" w:styleId="353">
    <w:name w:val="表格内容 Char Char"/>
    <w:autoRedefine/>
    <w:qFormat/>
    <w:uiPriority w:val="0"/>
    <w:rPr>
      <w:rFonts w:eastAsia="宋体"/>
      <w:sz w:val="24"/>
      <w:lang w:bidi="ar-SA"/>
    </w:rPr>
  </w:style>
  <w:style w:type="character" w:customStyle="1" w:styleId="354">
    <w:name w:val="表格标题新 Char Char"/>
    <w:link w:val="355"/>
    <w:autoRedefine/>
    <w:qFormat/>
    <w:uiPriority w:val="0"/>
    <w:rPr>
      <w:rFonts w:eastAsia="仿宋_GB2312"/>
      <w:b/>
      <w:sz w:val="28"/>
      <w:szCs w:val="24"/>
    </w:rPr>
  </w:style>
  <w:style w:type="paragraph" w:customStyle="1" w:styleId="355">
    <w:name w:val="表格标题新"/>
    <w:basedOn w:val="178"/>
    <w:link w:val="354"/>
    <w:autoRedefine/>
    <w:qFormat/>
    <w:uiPriority w:val="0"/>
    <w:pPr>
      <w:spacing w:beforeLines="50" w:line="360" w:lineRule="auto"/>
      <w:ind w:firstLine="561" w:firstLineChars="200"/>
    </w:pPr>
    <w:rPr>
      <w:b/>
      <w:kern w:val="0"/>
      <w:sz w:val="28"/>
    </w:rPr>
  </w:style>
  <w:style w:type="character" w:customStyle="1" w:styleId="356">
    <w:name w:val="sz3evj"/>
    <w:autoRedefine/>
    <w:qFormat/>
    <w:uiPriority w:val="0"/>
  </w:style>
  <w:style w:type="character" w:customStyle="1" w:styleId="357">
    <w:name w:val="宏文本 Char1"/>
    <w:autoRedefine/>
    <w:semiHidden/>
    <w:qFormat/>
    <w:uiPriority w:val="99"/>
    <w:rPr>
      <w:rFonts w:ascii="Courier New" w:hAnsi="Courier New" w:eastAsia="宋体" w:cs="Courier New"/>
      <w:sz w:val="24"/>
      <w:szCs w:val="24"/>
    </w:rPr>
  </w:style>
  <w:style w:type="character" w:customStyle="1" w:styleId="358">
    <w:name w:val="sl0m"/>
    <w:autoRedefine/>
    <w:qFormat/>
    <w:uiPriority w:val="0"/>
  </w:style>
  <w:style w:type="character" w:customStyle="1" w:styleId="359">
    <w:name w:val="标题3 Char"/>
    <w:link w:val="360"/>
    <w:autoRedefine/>
    <w:qFormat/>
    <w:uiPriority w:val="0"/>
    <w:rPr>
      <w:rFonts w:eastAsia="黑体"/>
      <w:sz w:val="24"/>
    </w:rPr>
  </w:style>
  <w:style w:type="paragraph" w:customStyle="1" w:styleId="360">
    <w:name w:val="标题3"/>
    <w:basedOn w:val="1"/>
    <w:next w:val="1"/>
    <w:link w:val="359"/>
    <w:autoRedefine/>
    <w:qFormat/>
    <w:uiPriority w:val="0"/>
    <w:pPr>
      <w:keepNext/>
      <w:keepLines/>
      <w:adjustRightInd w:val="0"/>
      <w:snapToGrid w:val="0"/>
      <w:spacing w:after="50" w:line="416" w:lineRule="atLeast"/>
      <w:outlineLvl w:val="2"/>
    </w:pPr>
    <w:rPr>
      <w:rFonts w:eastAsia="黑体"/>
      <w:kern w:val="0"/>
      <w:sz w:val="24"/>
      <w:szCs w:val="20"/>
    </w:rPr>
  </w:style>
  <w:style w:type="character" w:customStyle="1" w:styleId="361">
    <w:name w:val="段落1 Char"/>
    <w:link w:val="362"/>
    <w:autoRedefine/>
    <w:qFormat/>
    <w:uiPriority w:val="0"/>
    <w:rPr>
      <w:rFonts w:ascii="宋体" w:hAnsi="宋体"/>
      <w:color w:val="000000"/>
      <w:kern w:val="28"/>
      <w:sz w:val="28"/>
      <w:szCs w:val="28"/>
    </w:rPr>
  </w:style>
  <w:style w:type="paragraph" w:customStyle="1" w:styleId="362">
    <w:name w:val="段落1"/>
    <w:basedOn w:val="1"/>
    <w:link w:val="361"/>
    <w:autoRedefine/>
    <w:qFormat/>
    <w:uiPriority w:val="0"/>
    <w:pPr>
      <w:snapToGrid w:val="0"/>
      <w:spacing w:beforeLines="10" w:afterLines="10" w:line="360" w:lineRule="auto"/>
      <w:ind w:firstLine="420" w:firstLineChars="150"/>
    </w:pPr>
    <w:rPr>
      <w:rFonts w:ascii="宋体" w:hAnsi="宋体"/>
      <w:color w:val="000000"/>
      <w:kern w:val="28"/>
      <w:sz w:val="28"/>
      <w:szCs w:val="28"/>
    </w:rPr>
  </w:style>
  <w:style w:type="character" w:customStyle="1" w:styleId="363">
    <w:name w:val="表内式样 Char1"/>
    <w:link w:val="364"/>
    <w:autoRedefine/>
    <w:qFormat/>
    <w:uiPriority w:val="0"/>
    <w:rPr>
      <w:rFonts w:ascii="宋体"/>
      <w:sz w:val="21"/>
      <w:szCs w:val="21"/>
    </w:rPr>
  </w:style>
  <w:style w:type="paragraph" w:customStyle="1" w:styleId="364">
    <w:name w:val="表内式样"/>
    <w:link w:val="363"/>
    <w:autoRedefine/>
    <w:qFormat/>
    <w:uiPriority w:val="0"/>
    <w:pPr>
      <w:keepLines/>
      <w:widowControl w:val="0"/>
      <w:kinsoku w:val="0"/>
      <w:overflowPunct w:val="0"/>
      <w:adjustRightInd w:val="0"/>
      <w:jc w:val="center"/>
    </w:pPr>
    <w:rPr>
      <w:rFonts w:ascii="宋体" w:hAnsi="Times New Roman" w:eastAsia="宋体" w:cs="Times New Roman"/>
      <w:sz w:val="21"/>
      <w:szCs w:val="21"/>
      <w:lang w:val="en-US" w:eastAsia="zh-CN" w:bidi="ar-SA"/>
    </w:rPr>
  </w:style>
  <w:style w:type="character" w:customStyle="1" w:styleId="365">
    <w:name w:val="标题 3 Char1 Char1"/>
    <w:autoRedefine/>
    <w:qFormat/>
    <w:uiPriority w:val="0"/>
    <w:rPr>
      <w:rFonts w:ascii="宋体" w:hAnsi="宋体" w:eastAsia="宋体" w:cs="宋体"/>
      <w:b/>
      <w:bCs/>
      <w:caps/>
      <w:color w:val="000000"/>
      <w:kern w:val="2"/>
      <w:sz w:val="24"/>
      <w:szCs w:val="24"/>
      <w:lang w:val="zh-CN" w:eastAsia="zh-CN" w:bidi="ar-SA"/>
    </w:rPr>
  </w:style>
  <w:style w:type="character" w:customStyle="1" w:styleId="366">
    <w:name w:val="3zw1"/>
    <w:autoRedefine/>
    <w:qFormat/>
    <w:uiPriority w:val="0"/>
    <w:rPr>
      <w:color w:val="000000"/>
      <w:sz w:val="21"/>
      <w:szCs w:val="21"/>
    </w:rPr>
  </w:style>
  <w:style w:type="character" w:customStyle="1" w:styleId="367">
    <w:name w:val="s0s4w"/>
    <w:autoRedefine/>
    <w:qFormat/>
    <w:uiPriority w:val="0"/>
  </w:style>
  <w:style w:type="character" w:customStyle="1" w:styleId="368">
    <w:name w:val="表 Char"/>
    <w:link w:val="369"/>
    <w:autoRedefine/>
    <w:qFormat/>
    <w:uiPriority w:val="0"/>
    <w:rPr>
      <w:spacing w:val="2"/>
      <w:kern w:val="2"/>
      <w:sz w:val="24"/>
    </w:rPr>
  </w:style>
  <w:style w:type="paragraph" w:customStyle="1" w:styleId="369">
    <w:name w:val="表"/>
    <w:basedOn w:val="1"/>
    <w:next w:val="1"/>
    <w:link w:val="368"/>
    <w:autoRedefine/>
    <w:qFormat/>
    <w:uiPriority w:val="0"/>
    <w:pPr>
      <w:adjustRightInd w:val="0"/>
      <w:snapToGrid w:val="0"/>
      <w:jc w:val="center"/>
    </w:pPr>
    <w:rPr>
      <w:spacing w:val="2"/>
      <w:sz w:val="24"/>
      <w:szCs w:val="20"/>
    </w:rPr>
  </w:style>
  <w:style w:type="character" w:customStyle="1" w:styleId="370">
    <w:name w:val="style391"/>
    <w:autoRedefine/>
    <w:qFormat/>
    <w:uiPriority w:val="0"/>
    <w:rPr>
      <w:b/>
      <w:bCs/>
      <w:color w:val="005984"/>
      <w:sz w:val="21"/>
      <w:szCs w:val="21"/>
    </w:rPr>
  </w:style>
  <w:style w:type="character" w:customStyle="1" w:styleId="371">
    <w:name w:val="正文 首行缩进:  2 字符 Char"/>
    <w:link w:val="372"/>
    <w:autoRedefine/>
    <w:semiHidden/>
    <w:qFormat/>
    <w:uiPriority w:val="0"/>
    <w:rPr>
      <w:rFonts w:cs="宋体"/>
      <w:kern w:val="2"/>
      <w:sz w:val="24"/>
    </w:rPr>
  </w:style>
  <w:style w:type="paragraph" w:customStyle="1" w:styleId="372">
    <w:name w:val="正文 首行缩进:  2 字符"/>
    <w:basedOn w:val="1"/>
    <w:link w:val="371"/>
    <w:autoRedefine/>
    <w:semiHidden/>
    <w:qFormat/>
    <w:uiPriority w:val="0"/>
    <w:pPr>
      <w:snapToGrid w:val="0"/>
      <w:spacing w:line="500" w:lineRule="exact"/>
      <w:ind w:firstLine="480" w:firstLineChars="200"/>
      <w:jc w:val="left"/>
    </w:pPr>
    <w:rPr>
      <w:rFonts w:cs="宋体"/>
      <w:sz w:val="24"/>
      <w:szCs w:val="20"/>
    </w:rPr>
  </w:style>
  <w:style w:type="character" w:customStyle="1" w:styleId="373">
    <w:name w:val="样式91 Char Char"/>
    <w:link w:val="374"/>
    <w:autoRedefine/>
    <w:qFormat/>
    <w:uiPriority w:val="0"/>
    <w:rPr>
      <w:rFonts w:ascii="宋体" w:hAnsi="宋体"/>
      <w:color w:val="000000"/>
      <w:sz w:val="28"/>
      <w:szCs w:val="28"/>
    </w:rPr>
  </w:style>
  <w:style w:type="paragraph" w:customStyle="1" w:styleId="374">
    <w:name w:val="样式91"/>
    <w:basedOn w:val="1"/>
    <w:link w:val="373"/>
    <w:autoRedefine/>
    <w:qFormat/>
    <w:uiPriority w:val="0"/>
    <w:pPr>
      <w:spacing w:line="480" w:lineRule="exact"/>
      <w:ind w:firstLine="560" w:firstLineChars="200"/>
    </w:pPr>
    <w:rPr>
      <w:rFonts w:ascii="宋体" w:hAnsi="宋体"/>
      <w:color w:val="000000"/>
      <w:kern w:val="0"/>
      <w:sz w:val="28"/>
      <w:szCs w:val="28"/>
    </w:rPr>
  </w:style>
  <w:style w:type="character" w:customStyle="1" w:styleId="375">
    <w:name w:val="表内容 Char"/>
    <w:link w:val="376"/>
    <w:autoRedefine/>
    <w:qFormat/>
    <w:uiPriority w:val="0"/>
    <w:rPr>
      <w:kern w:val="2"/>
      <w:sz w:val="21"/>
    </w:rPr>
  </w:style>
  <w:style w:type="paragraph" w:customStyle="1" w:styleId="376">
    <w:name w:val="表内容"/>
    <w:basedOn w:val="1"/>
    <w:link w:val="375"/>
    <w:autoRedefine/>
    <w:qFormat/>
    <w:uiPriority w:val="0"/>
    <w:pPr>
      <w:spacing w:line="320" w:lineRule="exact"/>
      <w:jc w:val="center"/>
    </w:pPr>
    <w:rPr>
      <w:szCs w:val="20"/>
    </w:rPr>
  </w:style>
  <w:style w:type="character" w:customStyle="1" w:styleId="377">
    <w:name w:val="style81"/>
    <w:autoRedefine/>
    <w:qFormat/>
    <w:uiPriority w:val="0"/>
    <w:rPr>
      <w:rFonts w:hint="eastAsia" w:ascii="宋体" w:hAnsi="宋体" w:eastAsia="宋体"/>
    </w:rPr>
  </w:style>
  <w:style w:type="character" w:customStyle="1" w:styleId="378">
    <w:name w:val="s5y7c"/>
    <w:autoRedefine/>
    <w:qFormat/>
    <w:uiPriority w:val="0"/>
  </w:style>
  <w:style w:type="character" w:customStyle="1" w:styleId="379">
    <w:name w:val="title41"/>
    <w:autoRedefine/>
    <w:qFormat/>
    <w:uiPriority w:val="0"/>
  </w:style>
  <w:style w:type="character" w:customStyle="1" w:styleId="380">
    <w:name w:val="报告正文 Char"/>
    <w:link w:val="381"/>
    <w:autoRedefine/>
    <w:qFormat/>
    <w:uiPriority w:val="0"/>
    <w:rPr>
      <w:kern w:val="2"/>
      <w:sz w:val="24"/>
      <w:szCs w:val="24"/>
      <w:lang w:val="zh-CN"/>
    </w:rPr>
  </w:style>
  <w:style w:type="paragraph" w:customStyle="1" w:styleId="381">
    <w:name w:val="报告正文"/>
    <w:basedOn w:val="1"/>
    <w:link w:val="380"/>
    <w:autoRedefine/>
    <w:qFormat/>
    <w:uiPriority w:val="0"/>
    <w:pPr>
      <w:adjustRightInd w:val="0"/>
      <w:snapToGrid w:val="0"/>
      <w:spacing w:line="360" w:lineRule="auto"/>
      <w:ind w:firstLine="200" w:firstLineChars="200"/>
    </w:pPr>
    <w:rPr>
      <w:sz w:val="24"/>
      <w:lang w:val="zh-CN"/>
    </w:rPr>
  </w:style>
  <w:style w:type="character" w:customStyle="1" w:styleId="382">
    <w:name w:val="paragragh1"/>
    <w:autoRedefine/>
    <w:qFormat/>
    <w:uiPriority w:val="0"/>
    <w:rPr>
      <w:color w:val="004040"/>
      <w:sz w:val="21"/>
      <w:szCs w:val="21"/>
    </w:rPr>
  </w:style>
  <w:style w:type="character" w:customStyle="1" w:styleId="383">
    <w:name w:val="标题 1 Char Char"/>
    <w:autoRedefine/>
    <w:qFormat/>
    <w:uiPriority w:val="0"/>
    <w:rPr>
      <w:rFonts w:ascii="宋体" w:hAnsi="宋体" w:eastAsia="宋体" w:cs="宋体"/>
      <w:b/>
      <w:bCs/>
      <w:kern w:val="44"/>
      <w:sz w:val="44"/>
      <w:szCs w:val="44"/>
      <w:lang w:val="en-US" w:eastAsia="zh-CN" w:bidi="ar-SA"/>
    </w:rPr>
  </w:style>
  <w:style w:type="character" w:customStyle="1" w:styleId="384">
    <w:name w:val="表标题 Char Char"/>
    <w:autoRedefine/>
    <w:qFormat/>
    <w:uiPriority w:val="0"/>
    <w:rPr>
      <w:rFonts w:eastAsia="宋体"/>
      <w:b/>
      <w:bCs/>
      <w:sz w:val="24"/>
      <w:szCs w:val="18"/>
      <w:lang w:bidi="ar-SA"/>
    </w:rPr>
  </w:style>
  <w:style w:type="character" w:customStyle="1" w:styleId="385">
    <w:name w:val="t_tag"/>
    <w:autoRedefine/>
    <w:qFormat/>
    <w:uiPriority w:val="0"/>
    <w:rPr>
      <w:rFonts w:ascii="宋体" w:hAnsi="宋体" w:eastAsia="宋体" w:cs="宋体"/>
      <w:kern w:val="2"/>
      <w:sz w:val="24"/>
      <w:szCs w:val="24"/>
      <w:lang w:val="en-US" w:eastAsia="zh-CN" w:bidi="ar-SA"/>
    </w:rPr>
  </w:style>
  <w:style w:type="character" w:customStyle="1" w:styleId="386">
    <w:name w:val="s2ze7v"/>
    <w:autoRedefine/>
    <w:qFormat/>
    <w:uiPriority w:val="0"/>
  </w:style>
  <w:style w:type="character" w:customStyle="1" w:styleId="387">
    <w:name w:val="tpc_title"/>
    <w:autoRedefine/>
    <w:qFormat/>
    <w:uiPriority w:val="0"/>
    <w:rPr>
      <w:rFonts w:ascii="宋体" w:hAnsi="宋体" w:eastAsia="宋体" w:cs="宋体"/>
      <w:kern w:val="2"/>
      <w:sz w:val="24"/>
      <w:szCs w:val="24"/>
      <w:lang w:val="en-US" w:eastAsia="zh-CN" w:bidi="ar-SA"/>
    </w:rPr>
  </w:style>
  <w:style w:type="character" w:customStyle="1" w:styleId="388">
    <w:name w:val="gray_text12"/>
    <w:autoRedefine/>
    <w:qFormat/>
    <w:uiPriority w:val="0"/>
  </w:style>
  <w:style w:type="character" w:customStyle="1" w:styleId="389">
    <w:name w:val="样式 表格内容 + (符号) 宋体 Char"/>
    <w:link w:val="390"/>
    <w:autoRedefine/>
    <w:qFormat/>
    <w:uiPriority w:val="0"/>
    <w:rPr>
      <w:sz w:val="21"/>
      <w:szCs w:val="21"/>
    </w:rPr>
  </w:style>
  <w:style w:type="paragraph" w:customStyle="1" w:styleId="390">
    <w:name w:val="样式 表格内容 + (符号) 宋体"/>
    <w:basedOn w:val="324"/>
    <w:link w:val="389"/>
    <w:autoRedefine/>
    <w:qFormat/>
    <w:uiPriority w:val="0"/>
  </w:style>
  <w:style w:type="character" w:customStyle="1" w:styleId="391">
    <w:name w:val="报告书正文 Char"/>
    <w:autoRedefine/>
    <w:qFormat/>
    <w:uiPriority w:val="0"/>
    <w:rPr>
      <w:rFonts w:ascii="宋体" w:hAnsi="宋体" w:eastAsia="宋体" w:cs="宋体"/>
      <w:kern w:val="2"/>
      <w:sz w:val="24"/>
      <w:szCs w:val="24"/>
      <w:lang w:val="en-US" w:eastAsia="zh-CN" w:bidi="ar-SA"/>
    </w:rPr>
  </w:style>
  <w:style w:type="character" w:customStyle="1" w:styleId="392">
    <w:name w:val="甲乙酮正文 Char Char"/>
    <w:link w:val="393"/>
    <w:autoRedefine/>
    <w:qFormat/>
    <w:uiPriority w:val="0"/>
    <w:rPr>
      <w:color w:val="000000"/>
      <w:sz w:val="24"/>
      <w:szCs w:val="24"/>
    </w:rPr>
  </w:style>
  <w:style w:type="paragraph" w:customStyle="1" w:styleId="393">
    <w:name w:val="甲乙酮正文"/>
    <w:basedOn w:val="79"/>
    <w:link w:val="392"/>
    <w:autoRedefine/>
    <w:qFormat/>
    <w:uiPriority w:val="0"/>
    <w:pPr>
      <w:spacing w:after="0" w:line="360" w:lineRule="auto"/>
      <w:ind w:firstLine="200" w:firstLineChars="200"/>
      <w:jc w:val="left"/>
    </w:pPr>
    <w:rPr>
      <w:color w:val="000000"/>
      <w:kern w:val="0"/>
      <w:sz w:val="24"/>
    </w:rPr>
  </w:style>
  <w:style w:type="character" w:customStyle="1" w:styleId="394">
    <w:name w:val="正文文字 Char Char"/>
    <w:autoRedefine/>
    <w:qFormat/>
    <w:uiPriority w:val="0"/>
    <w:rPr>
      <w:rFonts w:ascii="宋体" w:hAnsi="宋体" w:eastAsia="宋体" w:cs="宋体"/>
      <w:kern w:val="2"/>
      <w:sz w:val="24"/>
      <w:szCs w:val="24"/>
      <w:lang w:val="en-US" w:eastAsia="zh-CN" w:bidi="ar-SA"/>
    </w:rPr>
  </w:style>
  <w:style w:type="character" w:customStyle="1" w:styleId="395">
    <w:name w:val="headline-content2"/>
    <w:autoRedefine/>
    <w:qFormat/>
    <w:uiPriority w:val="0"/>
  </w:style>
  <w:style w:type="character" w:customStyle="1" w:styleId="396">
    <w:name w:val="grame"/>
    <w:autoRedefine/>
    <w:qFormat/>
    <w:uiPriority w:val="0"/>
  </w:style>
  <w:style w:type="character" w:customStyle="1" w:styleId="397">
    <w:name w:val="报告 Char"/>
    <w:link w:val="398"/>
    <w:autoRedefine/>
    <w:qFormat/>
    <w:uiPriority w:val="0"/>
    <w:rPr>
      <w:sz w:val="24"/>
    </w:rPr>
  </w:style>
  <w:style w:type="paragraph" w:customStyle="1" w:styleId="398">
    <w:name w:val="报告"/>
    <w:basedOn w:val="1"/>
    <w:link w:val="397"/>
    <w:autoRedefine/>
    <w:qFormat/>
    <w:uiPriority w:val="0"/>
    <w:pPr>
      <w:adjustRightInd w:val="0"/>
      <w:spacing w:line="360" w:lineRule="auto"/>
      <w:ind w:firstLine="505"/>
      <w:textAlignment w:val="baseline"/>
    </w:pPr>
    <w:rPr>
      <w:kern w:val="0"/>
      <w:sz w:val="24"/>
      <w:szCs w:val="20"/>
    </w:rPr>
  </w:style>
  <w:style w:type="character" w:customStyle="1" w:styleId="399">
    <w:name w:val="dash6b63-6587--char"/>
    <w:autoRedefine/>
    <w:qFormat/>
    <w:uiPriority w:val="0"/>
    <w:rPr>
      <w:rFonts w:ascii="宋体" w:hAnsi="宋体" w:eastAsia="宋体" w:cs="宋体"/>
      <w:kern w:val="2"/>
      <w:sz w:val="24"/>
      <w:szCs w:val="24"/>
      <w:lang w:val="en-US" w:eastAsia="zh-CN" w:bidi="ar-SA"/>
    </w:rPr>
  </w:style>
  <w:style w:type="character" w:customStyle="1" w:styleId="400">
    <w:name w:val="dz1"/>
    <w:autoRedefine/>
    <w:qFormat/>
    <w:uiPriority w:val="0"/>
    <w:rPr>
      <w:rFonts w:hint="default" w:ascii="ˎ̥" w:hAnsi="ˎ̥"/>
      <w:sz w:val="30"/>
      <w:szCs w:val="30"/>
    </w:rPr>
  </w:style>
  <w:style w:type="character" w:customStyle="1" w:styleId="401">
    <w:name w:val="seecix"/>
    <w:autoRedefine/>
    <w:qFormat/>
    <w:uiPriority w:val="0"/>
  </w:style>
  <w:style w:type="character" w:customStyle="1" w:styleId="402">
    <w:name w:val="表头王 Char"/>
    <w:link w:val="403"/>
    <w:autoRedefine/>
    <w:semiHidden/>
    <w:qFormat/>
    <w:uiPriority w:val="0"/>
    <w:rPr>
      <w:rFonts w:ascii="宋体" w:hAnsi="宋体"/>
      <w:b/>
      <w:color w:val="000000"/>
      <w:sz w:val="24"/>
      <w:szCs w:val="24"/>
      <w:lang w:val="zh-CN"/>
    </w:rPr>
  </w:style>
  <w:style w:type="paragraph" w:customStyle="1" w:styleId="403">
    <w:name w:val="表头王"/>
    <w:basedOn w:val="1"/>
    <w:link w:val="402"/>
    <w:autoRedefine/>
    <w:semiHidden/>
    <w:qFormat/>
    <w:uiPriority w:val="0"/>
    <w:pPr>
      <w:adjustRightInd w:val="0"/>
      <w:snapToGrid w:val="0"/>
      <w:spacing w:line="360" w:lineRule="auto"/>
      <w:jc w:val="center"/>
    </w:pPr>
    <w:rPr>
      <w:rFonts w:ascii="宋体" w:hAnsi="宋体"/>
      <w:b/>
      <w:color w:val="000000"/>
      <w:kern w:val="0"/>
      <w:sz w:val="24"/>
      <w:lang w:val="zh-CN"/>
    </w:rPr>
  </w:style>
  <w:style w:type="character" w:customStyle="1" w:styleId="404">
    <w:name w:val="s8h0t"/>
    <w:autoRedefine/>
    <w:qFormat/>
    <w:uiPriority w:val="0"/>
  </w:style>
  <w:style w:type="character" w:customStyle="1" w:styleId="405">
    <w:name w:val="样式1 Char"/>
    <w:autoRedefine/>
    <w:qFormat/>
    <w:uiPriority w:val="0"/>
    <w:rPr>
      <w:rFonts w:ascii="宋体" w:hAnsi="宋体" w:eastAsia="宋体" w:cs="宋体"/>
      <w:b/>
      <w:bCs/>
      <w:kern w:val="2"/>
      <w:sz w:val="24"/>
      <w:szCs w:val="24"/>
      <w:lang w:val="en-US" w:eastAsia="zh-CN" w:bidi="ar-SA"/>
    </w:rPr>
  </w:style>
  <w:style w:type="character" w:styleId="406">
    <w:name w:val="Placeholder Text"/>
    <w:autoRedefine/>
    <w:qFormat/>
    <w:uiPriority w:val="0"/>
    <w:rPr>
      <w:color w:val="808080"/>
    </w:rPr>
  </w:style>
  <w:style w:type="character" w:customStyle="1" w:styleId="407">
    <w:name w:val="正文文本 Char Char"/>
    <w:autoRedefine/>
    <w:qFormat/>
    <w:uiPriority w:val="0"/>
    <w:rPr>
      <w:rFonts w:eastAsia="宋体"/>
      <w:kern w:val="2"/>
      <w:sz w:val="28"/>
      <w:szCs w:val="24"/>
      <w:lang w:val="en-US" w:eastAsia="zh-CN" w:bidi="ar-SA"/>
    </w:rPr>
  </w:style>
  <w:style w:type="character" w:customStyle="1" w:styleId="408">
    <w:name w:val="Char Char19"/>
    <w:autoRedefine/>
    <w:qFormat/>
    <w:uiPriority w:val="0"/>
    <w:rPr>
      <w:rFonts w:eastAsia="仿宋_GB2312"/>
      <w:sz w:val="18"/>
      <w:lang w:val="en-US" w:eastAsia="zh-CN" w:bidi="ar-SA"/>
    </w:rPr>
  </w:style>
  <w:style w:type="character" w:customStyle="1" w:styleId="409">
    <w:name w:val="尾注文本 字符1"/>
    <w:autoRedefine/>
    <w:qFormat/>
    <w:uiPriority w:val="0"/>
    <w:rPr>
      <w:kern w:val="2"/>
      <w:sz w:val="21"/>
      <w:szCs w:val="24"/>
    </w:rPr>
  </w:style>
  <w:style w:type="character" w:customStyle="1" w:styleId="410">
    <w:name w:val="样式 正文 首行缩进:  2 字符 + (中文) 楷体_GB2312 Char"/>
    <w:link w:val="411"/>
    <w:autoRedefine/>
    <w:semiHidden/>
    <w:qFormat/>
    <w:uiPriority w:val="0"/>
    <w:rPr>
      <w:rFonts w:eastAsia="楷体_GB2312" w:cs="宋体"/>
      <w:kern w:val="2"/>
      <w:sz w:val="24"/>
      <w:szCs w:val="24"/>
    </w:rPr>
  </w:style>
  <w:style w:type="paragraph" w:customStyle="1" w:styleId="411">
    <w:name w:val="样式 正文 首行缩进:  2 字符 + (中文) 楷体_GB2312"/>
    <w:basedOn w:val="372"/>
    <w:link w:val="410"/>
    <w:autoRedefine/>
    <w:semiHidden/>
    <w:qFormat/>
    <w:uiPriority w:val="0"/>
    <w:pPr>
      <w:adjustRightInd w:val="0"/>
      <w:ind w:firstLine="200"/>
      <w:jc w:val="both"/>
    </w:pPr>
    <w:rPr>
      <w:rFonts w:eastAsia="楷体_GB2312"/>
      <w:szCs w:val="24"/>
    </w:rPr>
  </w:style>
  <w:style w:type="character" w:customStyle="1" w:styleId="412">
    <w:name w:val="样式 小四 行距: 1.5 倍行距 Char Char"/>
    <w:link w:val="413"/>
    <w:autoRedefine/>
    <w:qFormat/>
    <w:uiPriority w:val="0"/>
    <w:rPr>
      <w:sz w:val="24"/>
      <w:szCs w:val="24"/>
    </w:rPr>
  </w:style>
  <w:style w:type="paragraph" w:customStyle="1" w:styleId="413">
    <w:name w:val="样式 小四 行距: 1.5 倍行距"/>
    <w:basedOn w:val="1"/>
    <w:link w:val="412"/>
    <w:autoRedefine/>
    <w:qFormat/>
    <w:uiPriority w:val="0"/>
    <w:pPr>
      <w:spacing w:line="360" w:lineRule="auto"/>
      <w:ind w:firstLine="480" w:firstLineChars="200"/>
    </w:pPr>
    <w:rPr>
      <w:kern w:val="0"/>
      <w:sz w:val="24"/>
    </w:rPr>
  </w:style>
  <w:style w:type="character" w:customStyle="1" w:styleId="414">
    <w:name w:val="正文(首行缩进) Char Char"/>
    <w:link w:val="415"/>
    <w:autoRedefine/>
    <w:qFormat/>
    <w:uiPriority w:val="0"/>
    <w:rPr>
      <w:rFonts w:ascii="宋体" w:hAnsi="宋体"/>
      <w:color w:val="000000"/>
      <w:kern w:val="2"/>
      <w:sz w:val="24"/>
      <w:szCs w:val="24"/>
    </w:rPr>
  </w:style>
  <w:style w:type="paragraph" w:customStyle="1" w:styleId="415">
    <w:name w:val="正文(首行缩进)"/>
    <w:basedOn w:val="1"/>
    <w:link w:val="414"/>
    <w:autoRedefine/>
    <w:qFormat/>
    <w:uiPriority w:val="0"/>
    <w:pPr>
      <w:spacing w:line="360" w:lineRule="auto"/>
      <w:ind w:firstLine="540" w:firstLineChars="225"/>
    </w:pPr>
    <w:rPr>
      <w:rFonts w:ascii="宋体" w:hAnsi="宋体"/>
      <w:color w:val="000000"/>
      <w:sz w:val="24"/>
    </w:rPr>
  </w:style>
  <w:style w:type="character" w:customStyle="1" w:styleId="416">
    <w:name w:val="表格文字 Char Char"/>
    <w:link w:val="417"/>
    <w:autoRedefine/>
    <w:qFormat/>
    <w:uiPriority w:val="0"/>
    <w:rPr>
      <w:rFonts w:ascii="仿宋_GB2312" w:hAnsi="Arial Black" w:eastAsia="仿宋_GB2312"/>
      <w:kern w:val="44"/>
      <w:sz w:val="24"/>
    </w:rPr>
  </w:style>
  <w:style w:type="paragraph" w:customStyle="1" w:styleId="417">
    <w:name w:val="表格文字"/>
    <w:basedOn w:val="1"/>
    <w:link w:val="416"/>
    <w:autoRedefine/>
    <w:qFormat/>
    <w:uiPriority w:val="0"/>
    <w:pPr>
      <w:jc w:val="center"/>
    </w:pPr>
    <w:rPr>
      <w:rFonts w:ascii="仿宋_GB2312" w:hAnsi="Arial Black" w:eastAsia="仿宋_GB2312"/>
      <w:kern w:val="44"/>
      <w:sz w:val="24"/>
      <w:szCs w:val="20"/>
    </w:rPr>
  </w:style>
  <w:style w:type="character" w:customStyle="1" w:styleId="418">
    <w:name w:val="标题 Char Char"/>
    <w:autoRedefine/>
    <w:qFormat/>
    <w:uiPriority w:val="0"/>
    <w:rPr>
      <w:rFonts w:ascii="Arial" w:hAnsi="Arial" w:eastAsia="宋体" w:cs="Arial"/>
      <w:b/>
      <w:bCs/>
      <w:sz w:val="32"/>
      <w:szCs w:val="32"/>
      <w:lang w:val="en-US" w:eastAsia="zh-CN" w:bidi="ar-SA"/>
    </w:rPr>
  </w:style>
  <w:style w:type="character" w:customStyle="1" w:styleId="419">
    <w:name w:val="Char Char4"/>
    <w:autoRedefine/>
    <w:qFormat/>
    <w:uiPriority w:val="0"/>
    <w:rPr>
      <w:rFonts w:ascii="宋体" w:hAnsi="宋体" w:eastAsia="宋体" w:cs="宋体"/>
      <w:kern w:val="2"/>
      <w:sz w:val="24"/>
      <w:szCs w:val="24"/>
      <w:lang w:val="en-US" w:eastAsia="zh-CN" w:bidi="ar-SA"/>
    </w:rPr>
  </w:style>
  <w:style w:type="character" w:customStyle="1" w:styleId="420">
    <w:name w:val="样式35 Char Char"/>
    <w:link w:val="421"/>
    <w:autoRedefine/>
    <w:qFormat/>
    <w:uiPriority w:val="0"/>
    <w:rPr>
      <w:color w:val="000000"/>
      <w:sz w:val="28"/>
      <w:szCs w:val="28"/>
    </w:rPr>
  </w:style>
  <w:style w:type="paragraph" w:customStyle="1" w:styleId="421">
    <w:name w:val="样式35"/>
    <w:basedOn w:val="1"/>
    <w:link w:val="420"/>
    <w:autoRedefine/>
    <w:qFormat/>
    <w:uiPriority w:val="0"/>
    <w:pPr>
      <w:snapToGrid w:val="0"/>
      <w:spacing w:line="360" w:lineRule="auto"/>
      <w:ind w:firstLine="560" w:firstLineChars="200"/>
    </w:pPr>
    <w:rPr>
      <w:color w:val="000000"/>
      <w:kern w:val="0"/>
      <w:sz w:val="28"/>
      <w:szCs w:val="28"/>
    </w:rPr>
  </w:style>
  <w:style w:type="character" w:customStyle="1" w:styleId="422">
    <w:name w:val="bt21"/>
    <w:autoRedefine/>
    <w:qFormat/>
    <w:uiPriority w:val="0"/>
    <w:rPr>
      <w:rFonts w:hint="eastAsia" w:ascii="黑体" w:eastAsia="黑体"/>
      <w:sz w:val="24"/>
      <w:szCs w:val="24"/>
    </w:rPr>
  </w:style>
  <w:style w:type="character" w:customStyle="1" w:styleId="423">
    <w:name w:val="表标题 Char"/>
    <w:link w:val="424"/>
    <w:autoRedefine/>
    <w:qFormat/>
    <w:uiPriority w:val="0"/>
    <w:rPr>
      <w:b/>
      <w:bCs/>
      <w:kern w:val="2"/>
      <w:sz w:val="24"/>
      <w:szCs w:val="18"/>
    </w:rPr>
  </w:style>
  <w:style w:type="paragraph" w:customStyle="1" w:styleId="424">
    <w:name w:val="表标题"/>
    <w:basedOn w:val="79"/>
    <w:link w:val="423"/>
    <w:autoRedefine/>
    <w:qFormat/>
    <w:uiPriority w:val="0"/>
    <w:pPr>
      <w:adjustRightInd w:val="0"/>
      <w:snapToGrid w:val="0"/>
      <w:spacing w:before="60" w:after="60" w:line="500" w:lineRule="exact"/>
      <w:ind w:firstLine="0" w:firstLineChars="0"/>
      <w:jc w:val="center"/>
    </w:pPr>
    <w:rPr>
      <w:b/>
      <w:bCs/>
      <w:sz w:val="24"/>
      <w:szCs w:val="18"/>
    </w:rPr>
  </w:style>
  <w:style w:type="character" w:customStyle="1" w:styleId="425">
    <w:name w:val="样式 标题 3H31.1.1标题 3条标题1.1.1h3level_3PIM 3Level 3 HeadHead... Char Char"/>
    <w:link w:val="426"/>
    <w:autoRedefine/>
    <w:qFormat/>
    <w:uiPriority w:val="0"/>
    <w:rPr>
      <w:rFonts w:ascii="黑体" w:hAnsi="黑体" w:eastAsia="黑体"/>
      <w:sz w:val="28"/>
      <w:szCs w:val="32"/>
    </w:rPr>
  </w:style>
  <w:style w:type="paragraph" w:customStyle="1" w:styleId="426">
    <w:name w:val="样式 标题 3H31.1.1标题 3条标题1.1.1h3level_3PIM 3Level 3 HeadHead..."/>
    <w:basedOn w:val="5"/>
    <w:link w:val="425"/>
    <w:autoRedefine/>
    <w:qFormat/>
    <w:uiPriority w:val="0"/>
    <w:pPr>
      <w:tabs>
        <w:tab w:val="left" w:pos="1260"/>
      </w:tabs>
      <w:spacing w:line="360" w:lineRule="auto"/>
      <w:ind w:left="1260" w:hanging="420"/>
    </w:pPr>
    <w:rPr>
      <w:rFonts w:ascii="黑体" w:hAnsi="黑体" w:eastAsia="黑体"/>
      <w:b w:val="0"/>
      <w:bCs w:val="0"/>
      <w:kern w:val="0"/>
      <w:sz w:val="28"/>
    </w:rPr>
  </w:style>
  <w:style w:type="character" w:customStyle="1" w:styleId="427">
    <w:name w:val="sovnn"/>
    <w:autoRedefine/>
    <w:qFormat/>
    <w:uiPriority w:val="0"/>
  </w:style>
  <w:style w:type="character" w:customStyle="1" w:styleId="428">
    <w:name w:val="si16"/>
    <w:autoRedefine/>
    <w:qFormat/>
    <w:uiPriority w:val="0"/>
  </w:style>
  <w:style w:type="character" w:customStyle="1" w:styleId="429">
    <w:name w:val="样式26 Char Char"/>
    <w:link w:val="430"/>
    <w:autoRedefine/>
    <w:qFormat/>
    <w:uiPriority w:val="0"/>
    <w:rPr>
      <w:rFonts w:ascii="宋体" w:hAnsi="宋体"/>
      <w:color w:val="000000"/>
      <w:sz w:val="28"/>
      <w:szCs w:val="24"/>
    </w:rPr>
  </w:style>
  <w:style w:type="paragraph" w:customStyle="1" w:styleId="430">
    <w:name w:val="样式26"/>
    <w:basedOn w:val="1"/>
    <w:link w:val="429"/>
    <w:autoRedefine/>
    <w:qFormat/>
    <w:uiPriority w:val="0"/>
    <w:pPr>
      <w:spacing w:line="520" w:lineRule="exact"/>
      <w:ind w:firstLine="560" w:firstLineChars="200"/>
      <w:jc w:val="left"/>
    </w:pPr>
    <w:rPr>
      <w:rFonts w:ascii="宋体" w:hAnsi="宋体"/>
      <w:color w:val="000000"/>
      <w:kern w:val="0"/>
      <w:sz w:val="28"/>
    </w:rPr>
  </w:style>
  <w:style w:type="character" w:customStyle="1" w:styleId="431">
    <w:name w:val="c"/>
    <w:autoRedefine/>
    <w:qFormat/>
    <w:uiPriority w:val="0"/>
    <w:rPr>
      <w:rFonts w:ascii="宋体" w:hAnsi="宋体" w:eastAsia="宋体" w:cs="宋体"/>
      <w:kern w:val="2"/>
      <w:sz w:val="24"/>
      <w:szCs w:val="24"/>
      <w:lang w:val="en-US" w:eastAsia="zh-CN" w:bidi="ar-SA"/>
    </w:rPr>
  </w:style>
  <w:style w:type="character" w:customStyle="1" w:styleId="432">
    <w:name w:val="条标题1.1.1 Char1"/>
    <w:autoRedefine/>
    <w:qFormat/>
    <w:uiPriority w:val="0"/>
    <w:rPr>
      <w:b/>
      <w:bCs/>
      <w:sz w:val="24"/>
      <w:szCs w:val="32"/>
    </w:rPr>
  </w:style>
  <w:style w:type="character" w:customStyle="1" w:styleId="433">
    <w:name w:val="正文四号ss Char Char"/>
    <w:link w:val="434"/>
    <w:autoRedefine/>
    <w:qFormat/>
    <w:uiPriority w:val="0"/>
    <w:rPr>
      <w:rFonts w:ascii="宋体" w:hAnsi="宋体"/>
      <w:sz w:val="28"/>
      <w:szCs w:val="28"/>
    </w:rPr>
  </w:style>
  <w:style w:type="paragraph" w:customStyle="1" w:styleId="434">
    <w:name w:val="正文四号ss"/>
    <w:basedOn w:val="1"/>
    <w:next w:val="1"/>
    <w:link w:val="433"/>
    <w:autoRedefine/>
    <w:qFormat/>
    <w:uiPriority w:val="0"/>
    <w:pPr>
      <w:spacing w:line="520" w:lineRule="exact"/>
      <w:ind w:firstLine="200" w:firstLineChars="200"/>
    </w:pPr>
    <w:rPr>
      <w:rFonts w:ascii="宋体" w:hAnsi="宋体"/>
      <w:kern w:val="0"/>
      <w:sz w:val="28"/>
      <w:szCs w:val="28"/>
    </w:rPr>
  </w:style>
  <w:style w:type="character" w:customStyle="1" w:styleId="435">
    <w:name w:val="scu4wkd"/>
    <w:autoRedefine/>
    <w:qFormat/>
    <w:uiPriority w:val="0"/>
  </w:style>
  <w:style w:type="character" w:customStyle="1" w:styleId="436">
    <w:name w:val="申兴正文 Char Char"/>
    <w:link w:val="437"/>
    <w:autoRedefine/>
    <w:qFormat/>
    <w:uiPriority w:val="0"/>
    <w:rPr>
      <w:sz w:val="24"/>
      <w:szCs w:val="24"/>
    </w:rPr>
  </w:style>
  <w:style w:type="paragraph" w:customStyle="1" w:styleId="437">
    <w:name w:val="申兴正文"/>
    <w:basedOn w:val="1"/>
    <w:link w:val="436"/>
    <w:autoRedefine/>
    <w:qFormat/>
    <w:uiPriority w:val="0"/>
    <w:pPr>
      <w:spacing w:line="360" w:lineRule="auto"/>
      <w:ind w:firstLine="200" w:firstLineChars="200"/>
    </w:pPr>
    <w:rPr>
      <w:kern w:val="0"/>
      <w:sz w:val="24"/>
    </w:rPr>
  </w:style>
  <w:style w:type="character" w:customStyle="1" w:styleId="438">
    <w:name w:val="标题 7表内5号 Char1"/>
    <w:autoRedefine/>
    <w:qFormat/>
    <w:uiPriority w:val="0"/>
    <w:rPr>
      <w:rFonts w:eastAsia="宋体"/>
      <w:b/>
      <w:bCs/>
      <w:sz w:val="24"/>
      <w:szCs w:val="24"/>
      <w:lang w:bidi="ar-SA"/>
    </w:rPr>
  </w:style>
  <w:style w:type="character" w:customStyle="1" w:styleId="439">
    <w:name w:val="satajq8"/>
    <w:autoRedefine/>
    <w:qFormat/>
    <w:uiPriority w:val="0"/>
  </w:style>
  <w:style w:type="character" w:customStyle="1" w:styleId="440">
    <w:name w:val="样式 标题 4 + 行距: 1.5 倍行距 Char"/>
    <w:link w:val="441"/>
    <w:autoRedefine/>
    <w:qFormat/>
    <w:uiPriority w:val="0"/>
    <w:rPr>
      <w:rFonts w:ascii="Cambria" w:hAnsi="Cambria" w:eastAsia="黑体" w:cs="宋体"/>
      <w:b/>
      <w:bCs/>
      <w:kern w:val="2"/>
      <w:sz w:val="24"/>
      <w:szCs w:val="28"/>
    </w:rPr>
  </w:style>
  <w:style w:type="paragraph" w:customStyle="1" w:styleId="441">
    <w:name w:val="样式 标题 4 + 行距: 1.5 倍行距"/>
    <w:basedOn w:val="6"/>
    <w:link w:val="440"/>
    <w:autoRedefine/>
    <w:qFormat/>
    <w:uiPriority w:val="0"/>
    <w:pPr>
      <w:snapToGrid w:val="0"/>
      <w:spacing w:before="0" w:beforeLines="50" w:after="0" w:line="360" w:lineRule="auto"/>
      <w:ind w:left="2884" w:hanging="2884"/>
      <w:jc w:val="left"/>
    </w:pPr>
    <w:rPr>
      <w:rFonts w:eastAsia="黑体" w:cs="宋体"/>
      <w:sz w:val="24"/>
    </w:rPr>
  </w:style>
  <w:style w:type="character" w:customStyle="1" w:styleId="442">
    <w:name w:val="正文1 Char Char"/>
    <w:autoRedefine/>
    <w:qFormat/>
    <w:uiPriority w:val="0"/>
    <w:rPr>
      <w:rFonts w:ascii="宋体" w:eastAsia="宋体"/>
      <w:snapToGrid/>
      <w:kern w:val="21"/>
      <w:position w:val="2"/>
      <w:sz w:val="24"/>
      <w:lang w:val="en-US" w:eastAsia="zh-CN" w:bidi="ar-SA"/>
    </w:rPr>
  </w:style>
  <w:style w:type="character" w:customStyle="1" w:styleId="443">
    <w:name w:val="正文缩进 Char1"/>
    <w:autoRedefine/>
    <w:qFormat/>
    <w:uiPriority w:val="0"/>
    <w:rPr>
      <w:kern w:val="2"/>
      <w:sz w:val="21"/>
      <w:szCs w:val="24"/>
      <w:lang w:val="zh-CN" w:eastAsia="zh-CN"/>
    </w:rPr>
  </w:style>
  <w:style w:type="character" w:customStyle="1" w:styleId="444">
    <w:name w:val="正文01 Char Char"/>
    <w:link w:val="445"/>
    <w:autoRedefine/>
    <w:qFormat/>
    <w:uiPriority w:val="0"/>
    <w:rPr>
      <w:rFonts w:ascii="Arial" w:hAnsi="Arial"/>
      <w:sz w:val="24"/>
    </w:rPr>
  </w:style>
  <w:style w:type="paragraph" w:customStyle="1" w:styleId="445">
    <w:name w:val="正文01"/>
    <w:basedOn w:val="1"/>
    <w:link w:val="444"/>
    <w:autoRedefine/>
    <w:qFormat/>
    <w:uiPriority w:val="0"/>
    <w:pPr>
      <w:spacing w:before="60" w:line="460" w:lineRule="exact"/>
      <w:ind w:firstLine="200" w:firstLineChars="200"/>
    </w:pPr>
    <w:rPr>
      <w:rFonts w:ascii="Arial" w:hAnsi="Arial"/>
      <w:kern w:val="0"/>
      <w:sz w:val="24"/>
      <w:szCs w:val="20"/>
    </w:rPr>
  </w:style>
  <w:style w:type="character" w:customStyle="1" w:styleId="446">
    <w:name w:val="正文 Char Char"/>
    <w:autoRedefine/>
    <w:qFormat/>
    <w:uiPriority w:val="0"/>
    <w:rPr>
      <w:rFonts w:ascii="仿宋_GB2312" w:hAnsi="宋体" w:eastAsia="仿宋_GB2312"/>
      <w:color w:val="000000"/>
      <w:kern w:val="2"/>
      <w:sz w:val="28"/>
      <w:szCs w:val="24"/>
      <w:lang w:val="en-US" w:eastAsia="zh-CN" w:bidi="ar-SA"/>
    </w:rPr>
  </w:style>
  <w:style w:type="character" w:customStyle="1" w:styleId="447">
    <w:name w:val="甲乙酮正文 Char Char Char"/>
    <w:autoRedefine/>
    <w:qFormat/>
    <w:uiPriority w:val="0"/>
    <w:rPr>
      <w:rFonts w:ascii="Times New Roman" w:hAnsi="Times New Roman" w:eastAsia="宋体" w:cs="Times New Roman"/>
      <w:color w:val="000000"/>
      <w:sz w:val="24"/>
      <w:szCs w:val="24"/>
    </w:rPr>
  </w:style>
  <w:style w:type="character" w:customStyle="1" w:styleId="448">
    <w:name w:val="表格内容 Char Char Char"/>
    <w:autoRedefine/>
    <w:qFormat/>
    <w:uiPriority w:val="0"/>
    <w:rPr>
      <w:rFonts w:ascii="Arial" w:hAnsi="Arial" w:eastAsia="仿宋_GB2312"/>
      <w:sz w:val="24"/>
      <w:lang w:val="en-US" w:eastAsia="zh-CN" w:bidi="ar-SA"/>
    </w:rPr>
  </w:style>
  <w:style w:type="character" w:customStyle="1" w:styleId="449">
    <w:name w:val="表格内文字 Char Char Char"/>
    <w:autoRedefine/>
    <w:qFormat/>
    <w:uiPriority w:val="0"/>
    <w:rPr>
      <w:rFonts w:ascii="仿宋_GB2312" w:eastAsia="仿宋_GB2312"/>
      <w:kern w:val="2"/>
      <w:sz w:val="24"/>
      <w:szCs w:val="24"/>
      <w:lang w:val="en-US" w:eastAsia="zh-CN" w:bidi="ar-SA"/>
    </w:rPr>
  </w:style>
  <w:style w:type="character" w:customStyle="1" w:styleId="450">
    <w:name w:val="part"/>
    <w:autoRedefine/>
    <w:qFormat/>
    <w:uiPriority w:val="0"/>
    <w:rPr>
      <w:rFonts w:ascii="宋体" w:hAnsi="宋体" w:eastAsia="宋体" w:cs="宋体"/>
      <w:kern w:val="2"/>
      <w:sz w:val="24"/>
      <w:szCs w:val="24"/>
      <w:lang w:val="en-US" w:eastAsia="zh-CN" w:bidi="ar-SA"/>
    </w:rPr>
  </w:style>
  <w:style w:type="character" w:customStyle="1" w:styleId="451">
    <w:name w:val="样式2 Char Char"/>
    <w:autoRedefine/>
    <w:qFormat/>
    <w:uiPriority w:val="0"/>
    <w:rPr>
      <w:rFonts w:eastAsia="Times New Roman"/>
      <w:kern w:val="2"/>
      <w:sz w:val="24"/>
      <w:lang w:val="en-US" w:eastAsia="zh-CN" w:bidi="ar-SA"/>
    </w:rPr>
  </w:style>
  <w:style w:type="character" w:customStyle="1" w:styleId="452">
    <w:name w:val="td21"/>
    <w:autoRedefine/>
    <w:qFormat/>
    <w:uiPriority w:val="0"/>
    <w:rPr>
      <w:sz w:val="21"/>
      <w:szCs w:val="21"/>
      <w:u w:val="none"/>
    </w:rPr>
  </w:style>
  <w:style w:type="character" w:customStyle="1" w:styleId="453">
    <w:name w:val="highlight1"/>
    <w:autoRedefine/>
    <w:qFormat/>
    <w:uiPriority w:val="0"/>
    <w:rPr>
      <w:sz w:val="21"/>
    </w:rPr>
  </w:style>
  <w:style w:type="character" w:customStyle="1" w:styleId="454">
    <w:name w:val="宋体4 Char Char"/>
    <w:link w:val="455"/>
    <w:autoRedefine/>
    <w:qFormat/>
    <w:uiPriority w:val="0"/>
    <w:rPr>
      <w:sz w:val="28"/>
      <w:szCs w:val="48"/>
    </w:rPr>
  </w:style>
  <w:style w:type="paragraph" w:customStyle="1" w:styleId="455">
    <w:name w:val="宋体4"/>
    <w:basedOn w:val="1"/>
    <w:link w:val="454"/>
    <w:autoRedefine/>
    <w:qFormat/>
    <w:uiPriority w:val="0"/>
    <w:pPr>
      <w:spacing w:line="360" w:lineRule="auto"/>
      <w:ind w:firstLine="200" w:firstLineChars="200"/>
    </w:pPr>
    <w:rPr>
      <w:kern w:val="0"/>
      <w:sz w:val="28"/>
      <w:szCs w:val="48"/>
    </w:rPr>
  </w:style>
  <w:style w:type="character" w:customStyle="1" w:styleId="456">
    <w:name w:val="indetail1"/>
    <w:autoRedefine/>
    <w:qFormat/>
    <w:uiPriority w:val="0"/>
    <w:rPr>
      <w:sz w:val="18"/>
      <w:szCs w:val="18"/>
      <w:bdr w:val="single" w:color="E2E2E2" w:sz="6" w:space="0"/>
    </w:rPr>
  </w:style>
  <w:style w:type="character" w:customStyle="1" w:styleId="457">
    <w:name w:val="专用字体 Char Char"/>
    <w:link w:val="458"/>
    <w:autoRedefine/>
    <w:qFormat/>
    <w:uiPriority w:val="0"/>
    <w:rPr>
      <w:bCs/>
      <w:sz w:val="24"/>
      <w:szCs w:val="24"/>
    </w:rPr>
  </w:style>
  <w:style w:type="paragraph" w:customStyle="1" w:styleId="458">
    <w:name w:val="专用字体"/>
    <w:basedOn w:val="1"/>
    <w:link w:val="457"/>
    <w:autoRedefine/>
    <w:qFormat/>
    <w:uiPriority w:val="0"/>
    <w:pPr>
      <w:spacing w:line="360" w:lineRule="auto"/>
      <w:ind w:firstLine="200" w:firstLineChars="200"/>
    </w:pPr>
    <w:rPr>
      <w:bCs/>
      <w:kern w:val="0"/>
      <w:sz w:val="24"/>
    </w:rPr>
  </w:style>
  <w:style w:type="character" w:customStyle="1" w:styleId="459">
    <w:name w:val="甲乙酮标题3 Char Char"/>
    <w:link w:val="460"/>
    <w:autoRedefine/>
    <w:qFormat/>
    <w:uiPriority w:val="0"/>
    <w:rPr>
      <w:b/>
      <w:bCs/>
      <w:sz w:val="32"/>
      <w:szCs w:val="32"/>
    </w:rPr>
  </w:style>
  <w:style w:type="paragraph" w:customStyle="1" w:styleId="460">
    <w:name w:val="甲乙酮标题3"/>
    <w:basedOn w:val="5"/>
    <w:link w:val="459"/>
    <w:autoRedefine/>
    <w:qFormat/>
    <w:uiPriority w:val="0"/>
    <w:pPr>
      <w:tabs>
        <w:tab w:val="left" w:pos="1260"/>
      </w:tabs>
      <w:spacing w:before="100" w:after="100" w:line="360" w:lineRule="auto"/>
      <w:ind w:left="1260" w:hanging="420"/>
    </w:pPr>
    <w:rPr>
      <w:kern w:val="0"/>
    </w:rPr>
  </w:style>
  <w:style w:type="character" w:customStyle="1" w:styleId="461">
    <w:name w:val="Char Char Char1"/>
    <w:autoRedefine/>
    <w:qFormat/>
    <w:uiPriority w:val="0"/>
    <w:rPr>
      <w:rFonts w:ascii="宋体" w:hAnsi="Courier New" w:eastAsia="宋体" w:cs="Courier New"/>
      <w:kern w:val="2"/>
      <w:sz w:val="21"/>
      <w:szCs w:val="21"/>
      <w:lang w:val="en-US" w:eastAsia="zh-CN" w:bidi="ar-SA"/>
    </w:rPr>
  </w:style>
  <w:style w:type="character" w:customStyle="1" w:styleId="462">
    <w:name w:val="表格填充1 Char Char"/>
    <w:autoRedefine/>
    <w:qFormat/>
    <w:uiPriority w:val="0"/>
    <w:rPr>
      <w:rFonts w:eastAsia="宋体"/>
      <w:szCs w:val="18"/>
      <w:lang w:bidi="ar-SA"/>
    </w:rPr>
  </w:style>
  <w:style w:type="character" w:customStyle="1" w:styleId="463">
    <w:name w:val="表格文字1 Char Char"/>
    <w:link w:val="464"/>
    <w:autoRedefine/>
    <w:qFormat/>
    <w:uiPriority w:val="0"/>
    <w:rPr>
      <w:bCs/>
      <w:color w:val="000000"/>
      <w:szCs w:val="21"/>
    </w:rPr>
  </w:style>
  <w:style w:type="paragraph" w:customStyle="1" w:styleId="464">
    <w:name w:val="表格文字1"/>
    <w:basedOn w:val="178"/>
    <w:link w:val="463"/>
    <w:autoRedefine/>
    <w:qFormat/>
    <w:uiPriority w:val="0"/>
    <w:rPr>
      <w:rFonts w:eastAsia="宋体"/>
      <w:bCs/>
      <w:color w:val="000000"/>
      <w:kern w:val="0"/>
      <w:sz w:val="20"/>
    </w:rPr>
  </w:style>
  <w:style w:type="character" w:customStyle="1" w:styleId="465">
    <w:name w:val="标题1.1.1.1.1.1 Char1"/>
    <w:autoRedefine/>
    <w:qFormat/>
    <w:uiPriority w:val="0"/>
    <w:rPr>
      <w:rFonts w:ascii="Arial" w:hAnsi="Arial" w:eastAsia="黑体"/>
      <w:b/>
      <w:bCs/>
      <w:sz w:val="24"/>
      <w:szCs w:val="24"/>
      <w:lang w:bidi="ar-SA"/>
    </w:rPr>
  </w:style>
  <w:style w:type="character" w:customStyle="1" w:styleId="466">
    <w:name w:val="s1"/>
    <w:autoRedefine/>
    <w:qFormat/>
    <w:uiPriority w:val="0"/>
    <w:rPr>
      <w:sz w:val="18"/>
      <w:szCs w:val="18"/>
    </w:rPr>
  </w:style>
  <w:style w:type="character" w:customStyle="1" w:styleId="467">
    <w:name w:val="正文5号 Char Char1"/>
    <w:autoRedefine/>
    <w:qFormat/>
    <w:uiPriority w:val="0"/>
    <w:rPr>
      <w:sz w:val="24"/>
      <w:lang w:bidi="ar-SA"/>
    </w:rPr>
  </w:style>
  <w:style w:type="character" w:customStyle="1" w:styleId="468">
    <w:name w:val="what"/>
    <w:autoRedefine/>
    <w:qFormat/>
    <w:uiPriority w:val="0"/>
    <w:rPr>
      <w:rFonts w:eastAsia="宋体"/>
      <w:kern w:val="2"/>
      <w:sz w:val="24"/>
      <w:szCs w:val="24"/>
      <w:lang w:val="en-US" w:eastAsia="zh-CN" w:bidi="ar-SA"/>
    </w:rPr>
  </w:style>
  <w:style w:type="character" w:customStyle="1" w:styleId="469">
    <w:name w:val="报告正文1 Char Char"/>
    <w:link w:val="470"/>
    <w:autoRedefine/>
    <w:qFormat/>
    <w:uiPriority w:val="0"/>
    <w:rPr>
      <w:color w:val="000000"/>
      <w:sz w:val="24"/>
      <w:szCs w:val="24"/>
    </w:rPr>
  </w:style>
  <w:style w:type="paragraph" w:customStyle="1" w:styleId="470">
    <w:name w:val="报告正文1"/>
    <w:basedOn w:val="80"/>
    <w:link w:val="469"/>
    <w:autoRedefine/>
    <w:qFormat/>
    <w:uiPriority w:val="0"/>
    <w:pPr>
      <w:spacing w:line="360" w:lineRule="auto"/>
      <w:ind w:firstLine="200"/>
    </w:pPr>
    <w:rPr>
      <w:color w:val="000000"/>
      <w:kern w:val="0"/>
      <w:sz w:val="24"/>
    </w:rPr>
  </w:style>
  <w:style w:type="character" w:customStyle="1" w:styleId="471">
    <w:name w:val="b1 Char2"/>
    <w:autoRedefine/>
    <w:qFormat/>
    <w:uiPriority w:val="0"/>
    <w:rPr>
      <w:rFonts w:ascii="Calibri" w:hAnsi="Calibri"/>
      <w:b/>
      <w:bCs/>
      <w:kern w:val="44"/>
      <w:sz w:val="44"/>
      <w:szCs w:val="44"/>
    </w:rPr>
  </w:style>
  <w:style w:type="character" w:customStyle="1" w:styleId="472">
    <w:name w:val="nine-11"/>
    <w:autoRedefine/>
    <w:qFormat/>
    <w:uiPriority w:val="0"/>
    <w:rPr>
      <w:rFonts w:hint="default"/>
      <w:sz w:val="18"/>
      <w:szCs w:val="18"/>
    </w:rPr>
  </w:style>
  <w:style w:type="character" w:customStyle="1" w:styleId="473">
    <w:name w:val="sf6tjlp"/>
    <w:autoRedefine/>
    <w:qFormat/>
    <w:uiPriority w:val="0"/>
  </w:style>
  <w:style w:type="character" w:customStyle="1" w:styleId="474">
    <w:name w:val="兴武正文 Char Char"/>
    <w:link w:val="475"/>
    <w:autoRedefine/>
    <w:qFormat/>
    <w:uiPriority w:val="0"/>
    <w:rPr>
      <w:sz w:val="24"/>
    </w:rPr>
  </w:style>
  <w:style w:type="paragraph" w:customStyle="1" w:styleId="475">
    <w:name w:val="兴武正文"/>
    <w:basedOn w:val="1"/>
    <w:link w:val="474"/>
    <w:autoRedefine/>
    <w:qFormat/>
    <w:uiPriority w:val="0"/>
    <w:pPr>
      <w:spacing w:line="480" w:lineRule="exact"/>
      <w:ind w:firstLine="200" w:firstLineChars="200"/>
    </w:pPr>
    <w:rPr>
      <w:kern w:val="0"/>
      <w:sz w:val="24"/>
      <w:szCs w:val="20"/>
    </w:rPr>
  </w:style>
  <w:style w:type="character" w:customStyle="1" w:styleId="476">
    <w:name w:val="a11"/>
    <w:autoRedefine/>
    <w:qFormat/>
    <w:uiPriority w:val="0"/>
  </w:style>
  <w:style w:type="character" w:customStyle="1" w:styleId="477">
    <w:name w:val="main-1"/>
    <w:autoRedefine/>
    <w:qFormat/>
    <w:uiPriority w:val="0"/>
  </w:style>
  <w:style w:type="character" w:customStyle="1" w:styleId="478">
    <w:name w:val="s4y5"/>
    <w:autoRedefine/>
    <w:qFormat/>
    <w:uiPriority w:val="0"/>
  </w:style>
  <w:style w:type="character" w:customStyle="1" w:styleId="479">
    <w:name w:val="lh131"/>
    <w:autoRedefine/>
    <w:qFormat/>
    <w:uiPriority w:val="0"/>
  </w:style>
  <w:style w:type="character" w:customStyle="1" w:styleId="480">
    <w:name w:val="Char Char27"/>
    <w:autoRedefine/>
    <w:qFormat/>
    <w:uiPriority w:val="0"/>
    <w:rPr>
      <w:kern w:val="2"/>
      <w:sz w:val="24"/>
      <w:szCs w:val="21"/>
      <w:lang w:bidi="ar-SA"/>
    </w:rPr>
  </w:style>
  <w:style w:type="character" w:customStyle="1" w:styleId="481">
    <w:name w:val="shekj8m"/>
    <w:autoRedefine/>
    <w:qFormat/>
    <w:uiPriority w:val="0"/>
  </w:style>
  <w:style w:type="character" w:customStyle="1" w:styleId="482">
    <w:name w:val="正文样式 Char Char Char Char Char Char Char"/>
    <w:link w:val="483"/>
    <w:autoRedefine/>
    <w:qFormat/>
    <w:uiPriority w:val="0"/>
    <w:rPr>
      <w:rFonts w:ascii="宋体" w:hAnsi="宋体"/>
      <w:color w:val="000000"/>
      <w:sz w:val="24"/>
      <w:szCs w:val="24"/>
    </w:rPr>
  </w:style>
  <w:style w:type="paragraph" w:customStyle="1" w:styleId="483">
    <w:name w:val="正文样式 Char Char Char Char Char"/>
    <w:basedOn w:val="1"/>
    <w:link w:val="482"/>
    <w:autoRedefine/>
    <w:qFormat/>
    <w:uiPriority w:val="0"/>
    <w:pPr>
      <w:spacing w:line="360" w:lineRule="auto"/>
      <w:ind w:firstLine="480" w:firstLineChars="200"/>
    </w:pPr>
    <w:rPr>
      <w:rFonts w:ascii="宋体" w:hAnsi="宋体"/>
      <w:color w:val="000000"/>
      <w:kern w:val="0"/>
      <w:sz w:val="24"/>
    </w:rPr>
  </w:style>
  <w:style w:type="character" w:customStyle="1" w:styleId="484">
    <w:name w:val="样式14 Char Char"/>
    <w:link w:val="485"/>
    <w:autoRedefine/>
    <w:qFormat/>
    <w:uiPriority w:val="0"/>
    <w:rPr>
      <w:rFonts w:ascii="仿宋_GB2312" w:hAnsi="宋体" w:eastAsia="仿宋_GB2312"/>
      <w:bCs/>
      <w:sz w:val="24"/>
    </w:rPr>
  </w:style>
  <w:style w:type="paragraph" w:customStyle="1" w:styleId="485">
    <w:name w:val="样式14"/>
    <w:basedOn w:val="486"/>
    <w:link w:val="484"/>
    <w:autoRedefine/>
    <w:qFormat/>
    <w:uiPriority w:val="0"/>
    <w:pPr>
      <w:adjustRightInd w:val="0"/>
      <w:spacing w:line="240" w:lineRule="auto"/>
      <w:textAlignment w:val="baseline"/>
    </w:pPr>
    <w:rPr>
      <w:rFonts w:ascii="仿宋_GB2312" w:eastAsia="仿宋_GB2312"/>
      <w:bCs/>
      <w:kern w:val="0"/>
      <w:sz w:val="24"/>
      <w:szCs w:val="20"/>
    </w:rPr>
  </w:style>
  <w:style w:type="paragraph" w:customStyle="1" w:styleId="486">
    <w:name w:val="图表文字"/>
    <w:basedOn w:val="1"/>
    <w:autoRedefine/>
    <w:qFormat/>
    <w:uiPriority w:val="0"/>
    <w:pPr>
      <w:spacing w:line="320" w:lineRule="exact"/>
      <w:jc w:val="center"/>
    </w:pPr>
    <w:rPr>
      <w:rFonts w:ascii="宋体" w:hAnsi="宋体"/>
    </w:rPr>
  </w:style>
  <w:style w:type="character" w:customStyle="1" w:styleId="487">
    <w:name w:val="s9n1k0c"/>
    <w:autoRedefine/>
    <w:qFormat/>
    <w:uiPriority w:val="0"/>
  </w:style>
  <w:style w:type="character" w:customStyle="1" w:styleId="488">
    <w:name w:val="Char Char5"/>
    <w:autoRedefine/>
    <w:qFormat/>
    <w:uiPriority w:val="0"/>
    <w:rPr>
      <w:rFonts w:ascii="宋体" w:hAnsi="宋体" w:eastAsia="宋体"/>
      <w:kern w:val="2"/>
      <w:sz w:val="21"/>
      <w:szCs w:val="24"/>
      <w:lang w:val="en-US" w:eastAsia="zh-CN" w:bidi="ar-SA"/>
    </w:rPr>
  </w:style>
  <w:style w:type="character" w:customStyle="1" w:styleId="489">
    <w:name w:val="正文2 Char Char"/>
    <w:link w:val="490"/>
    <w:autoRedefine/>
    <w:qFormat/>
    <w:uiPriority w:val="0"/>
    <w:rPr>
      <w:bCs/>
      <w:sz w:val="24"/>
      <w:szCs w:val="44"/>
    </w:rPr>
  </w:style>
  <w:style w:type="paragraph" w:customStyle="1" w:styleId="490">
    <w:name w:val="正文21"/>
    <w:basedOn w:val="1"/>
    <w:link w:val="489"/>
    <w:autoRedefine/>
    <w:qFormat/>
    <w:uiPriority w:val="0"/>
    <w:pPr>
      <w:adjustRightInd w:val="0"/>
      <w:spacing w:line="360" w:lineRule="auto"/>
      <w:ind w:firstLine="200" w:firstLineChars="200"/>
    </w:pPr>
    <w:rPr>
      <w:bCs/>
      <w:kern w:val="0"/>
      <w:sz w:val="24"/>
      <w:szCs w:val="44"/>
    </w:rPr>
  </w:style>
  <w:style w:type="character" w:customStyle="1" w:styleId="491">
    <w:name w:val="title31"/>
    <w:autoRedefine/>
    <w:qFormat/>
    <w:uiPriority w:val="0"/>
  </w:style>
  <w:style w:type="character" w:customStyle="1" w:styleId="492">
    <w:name w:val="sfmq"/>
    <w:autoRedefine/>
    <w:qFormat/>
    <w:uiPriority w:val="0"/>
  </w:style>
  <w:style w:type="character" w:customStyle="1" w:styleId="493">
    <w:name w:val="f121"/>
    <w:autoRedefine/>
    <w:qFormat/>
    <w:uiPriority w:val="0"/>
    <w:rPr>
      <w:sz w:val="18"/>
      <w:szCs w:val="18"/>
      <w:u w:val="none"/>
    </w:rPr>
  </w:style>
  <w:style w:type="character" w:customStyle="1" w:styleId="494">
    <w:name w:val="sxwt2u"/>
    <w:autoRedefine/>
    <w:qFormat/>
    <w:uiPriority w:val="0"/>
  </w:style>
  <w:style w:type="character" w:customStyle="1" w:styleId="495">
    <w:name w:val="style191"/>
    <w:autoRedefine/>
    <w:qFormat/>
    <w:uiPriority w:val="0"/>
    <w:rPr>
      <w:b/>
      <w:bCs/>
      <w:color w:val="FF0000"/>
    </w:rPr>
  </w:style>
  <w:style w:type="character" w:customStyle="1" w:styleId="496">
    <w:name w:val="sv1hyw"/>
    <w:autoRedefine/>
    <w:qFormat/>
    <w:uiPriority w:val="0"/>
  </w:style>
  <w:style w:type="character" w:customStyle="1" w:styleId="497">
    <w:name w:val="td1"/>
    <w:autoRedefine/>
    <w:qFormat/>
    <w:uiPriority w:val="0"/>
    <w:rPr>
      <w:color w:val="000000"/>
      <w:sz w:val="21"/>
      <w:szCs w:val="21"/>
    </w:rPr>
  </w:style>
  <w:style w:type="character" w:customStyle="1" w:styleId="498">
    <w:name w:val="样式82 Char Char"/>
    <w:link w:val="499"/>
    <w:autoRedefine/>
    <w:qFormat/>
    <w:uiPriority w:val="0"/>
    <w:rPr>
      <w:rFonts w:ascii="宋体" w:hAnsi="宋体"/>
      <w:sz w:val="28"/>
      <w:szCs w:val="28"/>
    </w:rPr>
  </w:style>
  <w:style w:type="paragraph" w:customStyle="1" w:styleId="499">
    <w:name w:val="样式82"/>
    <w:basedOn w:val="1"/>
    <w:link w:val="498"/>
    <w:autoRedefine/>
    <w:qFormat/>
    <w:uiPriority w:val="0"/>
    <w:pPr>
      <w:spacing w:line="360" w:lineRule="auto"/>
      <w:ind w:firstLine="560" w:firstLineChars="200"/>
    </w:pPr>
    <w:rPr>
      <w:rFonts w:ascii="宋体" w:hAnsi="宋体"/>
      <w:kern w:val="0"/>
      <w:sz w:val="28"/>
      <w:szCs w:val="28"/>
    </w:rPr>
  </w:style>
  <w:style w:type="character" w:customStyle="1" w:styleId="500">
    <w:name w:val="s lh15"/>
    <w:autoRedefine/>
    <w:qFormat/>
    <w:uiPriority w:val="0"/>
  </w:style>
  <w:style w:type="character" w:customStyle="1" w:styleId="501">
    <w:name w:val="s8xye"/>
    <w:autoRedefine/>
    <w:qFormat/>
    <w:uiPriority w:val="0"/>
  </w:style>
  <w:style w:type="character" w:customStyle="1" w:styleId="502">
    <w:name w:val="style61"/>
    <w:autoRedefine/>
    <w:qFormat/>
    <w:uiPriority w:val="0"/>
    <w:rPr>
      <w:sz w:val="45"/>
      <w:szCs w:val="45"/>
    </w:rPr>
  </w:style>
  <w:style w:type="character" w:customStyle="1" w:styleId="503">
    <w:name w:val="表格001 Char Char"/>
    <w:link w:val="504"/>
    <w:autoRedefine/>
    <w:qFormat/>
    <w:uiPriority w:val="0"/>
  </w:style>
  <w:style w:type="paragraph" w:customStyle="1" w:styleId="504">
    <w:name w:val="表格001"/>
    <w:basedOn w:val="1"/>
    <w:link w:val="503"/>
    <w:autoRedefine/>
    <w:qFormat/>
    <w:uiPriority w:val="0"/>
    <w:pPr>
      <w:jc w:val="center"/>
    </w:pPr>
    <w:rPr>
      <w:kern w:val="0"/>
      <w:sz w:val="20"/>
      <w:szCs w:val="20"/>
    </w:rPr>
  </w:style>
  <w:style w:type="character" w:customStyle="1" w:styleId="505">
    <w:name w:val="style421"/>
    <w:autoRedefine/>
    <w:qFormat/>
    <w:uiPriority w:val="0"/>
    <w:rPr>
      <w:color w:val="287D3C"/>
      <w:sz w:val="21"/>
      <w:szCs w:val="21"/>
    </w:rPr>
  </w:style>
  <w:style w:type="character" w:customStyle="1" w:styleId="506">
    <w:name w:val="高表单 Char Char"/>
    <w:autoRedefine/>
    <w:qFormat/>
    <w:uiPriority w:val="0"/>
    <w:rPr>
      <w:rFonts w:ascii="Arial" w:hAnsi="Arial" w:eastAsia="宋体"/>
      <w:kern w:val="2"/>
      <w:sz w:val="21"/>
      <w:szCs w:val="21"/>
      <w:lang w:val="en-US" w:eastAsia="zh-CN" w:bidi="ar-SA"/>
    </w:rPr>
  </w:style>
  <w:style w:type="character" w:customStyle="1" w:styleId="507">
    <w:name w:val="soqzabs"/>
    <w:autoRedefine/>
    <w:qFormat/>
    <w:uiPriority w:val="0"/>
  </w:style>
  <w:style w:type="character" w:customStyle="1" w:styleId="508">
    <w:name w:val="pccs1"/>
    <w:autoRedefine/>
    <w:qFormat/>
    <w:uiPriority w:val="0"/>
    <w:rPr>
      <w:sz w:val="18"/>
      <w:szCs w:val="18"/>
    </w:rPr>
  </w:style>
  <w:style w:type="character" w:customStyle="1" w:styleId="509">
    <w:name w:val="s9zsb3q"/>
    <w:autoRedefine/>
    <w:qFormat/>
    <w:uiPriority w:val="0"/>
  </w:style>
  <w:style w:type="character" w:customStyle="1" w:styleId="510">
    <w:name w:val="unnamed91"/>
    <w:autoRedefine/>
    <w:qFormat/>
    <w:uiPriority w:val="0"/>
    <w:rPr>
      <w:rFonts w:hint="eastAsia" w:ascii="宋体" w:hAnsi="宋体" w:eastAsia="宋体"/>
      <w:color w:val="000000"/>
      <w:sz w:val="18"/>
      <w:szCs w:val="18"/>
      <w:u w:val="none"/>
    </w:rPr>
  </w:style>
  <w:style w:type="character" w:customStyle="1" w:styleId="511">
    <w:name w:val="sj4lab"/>
    <w:autoRedefine/>
    <w:qFormat/>
    <w:uiPriority w:val="0"/>
  </w:style>
  <w:style w:type="character" w:customStyle="1" w:styleId="512">
    <w:name w:val="ttitle1"/>
    <w:autoRedefine/>
    <w:qFormat/>
    <w:uiPriority w:val="0"/>
    <w:rPr>
      <w:spacing w:val="120"/>
      <w:sz w:val="21"/>
      <w:szCs w:val="21"/>
    </w:rPr>
  </w:style>
  <w:style w:type="character" w:customStyle="1" w:styleId="513">
    <w:name w:val="style21"/>
    <w:autoRedefine/>
    <w:qFormat/>
    <w:uiPriority w:val="0"/>
    <w:rPr>
      <w:color w:val="00007F"/>
    </w:rPr>
  </w:style>
  <w:style w:type="character" w:customStyle="1" w:styleId="514">
    <w:name w:val="sdi8io"/>
    <w:autoRedefine/>
    <w:qFormat/>
    <w:uiPriority w:val="0"/>
  </w:style>
  <w:style w:type="character" w:customStyle="1" w:styleId="515">
    <w:name w:val="正文缩进 Cha Char"/>
    <w:autoRedefine/>
    <w:qFormat/>
    <w:uiPriority w:val="0"/>
    <w:rPr>
      <w:rFonts w:eastAsia="宋体"/>
      <w:kern w:val="2"/>
      <w:sz w:val="28"/>
      <w:szCs w:val="24"/>
      <w:lang w:val="en-US" w:eastAsia="zh-CN" w:bidi="ar-SA"/>
    </w:rPr>
  </w:style>
  <w:style w:type="character" w:customStyle="1" w:styleId="516">
    <w:name w:val="表文字 Char Char"/>
    <w:link w:val="517"/>
    <w:autoRedefine/>
    <w:qFormat/>
    <w:uiPriority w:val="0"/>
    <w:rPr>
      <w:sz w:val="24"/>
    </w:rPr>
  </w:style>
  <w:style w:type="paragraph" w:customStyle="1" w:styleId="517">
    <w:name w:val="表文字"/>
    <w:basedOn w:val="1"/>
    <w:link w:val="516"/>
    <w:autoRedefine/>
    <w:qFormat/>
    <w:uiPriority w:val="0"/>
    <w:pPr>
      <w:overflowPunct w:val="0"/>
      <w:autoSpaceDE w:val="0"/>
      <w:autoSpaceDN w:val="0"/>
      <w:adjustRightInd w:val="0"/>
      <w:spacing w:line="240" w:lineRule="atLeast"/>
      <w:jc w:val="center"/>
      <w:textAlignment w:val="baseline"/>
    </w:pPr>
    <w:rPr>
      <w:kern w:val="0"/>
      <w:sz w:val="24"/>
      <w:szCs w:val="20"/>
    </w:rPr>
  </w:style>
  <w:style w:type="character" w:customStyle="1" w:styleId="518">
    <w:name w:val="soa7bda"/>
    <w:autoRedefine/>
    <w:qFormat/>
    <w:uiPriority w:val="0"/>
  </w:style>
  <w:style w:type="character" w:customStyle="1" w:styleId="519">
    <w:name w:val="sxuoj4"/>
    <w:autoRedefine/>
    <w:qFormat/>
    <w:uiPriority w:val="0"/>
  </w:style>
  <w:style w:type="character" w:customStyle="1" w:styleId="520">
    <w:name w:val="报告 Char Char"/>
    <w:autoRedefine/>
    <w:qFormat/>
    <w:uiPriority w:val="0"/>
    <w:rPr>
      <w:sz w:val="24"/>
      <w:lang w:bidi="ar-SA"/>
    </w:rPr>
  </w:style>
  <w:style w:type="character" w:customStyle="1" w:styleId="521">
    <w:name w:val="标题 21"/>
    <w:autoRedefine/>
    <w:qFormat/>
    <w:uiPriority w:val="0"/>
    <w:rPr>
      <w:rFonts w:ascii="黑体" w:hAnsi="Arial" w:eastAsia="黑体"/>
      <w:kern w:val="2"/>
      <w:sz w:val="36"/>
      <w:szCs w:val="32"/>
      <w:lang w:val="en-US" w:eastAsia="zh-CN" w:bidi="ar-SA"/>
    </w:rPr>
  </w:style>
  <w:style w:type="character" w:customStyle="1" w:styleId="522">
    <w:name w:val="样式21 Char Char"/>
    <w:link w:val="523"/>
    <w:autoRedefine/>
    <w:qFormat/>
    <w:uiPriority w:val="0"/>
    <w:rPr>
      <w:rFonts w:ascii="宋体" w:hAnsi="宋体"/>
      <w:b/>
      <w:bCs/>
      <w:color w:val="000000"/>
      <w:sz w:val="28"/>
      <w:szCs w:val="28"/>
      <w:lang w:val="zh-CN"/>
    </w:rPr>
  </w:style>
  <w:style w:type="paragraph" w:customStyle="1" w:styleId="523">
    <w:name w:val="样式21"/>
    <w:basedOn w:val="283"/>
    <w:link w:val="522"/>
    <w:autoRedefine/>
    <w:qFormat/>
    <w:uiPriority w:val="0"/>
    <w:pPr>
      <w:spacing w:beforeLines="0" w:afterLines="0" w:line="480" w:lineRule="auto"/>
      <w:ind w:firstLine="3500" w:firstLineChars="1250"/>
      <w:jc w:val="both"/>
      <w:outlineLvl w:val="9"/>
    </w:pPr>
    <w:rPr>
      <w:rFonts w:ascii="宋体" w:hAnsi="宋体" w:eastAsia="宋体"/>
      <w:sz w:val="28"/>
      <w:szCs w:val="28"/>
      <w:lang w:val="zh-CN"/>
    </w:rPr>
  </w:style>
  <w:style w:type="character" w:customStyle="1" w:styleId="524">
    <w:name w:val="zjgblk1"/>
    <w:autoRedefine/>
    <w:qFormat/>
    <w:uiPriority w:val="0"/>
    <w:rPr>
      <w:rFonts w:hint="default"/>
      <w:color w:val="000000"/>
      <w:sz w:val="18"/>
      <w:szCs w:val="18"/>
      <w:u w:val="none"/>
    </w:rPr>
  </w:style>
  <w:style w:type="character" w:customStyle="1" w:styleId="525">
    <w:name w:val="sub42"/>
    <w:autoRedefine/>
    <w:qFormat/>
    <w:uiPriority w:val="0"/>
  </w:style>
  <w:style w:type="character" w:customStyle="1" w:styleId="526">
    <w:name w:val="smuvt"/>
    <w:autoRedefine/>
    <w:qFormat/>
    <w:uiPriority w:val="0"/>
  </w:style>
  <w:style w:type="character" w:customStyle="1" w:styleId="527">
    <w:name w:val="sgiivq"/>
    <w:autoRedefine/>
    <w:qFormat/>
    <w:uiPriority w:val="0"/>
  </w:style>
  <w:style w:type="character" w:customStyle="1" w:styleId="528">
    <w:name w:val="标题 12"/>
    <w:autoRedefine/>
    <w:qFormat/>
    <w:uiPriority w:val="0"/>
    <w:rPr>
      <w:rFonts w:ascii="黑体" w:eastAsia="黑体"/>
      <w:kern w:val="44"/>
      <w:sz w:val="44"/>
      <w:lang w:val="en-US" w:eastAsia="zh-CN" w:bidi="ar-SA"/>
    </w:rPr>
  </w:style>
  <w:style w:type="character" w:customStyle="1" w:styleId="529">
    <w:name w:val="nava61"/>
    <w:autoRedefine/>
    <w:qFormat/>
    <w:uiPriority w:val="0"/>
    <w:rPr>
      <w:color w:val="000000"/>
      <w:sz w:val="21"/>
      <w:szCs w:val="21"/>
      <w:u w:val="none"/>
    </w:rPr>
  </w:style>
  <w:style w:type="character" w:customStyle="1" w:styleId="530">
    <w:name w:val="Char Char Char11"/>
    <w:autoRedefine/>
    <w:qFormat/>
    <w:uiPriority w:val="0"/>
    <w:rPr>
      <w:rFonts w:eastAsia="宋体"/>
      <w:kern w:val="2"/>
      <w:sz w:val="21"/>
      <w:szCs w:val="24"/>
      <w:lang w:val="en-US" w:eastAsia="zh-CN" w:bidi="ar-SA"/>
    </w:rPr>
  </w:style>
  <w:style w:type="character" w:customStyle="1" w:styleId="531">
    <w:name w:val="sc2f7tt"/>
    <w:autoRedefine/>
    <w:qFormat/>
    <w:uiPriority w:val="0"/>
  </w:style>
  <w:style w:type="character" w:customStyle="1" w:styleId="532">
    <w:name w:val="oblog_text"/>
    <w:autoRedefine/>
    <w:qFormat/>
    <w:uiPriority w:val="0"/>
  </w:style>
  <w:style w:type="character" w:customStyle="1" w:styleId="533">
    <w:name w:val="xiaozhiti1"/>
    <w:autoRedefine/>
    <w:qFormat/>
    <w:uiPriority w:val="0"/>
    <w:rPr>
      <w:sz w:val="18"/>
      <w:szCs w:val="18"/>
    </w:rPr>
  </w:style>
  <w:style w:type="character" w:customStyle="1" w:styleId="534">
    <w:name w:val="标题 Char1"/>
    <w:autoRedefine/>
    <w:qFormat/>
    <w:uiPriority w:val="0"/>
    <w:rPr>
      <w:rFonts w:ascii="Arial" w:hAnsi="Arial" w:eastAsia="黑体" w:cs="Arial"/>
      <w:b/>
      <w:bCs/>
      <w:kern w:val="2"/>
      <w:sz w:val="32"/>
      <w:szCs w:val="32"/>
      <w:lang w:val="en-US" w:eastAsia="zh-CN" w:bidi="ar-SA"/>
    </w:rPr>
  </w:style>
  <w:style w:type="character" w:customStyle="1" w:styleId="535">
    <w:name w:val="sub_title1"/>
    <w:autoRedefine/>
    <w:qFormat/>
    <w:uiPriority w:val="0"/>
    <w:rPr>
      <w:rFonts w:hint="default"/>
      <w:color w:val="FF6600"/>
      <w:sz w:val="21"/>
      <w:szCs w:val="21"/>
    </w:rPr>
  </w:style>
  <w:style w:type="character" w:customStyle="1" w:styleId="536">
    <w:name w:val="s6lx"/>
    <w:autoRedefine/>
    <w:qFormat/>
    <w:uiPriority w:val="0"/>
  </w:style>
  <w:style w:type="character" w:customStyle="1" w:styleId="537">
    <w:name w:val="sy7t"/>
    <w:autoRedefine/>
    <w:qFormat/>
    <w:uiPriority w:val="0"/>
  </w:style>
  <w:style w:type="character" w:customStyle="1" w:styleId="538">
    <w:name w:val="样式78 Char Char"/>
    <w:link w:val="539"/>
    <w:autoRedefine/>
    <w:qFormat/>
    <w:uiPriority w:val="0"/>
    <w:rPr>
      <w:rFonts w:ascii="黑体" w:eastAsia="黑体"/>
      <w:b/>
      <w:kern w:val="44"/>
      <w:sz w:val="32"/>
    </w:rPr>
  </w:style>
  <w:style w:type="paragraph" w:customStyle="1" w:styleId="539">
    <w:name w:val="样式78"/>
    <w:basedOn w:val="1"/>
    <w:link w:val="538"/>
    <w:autoRedefine/>
    <w:qFormat/>
    <w:uiPriority w:val="0"/>
    <w:pPr>
      <w:keepNext/>
      <w:keepLines/>
      <w:spacing w:before="290" w:after="290" w:line="360" w:lineRule="auto"/>
      <w:jc w:val="center"/>
      <w:outlineLvl w:val="0"/>
    </w:pPr>
    <w:rPr>
      <w:rFonts w:ascii="黑体" w:eastAsia="黑体"/>
      <w:b/>
      <w:kern w:val="44"/>
      <w:sz w:val="32"/>
      <w:szCs w:val="20"/>
    </w:rPr>
  </w:style>
  <w:style w:type="character" w:customStyle="1" w:styleId="540">
    <w:name w:val="样式45 Char Char"/>
    <w:link w:val="541"/>
    <w:autoRedefine/>
    <w:qFormat/>
    <w:uiPriority w:val="0"/>
    <w:rPr>
      <w:rFonts w:ascii="宋体" w:hAnsi="宋体"/>
      <w:color w:val="000000"/>
      <w:sz w:val="28"/>
      <w:szCs w:val="28"/>
    </w:rPr>
  </w:style>
  <w:style w:type="paragraph" w:customStyle="1" w:styleId="541">
    <w:name w:val="样式45"/>
    <w:basedOn w:val="1"/>
    <w:link w:val="540"/>
    <w:autoRedefine/>
    <w:qFormat/>
    <w:uiPriority w:val="0"/>
    <w:pPr>
      <w:spacing w:line="360" w:lineRule="auto"/>
      <w:ind w:firstLine="560" w:firstLineChars="200"/>
    </w:pPr>
    <w:rPr>
      <w:rFonts w:ascii="宋体" w:hAnsi="宋体"/>
      <w:color w:val="000000"/>
      <w:kern w:val="0"/>
      <w:sz w:val="28"/>
      <w:szCs w:val="28"/>
    </w:rPr>
  </w:style>
  <w:style w:type="character" w:customStyle="1" w:styleId="542">
    <w:name w:val="样式90 Char Char"/>
    <w:link w:val="543"/>
    <w:autoRedefine/>
    <w:qFormat/>
    <w:uiPriority w:val="0"/>
    <w:rPr>
      <w:rFonts w:ascii="黑体" w:hAnsi="宋体" w:eastAsia="黑体"/>
      <w:color w:val="000000"/>
      <w:sz w:val="24"/>
      <w:szCs w:val="24"/>
    </w:rPr>
  </w:style>
  <w:style w:type="paragraph" w:customStyle="1" w:styleId="543">
    <w:name w:val="样式90"/>
    <w:basedOn w:val="1"/>
    <w:link w:val="542"/>
    <w:autoRedefine/>
    <w:qFormat/>
    <w:uiPriority w:val="0"/>
    <w:pPr>
      <w:widowControl/>
      <w:spacing w:beforeLines="50" w:afterLines="50" w:line="360" w:lineRule="auto"/>
      <w:ind w:firstLine="480" w:firstLineChars="200"/>
      <w:jc w:val="center"/>
    </w:pPr>
    <w:rPr>
      <w:rFonts w:ascii="黑体" w:hAnsi="宋体" w:eastAsia="黑体"/>
      <w:color w:val="000000"/>
      <w:kern w:val="0"/>
      <w:sz w:val="24"/>
    </w:rPr>
  </w:style>
  <w:style w:type="character" w:customStyle="1" w:styleId="544">
    <w:name w:val="样式70 Char Char"/>
    <w:link w:val="545"/>
    <w:autoRedefine/>
    <w:qFormat/>
    <w:uiPriority w:val="0"/>
    <w:rPr>
      <w:rFonts w:ascii="宋体" w:hAnsi="宋体"/>
      <w:color w:val="000000"/>
      <w:kern w:val="28"/>
      <w:sz w:val="28"/>
      <w:szCs w:val="28"/>
    </w:rPr>
  </w:style>
  <w:style w:type="paragraph" w:customStyle="1" w:styleId="545">
    <w:name w:val="样式70"/>
    <w:basedOn w:val="1"/>
    <w:link w:val="544"/>
    <w:autoRedefine/>
    <w:qFormat/>
    <w:uiPriority w:val="0"/>
    <w:pPr>
      <w:spacing w:line="460" w:lineRule="exact"/>
      <w:ind w:firstLine="560" w:firstLineChars="200"/>
      <w:jc w:val="left"/>
    </w:pPr>
    <w:rPr>
      <w:rFonts w:ascii="宋体" w:hAnsi="宋体"/>
      <w:color w:val="000000"/>
      <w:kern w:val="28"/>
      <w:sz w:val="28"/>
      <w:szCs w:val="28"/>
    </w:rPr>
  </w:style>
  <w:style w:type="character" w:customStyle="1" w:styleId="546">
    <w:name w:val="标题 Char2"/>
    <w:autoRedefine/>
    <w:qFormat/>
    <w:uiPriority w:val="0"/>
    <w:rPr>
      <w:rFonts w:ascii="Cambria" w:hAnsi="Cambria" w:cs="Times New Roman"/>
      <w:b/>
      <w:bCs/>
      <w:kern w:val="2"/>
      <w:sz w:val="32"/>
      <w:szCs w:val="32"/>
    </w:rPr>
  </w:style>
  <w:style w:type="character" w:customStyle="1" w:styleId="547">
    <w:name w:val="甲乙酮正文 Char"/>
    <w:autoRedefine/>
    <w:qFormat/>
    <w:uiPriority w:val="0"/>
    <w:rPr>
      <w:rFonts w:eastAsia="宋体"/>
      <w:color w:val="000000"/>
      <w:kern w:val="2"/>
      <w:sz w:val="24"/>
      <w:szCs w:val="24"/>
      <w:lang w:val="en-US" w:eastAsia="zh-CN" w:bidi="ar-SA"/>
    </w:rPr>
  </w:style>
  <w:style w:type="character" w:customStyle="1" w:styleId="548">
    <w:name w:val="甲乙酮标题3 Char"/>
    <w:autoRedefine/>
    <w:qFormat/>
    <w:uiPriority w:val="0"/>
    <w:rPr>
      <w:rFonts w:eastAsia="宋体"/>
      <w:b/>
      <w:bCs/>
      <w:kern w:val="2"/>
      <w:sz w:val="32"/>
      <w:szCs w:val="32"/>
      <w:lang w:val="en-US" w:eastAsia="zh-CN" w:bidi="ar-SA"/>
    </w:rPr>
  </w:style>
  <w:style w:type="character" w:customStyle="1" w:styleId="549">
    <w:name w:val="报告正文1 Char"/>
    <w:autoRedefine/>
    <w:qFormat/>
    <w:uiPriority w:val="0"/>
    <w:rPr>
      <w:rFonts w:eastAsia="宋体"/>
      <w:color w:val="000000"/>
      <w:kern w:val="2"/>
      <w:sz w:val="24"/>
      <w:szCs w:val="24"/>
      <w:lang w:val="en-US" w:eastAsia="zh-CN" w:bidi="ar-SA"/>
    </w:rPr>
  </w:style>
  <w:style w:type="character" w:customStyle="1" w:styleId="550">
    <w:name w:val="文本 Char"/>
    <w:autoRedefine/>
    <w:qFormat/>
    <w:uiPriority w:val="0"/>
    <w:rPr>
      <w:kern w:val="2"/>
      <w:sz w:val="24"/>
      <w:szCs w:val="24"/>
    </w:rPr>
  </w:style>
  <w:style w:type="character" w:customStyle="1" w:styleId="551">
    <w:name w:val="表 标题 Char"/>
    <w:autoRedefine/>
    <w:qFormat/>
    <w:uiPriority w:val="0"/>
    <w:rPr>
      <w:rFonts w:cs="宋体"/>
      <w:b/>
      <w:kern w:val="2"/>
      <w:sz w:val="24"/>
    </w:rPr>
  </w:style>
  <w:style w:type="character" w:customStyle="1" w:styleId="552">
    <w:name w:val="环正文 Char4"/>
    <w:link w:val="553"/>
    <w:autoRedefine/>
    <w:qFormat/>
    <w:uiPriority w:val="0"/>
    <w:rPr>
      <w:rFonts w:ascii="仿宋_GB2312" w:hAnsi="宋体" w:eastAsia="仿宋_GB2312"/>
      <w:sz w:val="28"/>
    </w:rPr>
  </w:style>
  <w:style w:type="paragraph" w:customStyle="1" w:styleId="553">
    <w:name w:val="环正文"/>
    <w:basedOn w:val="1"/>
    <w:link w:val="552"/>
    <w:autoRedefine/>
    <w:qFormat/>
    <w:uiPriority w:val="0"/>
    <w:pPr>
      <w:widowControl/>
      <w:suppressAutoHyphens/>
      <w:adjustRightInd w:val="0"/>
      <w:snapToGrid w:val="0"/>
      <w:spacing w:line="300" w:lineRule="auto"/>
      <w:ind w:firstLine="560"/>
      <w:textAlignment w:val="baseline"/>
    </w:pPr>
    <w:rPr>
      <w:rFonts w:ascii="仿宋_GB2312" w:hAnsi="宋体" w:eastAsia="仿宋_GB2312"/>
      <w:kern w:val="0"/>
      <w:sz w:val="28"/>
      <w:szCs w:val="20"/>
    </w:rPr>
  </w:style>
  <w:style w:type="character" w:customStyle="1" w:styleId="554">
    <w:name w:val="副标题 Char1"/>
    <w:autoRedefine/>
    <w:qFormat/>
    <w:uiPriority w:val="11"/>
    <w:rPr>
      <w:rFonts w:ascii="Cambria" w:hAnsi="Cambria" w:eastAsia="宋体" w:cs="Times New Roman"/>
      <w:b/>
      <w:bCs/>
      <w:kern w:val="28"/>
      <w:sz w:val="32"/>
      <w:szCs w:val="32"/>
    </w:rPr>
  </w:style>
  <w:style w:type="character" w:customStyle="1" w:styleId="555">
    <w:name w:val="三级 Char"/>
    <w:link w:val="556"/>
    <w:autoRedefine/>
    <w:qFormat/>
    <w:uiPriority w:val="0"/>
    <w:rPr>
      <w:b/>
      <w:kern w:val="2"/>
      <w:sz w:val="28"/>
    </w:rPr>
  </w:style>
  <w:style w:type="paragraph" w:customStyle="1" w:styleId="556">
    <w:name w:val="三级"/>
    <w:basedOn w:val="1"/>
    <w:link w:val="555"/>
    <w:autoRedefine/>
    <w:qFormat/>
    <w:uiPriority w:val="0"/>
    <w:pPr>
      <w:adjustRightInd w:val="0"/>
      <w:textAlignment w:val="baseline"/>
    </w:pPr>
    <w:rPr>
      <w:b/>
      <w:sz w:val="28"/>
      <w:szCs w:val="20"/>
    </w:rPr>
  </w:style>
  <w:style w:type="character" w:customStyle="1" w:styleId="557">
    <w:name w:val="兴武正文 Char"/>
    <w:autoRedefine/>
    <w:qFormat/>
    <w:uiPriority w:val="0"/>
    <w:rPr>
      <w:rFonts w:eastAsia="宋体" w:cs="宋体"/>
      <w:kern w:val="2"/>
      <w:sz w:val="24"/>
      <w:lang w:val="en-US" w:eastAsia="zh-CN" w:bidi="ar-SA"/>
    </w:rPr>
  </w:style>
  <w:style w:type="character" w:customStyle="1" w:styleId="558">
    <w:name w:val="表格yy Char Char"/>
    <w:link w:val="559"/>
    <w:autoRedefine/>
    <w:qFormat/>
    <w:uiPriority w:val="0"/>
    <w:rPr>
      <w:rFonts w:eastAsia="仿宋_GB2312"/>
      <w:szCs w:val="24"/>
    </w:rPr>
  </w:style>
  <w:style w:type="paragraph" w:customStyle="1" w:styleId="559">
    <w:name w:val="表格yy"/>
    <w:basedOn w:val="1"/>
    <w:link w:val="558"/>
    <w:autoRedefine/>
    <w:qFormat/>
    <w:uiPriority w:val="0"/>
    <w:pPr>
      <w:snapToGrid w:val="0"/>
      <w:spacing w:line="240" w:lineRule="atLeast"/>
      <w:jc w:val="center"/>
    </w:pPr>
    <w:rPr>
      <w:rFonts w:eastAsia="仿宋_GB2312"/>
      <w:kern w:val="0"/>
      <w:sz w:val="20"/>
    </w:rPr>
  </w:style>
  <w:style w:type="character" w:customStyle="1" w:styleId="560">
    <w:name w:val="正文缩进 Char Char"/>
    <w:autoRedefine/>
    <w:qFormat/>
    <w:uiPriority w:val="0"/>
    <w:rPr>
      <w:rFonts w:eastAsia="宋体"/>
      <w:kern w:val="2"/>
      <w:sz w:val="21"/>
      <w:szCs w:val="24"/>
      <w:lang w:val="en-US" w:eastAsia="zh-CN" w:bidi="ar-SA"/>
    </w:rPr>
  </w:style>
  <w:style w:type="character" w:customStyle="1" w:styleId="561">
    <w:name w:val="页眉1 Char1"/>
    <w:autoRedefine/>
    <w:qFormat/>
    <w:uiPriority w:val="0"/>
    <w:rPr>
      <w:rFonts w:eastAsia="宋体"/>
      <w:kern w:val="2"/>
      <w:sz w:val="18"/>
      <w:szCs w:val="18"/>
      <w:lang w:val="en-US" w:eastAsia="zh-CN" w:bidi="ar-SA"/>
    </w:rPr>
  </w:style>
  <w:style w:type="character" w:customStyle="1" w:styleId="562">
    <w:name w:val="Char Char48"/>
    <w:autoRedefine/>
    <w:qFormat/>
    <w:uiPriority w:val="0"/>
    <w:rPr>
      <w:b/>
      <w:bCs/>
      <w:kern w:val="44"/>
      <w:sz w:val="44"/>
      <w:szCs w:val="44"/>
    </w:rPr>
  </w:style>
  <w:style w:type="character" w:customStyle="1" w:styleId="563">
    <w:name w:val="14588 Char"/>
    <w:link w:val="564"/>
    <w:autoRedefine/>
    <w:qFormat/>
    <w:uiPriority w:val="0"/>
    <w:rPr>
      <w:rFonts w:ascii="Calibri" w:hAnsi="Calibri" w:cs="宋体"/>
      <w:kern w:val="2"/>
      <w:sz w:val="24"/>
      <w:lang w:val="de-DE"/>
    </w:rPr>
  </w:style>
  <w:style w:type="paragraph" w:customStyle="1" w:styleId="564">
    <w:name w:val="14588"/>
    <w:basedOn w:val="1"/>
    <w:link w:val="563"/>
    <w:autoRedefine/>
    <w:qFormat/>
    <w:uiPriority w:val="0"/>
    <w:pPr>
      <w:spacing w:line="360" w:lineRule="auto"/>
      <w:ind w:firstLine="480" w:firstLineChars="200"/>
    </w:pPr>
    <w:rPr>
      <w:rFonts w:ascii="Calibri" w:hAnsi="Calibri" w:cs="宋体"/>
      <w:sz w:val="24"/>
      <w:szCs w:val="20"/>
      <w:lang w:val="de-DE"/>
    </w:rPr>
  </w:style>
  <w:style w:type="character" w:customStyle="1" w:styleId="565">
    <w:name w:val="茂名 正文 Char"/>
    <w:link w:val="566"/>
    <w:autoRedefine/>
    <w:qFormat/>
    <w:uiPriority w:val="0"/>
    <w:rPr>
      <w:rFonts w:ascii="Symbol" w:hAnsi="Symbol" w:eastAsia="微软雅黑" w:cs="Symbol"/>
      <w:sz w:val="24"/>
      <w:szCs w:val="24"/>
    </w:rPr>
  </w:style>
  <w:style w:type="paragraph" w:customStyle="1" w:styleId="566">
    <w:name w:val="茂名 正文"/>
    <w:basedOn w:val="1"/>
    <w:link w:val="565"/>
    <w:autoRedefine/>
    <w:qFormat/>
    <w:uiPriority w:val="0"/>
    <w:pPr>
      <w:widowControl/>
      <w:topLinePunct/>
      <w:spacing w:line="480" w:lineRule="exact"/>
      <w:ind w:firstLine="539"/>
    </w:pPr>
    <w:rPr>
      <w:rFonts w:ascii="Symbol" w:hAnsi="Symbol" w:eastAsia="微软雅黑" w:cs="Symbol"/>
      <w:kern w:val="0"/>
      <w:sz w:val="24"/>
    </w:rPr>
  </w:style>
  <w:style w:type="character" w:customStyle="1" w:styleId="567">
    <w:name w:val="正文(康健城) Char"/>
    <w:link w:val="568"/>
    <w:autoRedefine/>
    <w:qFormat/>
    <w:uiPriority w:val="0"/>
    <w:rPr>
      <w:sz w:val="24"/>
      <w:szCs w:val="24"/>
    </w:rPr>
  </w:style>
  <w:style w:type="paragraph" w:customStyle="1" w:styleId="568">
    <w:name w:val="正文(康健城)"/>
    <w:basedOn w:val="1"/>
    <w:link w:val="567"/>
    <w:autoRedefine/>
    <w:qFormat/>
    <w:uiPriority w:val="0"/>
    <w:pPr>
      <w:adjustRightInd w:val="0"/>
      <w:snapToGrid w:val="0"/>
      <w:spacing w:line="360" w:lineRule="auto"/>
      <w:ind w:firstLine="480" w:firstLineChars="200"/>
      <w:textAlignment w:val="baseline"/>
    </w:pPr>
    <w:rPr>
      <w:kern w:val="0"/>
      <w:sz w:val="24"/>
    </w:rPr>
  </w:style>
  <w:style w:type="character" w:customStyle="1" w:styleId="569">
    <w:name w:val="标题1.1.1.1.1.1 Char"/>
    <w:autoRedefine/>
    <w:qFormat/>
    <w:uiPriority w:val="0"/>
    <w:rPr>
      <w:rFonts w:ascii="Arial" w:hAnsi="Arial" w:eastAsia="黑体" w:cs="宋体"/>
      <w:b/>
      <w:color w:val="FF0000"/>
      <w:kern w:val="0"/>
      <w:szCs w:val="20"/>
    </w:rPr>
  </w:style>
  <w:style w:type="character" w:customStyle="1" w:styleId="570">
    <w:name w:val="标题 7表内5号 Char"/>
    <w:autoRedefine/>
    <w:qFormat/>
    <w:uiPriority w:val="0"/>
    <w:rPr>
      <w:rFonts w:ascii="Times New Roman" w:hAnsi="Times New Roman" w:eastAsia="宋体" w:cs="宋体"/>
      <w:b/>
      <w:color w:val="FF0000"/>
      <w:kern w:val="0"/>
      <w:szCs w:val="20"/>
    </w:rPr>
  </w:style>
  <w:style w:type="character" w:customStyle="1" w:styleId="571">
    <w:name w:val="目标题 1) Char"/>
    <w:autoRedefine/>
    <w:qFormat/>
    <w:uiPriority w:val="0"/>
    <w:rPr>
      <w:rFonts w:ascii="Arial" w:hAnsi="Arial" w:eastAsia="黑体" w:cs="宋体"/>
      <w:b/>
      <w:color w:val="FF0000"/>
      <w:kern w:val="0"/>
      <w:szCs w:val="20"/>
    </w:rPr>
  </w:style>
  <w:style w:type="character" w:customStyle="1" w:styleId="572">
    <w:name w:val="干标题(a) Char"/>
    <w:autoRedefine/>
    <w:qFormat/>
    <w:uiPriority w:val="0"/>
    <w:rPr>
      <w:rFonts w:ascii="Arial" w:hAnsi="Arial" w:eastAsia="黑体" w:cs="宋体"/>
      <w:b/>
      <w:color w:val="FF0000"/>
      <w:kern w:val="0"/>
      <w:szCs w:val="20"/>
    </w:rPr>
  </w:style>
  <w:style w:type="character" w:customStyle="1" w:styleId="573">
    <w:name w:val="CN normal Char"/>
    <w:link w:val="574"/>
    <w:autoRedefine/>
    <w:qFormat/>
    <w:uiPriority w:val="0"/>
    <w:rPr>
      <w:rFonts w:ascii="Arial" w:hAnsi="Arial"/>
      <w:lang w:val="en-GB"/>
    </w:rPr>
  </w:style>
  <w:style w:type="paragraph" w:customStyle="1" w:styleId="574">
    <w:name w:val="CN normal"/>
    <w:basedOn w:val="1"/>
    <w:link w:val="573"/>
    <w:autoRedefine/>
    <w:qFormat/>
    <w:uiPriority w:val="0"/>
    <w:pPr>
      <w:widowControl/>
      <w:spacing w:line="280" w:lineRule="atLeast"/>
      <w:contextualSpacing/>
    </w:pPr>
    <w:rPr>
      <w:rFonts w:ascii="Arial" w:hAnsi="Arial"/>
      <w:kern w:val="0"/>
      <w:sz w:val="20"/>
      <w:szCs w:val="20"/>
      <w:lang w:val="en-GB"/>
    </w:rPr>
  </w:style>
  <w:style w:type="character" w:customStyle="1" w:styleId="575">
    <w:name w:val="li_正文 Char"/>
    <w:link w:val="576"/>
    <w:autoRedefine/>
    <w:qFormat/>
    <w:uiPriority w:val="0"/>
    <w:rPr>
      <w:rFonts w:ascii="Calibri" w:hAnsi="Calibri"/>
      <w:kern w:val="2"/>
      <w:sz w:val="21"/>
      <w:szCs w:val="24"/>
    </w:rPr>
  </w:style>
  <w:style w:type="paragraph" w:customStyle="1" w:styleId="576">
    <w:name w:val="li_正文"/>
    <w:basedOn w:val="1"/>
    <w:link w:val="575"/>
    <w:autoRedefine/>
    <w:qFormat/>
    <w:uiPriority w:val="0"/>
    <w:pPr>
      <w:ind w:firstLine="480" w:firstLineChars="200"/>
      <w:contextualSpacing/>
    </w:pPr>
    <w:rPr>
      <w:rFonts w:ascii="Calibri" w:hAnsi="Calibri"/>
    </w:rPr>
  </w:style>
  <w:style w:type="character" w:customStyle="1" w:styleId="577">
    <w:name w:val="表名 Char1"/>
    <w:link w:val="578"/>
    <w:autoRedefine/>
    <w:semiHidden/>
    <w:qFormat/>
    <w:uiPriority w:val="0"/>
    <w:rPr>
      <w:rFonts w:ascii="Arial" w:hAnsi="Arial" w:eastAsia="楷体_GB2312" w:cs="宋体"/>
      <w:b/>
      <w:sz w:val="21"/>
    </w:rPr>
  </w:style>
  <w:style w:type="paragraph" w:customStyle="1" w:styleId="578">
    <w:name w:val="表名"/>
    <w:basedOn w:val="1"/>
    <w:next w:val="1"/>
    <w:link w:val="577"/>
    <w:autoRedefine/>
    <w:semiHidden/>
    <w:qFormat/>
    <w:uiPriority w:val="0"/>
    <w:pPr>
      <w:widowControl/>
      <w:adjustRightInd w:val="0"/>
      <w:spacing w:before="120" w:afterLines="10" w:line="312" w:lineRule="auto"/>
      <w:contextualSpacing/>
      <w:jc w:val="center"/>
      <w:textAlignment w:val="baseline"/>
    </w:pPr>
    <w:rPr>
      <w:rFonts w:ascii="Arial" w:hAnsi="Arial" w:eastAsia="楷体_GB2312" w:cs="宋体"/>
      <w:b/>
      <w:kern w:val="0"/>
      <w:szCs w:val="20"/>
    </w:rPr>
  </w:style>
  <w:style w:type="character" w:customStyle="1" w:styleId="579">
    <w:name w:val="表名 1 Char"/>
    <w:link w:val="580"/>
    <w:autoRedefine/>
    <w:qFormat/>
    <w:uiPriority w:val="0"/>
    <w:rPr>
      <w:rFonts w:ascii="Arial" w:hAnsi="Arial" w:eastAsia="楷体_GB2312" w:cs="宋体"/>
      <w:b/>
      <w:sz w:val="21"/>
    </w:rPr>
  </w:style>
  <w:style w:type="paragraph" w:customStyle="1" w:styleId="580">
    <w:name w:val="表名 1"/>
    <w:basedOn w:val="578"/>
    <w:link w:val="579"/>
    <w:autoRedefine/>
    <w:qFormat/>
    <w:uiPriority w:val="0"/>
    <w:pPr>
      <w:spacing w:after="31"/>
    </w:pPr>
  </w:style>
  <w:style w:type="character" w:customStyle="1" w:styleId="581">
    <w:name w:val="hangju"/>
    <w:autoRedefine/>
    <w:qFormat/>
    <w:uiPriority w:val="0"/>
    <w:rPr>
      <w:rFonts w:ascii="宋体" w:hAnsi="宋体" w:eastAsia="宋体" w:cs="宋体"/>
      <w:kern w:val="2"/>
      <w:sz w:val="24"/>
      <w:szCs w:val="24"/>
      <w:lang w:val="en-US" w:eastAsia="zh-CN" w:bidi="ar-SA"/>
    </w:rPr>
  </w:style>
  <w:style w:type="character" w:customStyle="1" w:styleId="582">
    <w:name w:val="可研报告正文 Char"/>
    <w:link w:val="583"/>
    <w:autoRedefine/>
    <w:qFormat/>
    <w:uiPriority w:val="0"/>
    <w:rPr>
      <w:rFonts w:ascii="Calibri" w:hAnsi="Calibri" w:cs="宋体"/>
      <w:sz w:val="21"/>
      <w:szCs w:val="24"/>
    </w:rPr>
  </w:style>
  <w:style w:type="paragraph" w:customStyle="1" w:styleId="583">
    <w:name w:val="可研报告正文"/>
    <w:basedOn w:val="1"/>
    <w:link w:val="582"/>
    <w:autoRedefine/>
    <w:qFormat/>
    <w:uiPriority w:val="0"/>
    <w:pPr>
      <w:widowControl/>
      <w:tabs>
        <w:tab w:val="left" w:pos="5880"/>
      </w:tabs>
      <w:spacing w:beforeLines="50" w:line="440" w:lineRule="exact"/>
      <w:ind w:left="425" w:firstLine="482"/>
      <w:contextualSpacing/>
      <w:jc w:val="left"/>
    </w:pPr>
    <w:rPr>
      <w:rFonts w:ascii="Calibri" w:hAnsi="Calibri" w:cs="宋体"/>
      <w:kern w:val="0"/>
    </w:rPr>
  </w:style>
  <w:style w:type="character" w:customStyle="1" w:styleId="584">
    <w:name w:val="csscontent0041"/>
    <w:autoRedefine/>
    <w:qFormat/>
    <w:uiPriority w:val="0"/>
    <w:rPr>
      <w:rFonts w:hint="default" w:ascii="ˎ̥" w:hAnsi="ˎ̥"/>
      <w:color w:val="000000"/>
      <w:sz w:val="16"/>
      <w:szCs w:val="16"/>
      <w:u w:val="none"/>
    </w:rPr>
  </w:style>
  <w:style w:type="character" w:customStyle="1" w:styleId="585">
    <w:name w:val="段落文字 Char"/>
    <w:link w:val="586"/>
    <w:autoRedefine/>
    <w:qFormat/>
    <w:uiPriority w:val="0"/>
    <w:rPr>
      <w:rFonts w:ascii="宋体" w:hAnsi="宋体"/>
      <w:sz w:val="24"/>
      <w:szCs w:val="24"/>
    </w:rPr>
  </w:style>
  <w:style w:type="paragraph" w:customStyle="1" w:styleId="586">
    <w:name w:val="段落文字"/>
    <w:basedOn w:val="1"/>
    <w:link w:val="585"/>
    <w:autoRedefine/>
    <w:qFormat/>
    <w:uiPriority w:val="0"/>
    <w:pPr>
      <w:widowControl/>
      <w:adjustRightInd w:val="0"/>
      <w:snapToGrid w:val="0"/>
      <w:spacing w:line="480" w:lineRule="exact"/>
      <w:contextualSpacing/>
      <w:jc w:val="left"/>
    </w:pPr>
    <w:rPr>
      <w:rFonts w:ascii="宋体" w:hAnsi="宋体"/>
      <w:kern w:val="0"/>
      <w:sz w:val="24"/>
    </w:rPr>
  </w:style>
  <w:style w:type="character" w:customStyle="1" w:styleId="587">
    <w:name w:val="middle1"/>
    <w:autoRedefine/>
    <w:qFormat/>
    <w:uiPriority w:val="0"/>
    <w:rPr>
      <w:rFonts w:hint="eastAsia" w:ascii="宋体" w:hAnsi="宋体" w:eastAsia="宋体"/>
      <w:sz w:val="24"/>
      <w:szCs w:val="24"/>
    </w:rPr>
  </w:style>
  <w:style w:type="character" w:customStyle="1" w:styleId="588">
    <w:name w:val="样式 表内样式 + (符号) 宋体 Char1"/>
    <w:link w:val="589"/>
    <w:autoRedefine/>
    <w:qFormat/>
    <w:uiPriority w:val="0"/>
    <w:rPr>
      <w:rFonts w:ascii="Calibri" w:hAnsi="Calibri" w:cs="宋体"/>
      <w:sz w:val="21"/>
      <w:szCs w:val="21"/>
    </w:rPr>
  </w:style>
  <w:style w:type="paragraph" w:customStyle="1" w:styleId="589">
    <w:name w:val="样式 表内样式 + (符号) 宋体"/>
    <w:basedOn w:val="1"/>
    <w:link w:val="588"/>
    <w:autoRedefine/>
    <w:qFormat/>
    <w:uiPriority w:val="0"/>
    <w:pPr>
      <w:keepLines/>
      <w:widowControl/>
      <w:kinsoku w:val="0"/>
      <w:overflowPunct w:val="0"/>
      <w:adjustRightInd w:val="0"/>
      <w:spacing w:line="320" w:lineRule="exact"/>
      <w:contextualSpacing/>
      <w:jc w:val="center"/>
    </w:pPr>
    <w:rPr>
      <w:rFonts w:ascii="Calibri" w:hAnsi="Calibri" w:cs="宋体"/>
      <w:kern w:val="0"/>
    </w:rPr>
  </w:style>
  <w:style w:type="character" w:customStyle="1" w:styleId="590">
    <w:name w:val="Char Char111"/>
    <w:autoRedefine/>
    <w:qFormat/>
    <w:uiPriority w:val="0"/>
    <w:rPr>
      <w:rFonts w:ascii="Arial" w:hAnsi="Arial" w:eastAsia="黑体"/>
      <w:b/>
      <w:sz w:val="28"/>
    </w:rPr>
  </w:style>
  <w:style w:type="character" w:customStyle="1" w:styleId="591">
    <w:name w:val="Char Char2"/>
    <w:autoRedefine/>
    <w:qFormat/>
    <w:uiPriority w:val="0"/>
    <w:rPr>
      <w:rFonts w:ascii="宋体" w:hAnsi="Courier New" w:eastAsia="宋体"/>
      <w:kern w:val="2"/>
      <w:sz w:val="21"/>
      <w:lang w:val="en-US" w:eastAsia="zh-CN" w:bidi="ar-SA"/>
    </w:rPr>
  </w:style>
  <w:style w:type="character" w:customStyle="1" w:styleId="592">
    <w:name w:val="正文首行缩进2字符! Char"/>
    <w:link w:val="593"/>
    <w:autoRedefine/>
    <w:qFormat/>
    <w:uiPriority w:val="0"/>
    <w:rPr>
      <w:rFonts w:ascii="Calibri" w:hAnsi="Calibri"/>
      <w:kern w:val="2"/>
      <w:sz w:val="28"/>
    </w:rPr>
  </w:style>
  <w:style w:type="paragraph" w:customStyle="1" w:styleId="593">
    <w:name w:val="正文首行缩进2字符!"/>
    <w:basedOn w:val="1"/>
    <w:link w:val="592"/>
    <w:autoRedefine/>
    <w:qFormat/>
    <w:uiPriority w:val="0"/>
    <w:pPr>
      <w:adjustRightInd w:val="0"/>
      <w:snapToGrid w:val="0"/>
      <w:ind w:firstLine="560" w:firstLineChars="200"/>
      <w:contextualSpacing/>
      <w:jc w:val="left"/>
    </w:pPr>
    <w:rPr>
      <w:rFonts w:ascii="Calibri" w:hAnsi="Calibri"/>
      <w:sz w:val="28"/>
      <w:szCs w:val="20"/>
    </w:rPr>
  </w:style>
  <w:style w:type="character" w:customStyle="1" w:styleId="594">
    <w:name w:val="标题5 Char"/>
    <w:link w:val="595"/>
    <w:autoRedefine/>
    <w:qFormat/>
    <w:uiPriority w:val="0"/>
    <w:rPr>
      <w:rFonts w:ascii="Calibri" w:hAnsi="Calibri"/>
      <w:kern w:val="2"/>
      <w:sz w:val="28"/>
      <w:szCs w:val="21"/>
    </w:rPr>
  </w:style>
  <w:style w:type="paragraph" w:customStyle="1" w:styleId="595">
    <w:name w:val="标题5"/>
    <w:basedOn w:val="1"/>
    <w:next w:val="79"/>
    <w:link w:val="594"/>
    <w:autoRedefine/>
    <w:qFormat/>
    <w:uiPriority w:val="0"/>
    <w:pPr>
      <w:numPr>
        <w:ilvl w:val="4"/>
        <w:numId w:val="5"/>
      </w:numPr>
      <w:snapToGrid w:val="0"/>
      <w:contextualSpacing/>
      <w:outlineLvl w:val="4"/>
    </w:pPr>
    <w:rPr>
      <w:rFonts w:ascii="Calibri" w:hAnsi="Calibri"/>
      <w:sz w:val="28"/>
    </w:rPr>
  </w:style>
  <w:style w:type="character" w:customStyle="1" w:styleId="596">
    <w:name w:val="样式 题注 + 首行缩进:  2 字符2 Char"/>
    <w:link w:val="597"/>
    <w:autoRedefine/>
    <w:qFormat/>
    <w:uiPriority w:val="0"/>
    <w:rPr>
      <w:rFonts w:ascii="黑体" w:hAnsi="宋体" w:eastAsia="黑体"/>
      <w:kern w:val="2"/>
      <w:sz w:val="24"/>
      <w:szCs w:val="24"/>
    </w:rPr>
  </w:style>
  <w:style w:type="paragraph" w:customStyle="1" w:styleId="597">
    <w:name w:val="样式 题注 + 首行缩进:  2 字符2"/>
    <w:basedOn w:val="21"/>
    <w:link w:val="596"/>
    <w:autoRedefine/>
    <w:qFormat/>
    <w:uiPriority w:val="0"/>
    <w:pPr>
      <w:snapToGrid/>
      <w:spacing w:line="240" w:lineRule="auto"/>
      <w:contextualSpacing/>
      <w:jc w:val="center"/>
    </w:pPr>
    <w:rPr>
      <w:rFonts w:ascii="黑体" w:hAnsi="宋体" w:cs="Times New Roman"/>
      <w:sz w:val="24"/>
      <w:szCs w:val="24"/>
    </w:rPr>
  </w:style>
  <w:style w:type="character" w:customStyle="1" w:styleId="598">
    <w:name w:val="题注 + 居中! Char"/>
    <w:link w:val="599"/>
    <w:autoRedefine/>
    <w:qFormat/>
    <w:uiPriority w:val="0"/>
    <w:rPr>
      <w:rFonts w:ascii="黑体" w:hAnsi="Arial" w:eastAsia="黑体"/>
      <w:kern w:val="2"/>
      <w:sz w:val="24"/>
      <w:szCs w:val="24"/>
    </w:rPr>
  </w:style>
  <w:style w:type="paragraph" w:customStyle="1" w:styleId="599">
    <w:name w:val="题注 + 居中!"/>
    <w:basedOn w:val="21"/>
    <w:link w:val="598"/>
    <w:autoRedefine/>
    <w:qFormat/>
    <w:uiPriority w:val="0"/>
    <w:pPr>
      <w:adjustRightInd w:val="0"/>
      <w:spacing w:line="240" w:lineRule="auto"/>
      <w:ind w:firstLine="480" w:firstLineChars="200"/>
      <w:contextualSpacing/>
      <w:jc w:val="center"/>
    </w:pPr>
    <w:rPr>
      <w:rFonts w:ascii="黑体" w:cs="Times New Roman"/>
      <w:sz w:val="24"/>
      <w:szCs w:val="24"/>
    </w:rPr>
  </w:style>
  <w:style w:type="character" w:customStyle="1" w:styleId="600">
    <w:name w:val="texd1"/>
    <w:autoRedefine/>
    <w:qFormat/>
    <w:uiPriority w:val="0"/>
    <w:rPr>
      <w:rFonts w:hint="default"/>
      <w:color w:val="000000"/>
      <w:spacing w:val="480"/>
      <w:w w:val="0"/>
      <w:sz w:val="20"/>
      <w:szCs w:val="20"/>
    </w:rPr>
  </w:style>
  <w:style w:type="character" w:customStyle="1" w:styleId="601">
    <w:name w:val="正文（首行缩进两字） Char1 Char Char"/>
    <w:autoRedefine/>
    <w:qFormat/>
    <w:uiPriority w:val="0"/>
    <w:rPr>
      <w:rFonts w:ascii="Times New Roman" w:hAnsi="Times New Roman" w:eastAsia="宋体" w:cs="Times New Roman"/>
      <w:bCs/>
      <w:snapToGrid/>
      <w:kern w:val="0"/>
      <w:szCs w:val="24"/>
      <w:lang w:val="zh-CN"/>
    </w:rPr>
  </w:style>
  <w:style w:type="character" w:customStyle="1" w:styleId="602">
    <w:name w:val="yyp Char"/>
    <w:link w:val="603"/>
    <w:autoRedefine/>
    <w:qFormat/>
    <w:uiPriority w:val="0"/>
    <w:rPr>
      <w:rFonts w:ascii="Calibri" w:hAnsi="Calibri"/>
      <w:kern w:val="2"/>
      <w:sz w:val="24"/>
      <w:szCs w:val="24"/>
    </w:rPr>
  </w:style>
  <w:style w:type="paragraph" w:customStyle="1" w:styleId="603">
    <w:name w:val="yyp"/>
    <w:basedOn w:val="79"/>
    <w:link w:val="602"/>
    <w:autoRedefine/>
    <w:qFormat/>
    <w:uiPriority w:val="0"/>
    <w:pPr>
      <w:spacing w:line="360" w:lineRule="auto"/>
      <w:ind w:firstLine="480" w:firstLineChars="200"/>
    </w:pPr>
    <w:rPr>
      <w:rFonts w:ascii="Calibri" w:hAnsi="Calibri"/>
      <w:sz w:val="24"/>
    </w:rPr>
  </w:style>
  <w:style w:type="character" w:customStyle="1" w:styleId="604">
    <w:name w:val="正文小四首缩1.3行距 Char"/>
    <w:link w:val="605"/>
    <w:autoRedefine/>
    <w:qFormat/>
    <w:uiPriority w:val="0"/>
    <w:rPr>
      <w:rFonts w:ascii="Calibri" w:hAnsi="Calibri"/>
      <w:kern w:val="2"/>
      <w:sz w:val="24"/>
      <w:szCs w:val="24"/>
    </w:rPr>
  </w:style>
  <w:style w:type="paragraph" w:customStyle="1" w:styleId="605">
    <w:name w:val="正文小四首缩1.3行距"/>
    <w:basedOn w:val="1"/>
    <w:link w:val="604"/>
    <w:autoRedefine/>
    <w:qFormat/>
    <w:uiPriority w:val="0"/>
    <w:pPr>
      <w:spacing w:line="312" w:lineRule="auto"/>
      <w:ind w:firstLine="420" w:firstLineChars="200"/>
    </w:pPr>
    <w:rPr>
      <w:rFonts w:ascii="Calibri" w:hAnsi="Calibri"/>
      <w:sz w:val="24"/>
    </w:rPr>
  </w:style>
  <w:style w:type="character" w:customStyle="1" w:styleId="606">
    <w:name w:val="表、图标题 Char Char"/>
    <w:link w:val="607"/>
    <w:autoRedefine/>
    <w:qFormat/>
    <w:uiPriority w:val="0"/>
    <w:rPr>
      <w:rFonts w:ascii="宋体" w:hAnsi="宋体"/>
      <w:b/>
      <w:bCs/>
      <w:snapToGrid/>
      <w:sz w:val="24"/>
      <w:szCs w:val="21"/>
    </w:rPr>
  </w:style>
  <w:style w:type="paragraph" w:customStyle="1" w:styleId="607">
    <w:name w:val="表、图标题"/>
    <w:basedOn w:val="1"/>
    <w:link w:val="606"/>
    <w:autoRedefine/>
    <w:qFormat/>
    <w:uiPriority w:val="0"/>
    <w:pPr>
      <w:adjustRightInd w:val="0"/>
      <w:snapToGrid w:val="0"/>
      <w:spacing w:line="480" w:lineRule="exact"/>
      <w:jc w:val="center"/>
    </w:pPr>
    <w:rPr>
      <w:rFonts w:ascii="宋体" w:hAnsi="宋体"/>
      <w:b/>
      <w:bCs/>
      <w:snapToGrid w:val="0"/>
      <w:kern w:val="0"/>
      <w:sz w:val="24"/>
    </w:rPr>
  </w:style>
  <w:style w:type="character" w:customStyle="1" w:styleId="608">
    <w:name w:val="Footer1 Char1"/>
    <w:autoRedefine/>
    <w:qFormat/>
    <w:uiPriority w:val="0"/>
    <w:rPr>
      <w:sz w:val="18"/>
      <w:szCs w:val="18"/>
    </w:rPr>
  </w:style>
  <w:style w:type="character" w:customStyle="1" w:styleId="609">
    <w:name w:val="font21"/>
    <w:basedOn w:val="87"/>
    <w:autoRedefine/>
    <w:qFormat/>
    <w:uiPriority w:val="0"/>
    <w:rPr>
      <w:rFonts w:hint="default" w:ascii="Times New Roman" w:hAnsi="Times New Roman" w:cs="Times New Roman"/>
      <w:color w:val="000000"/>
      <w:sz w:val="21"/>
      <w:szCs w:val="21"/>
      <w:u w:val="none"/>
    </w:rPr>
  </w:style>
  <w:style w:type="character" w:customStyle="1" w:styleId="610">
    <w:name w:val="节标题 1.1 Char3"/>
    <w:autoRedefine/>
    <w:qFormat/>
    <w:uiPriority w:val="0"/>
    <w:rPr>
      <w:rFonts w:ascii="Times New Roman" w:hAnsi="Times New Roman" w:eastAsia="宋体" w:cs="Times New Roman"/>
      <w:b/>
      <w:bCs/>
      <w:sz w:val="28"/>
      <w:szCs w:val="32"/>
    </w:rPr>
  </w:style>
  <w:style w:type="character" w:customStyle="1" w:styleId="611">
    <w:name w:val="111正文 Char"/>
    <w:link w:val="612"/>
    <w:autoRedefine/>
    <w:qFormat/>
    <w:uiPriority w:val="0"/>
    <w:rPr>
      <w:rFonts w:ascii="Calibri" w:hAnsi="Calibri"/>
      <w:kern w:val="2"/>
      <w:sz w:val="24"/>
      <w:szCs w:val="22"/>
    </w:rPr>
  </w:style>
  <w:style w:type="paragraph" w:customStyle="1" w:styleId="612">
    <w:name w:val="111正文"/>
    <w:basedOn w:val="1"/>
    <w:link w:val="611"/>
    <w:autoRedefine/>
    <w:qFormat/>
    <w:uiPriority w:val="0"/>
    <w:pPr>
      <w:tabs>
        <w:tab w:val="left" w:pos="600"/>
      </w:tabs>
      <w:spacing w:line="360" w:lineRule="auto"/>
      <w:ind w:firstLine="200" w:firstLineChars="200"/>
    </w:pPr>
    <w:rPr>
      <w:rFonts w:ascii="Calibri" w:hAnsi="Calibri"/>
      <w:sz w:val="24"/>
      <w:szCs w:val="22"/>
    </w:rPr>
  </w:style>
  <w:style w:type="character" w:customStyle="1" w:styleId="613">
    <w:name w:val="表格文字 Char1"/>
    <w:autoRedefine/>
    <w:qFormat/>
    <w:uiPriority w:val="0"/>
    <w:rPr>
      <w:rFonts w:ascii="宋体" w:hAnsi="宋体" w:eastAsia="宋体" w:cs="宋体"/>
      <w:kern w:val="2"/>
      <w:sz w:val="21"/>
      <w:szCs w:val="24"/>
      <w:lang w:val="en-US" w:eastAsia="zh-CN" w:bidi="ar-SA"/>
    </w:rPr>
  </w:style>
  <w:style w:type="character" w:customStyle="1" w:styleId="614">
    <w:name w:val="fontstyle21"/>
    <w:autoRedefine/>
    <w:qFormat/>
    <w:uiPriority w:val="0"/>
    <w:rPr>
      <w:rFonts w:hint="eastAsia" w:ascii="黑体" w:hAnsi="黑体" w:eastAsia="黑体"/>
      <w:color w:val="000000"/>
      <w:sz w:val="32"/>
      <w:szCs w:val="32"/>
    </w:rPr>
  </w:style>
  <w:style w:type="character" w:customStyle="1" w:styleId="615">
    <w:name w:val="fontstyle31"/>
    <w:autoRedefine/>
    <w:qFormat/>
    <w:uiPriority w:val="0"/>
    <w:rPr>
      <w:rFonts w:hint="eastAsia" w:ascii="宋体" w:hAnsi="宋体" w:eastAsia="宋体"/>
      <w:color w:val="000000"/>
      <w:sz w:val="24"/>
      <w:szCs w:val="24"/>
    </w:rPr>
  </w:style>
  <w:style w:type="character" w:customStyle="1" w:styleId="616">
    <w:name w:val="表格标题 Char Char"/>
    <w:autoRedefine/>
    <w:qFormat/>
    <w:uiPriority w:val="0"/>
    <w:rPr>
      <w:rFonts w:eastAsia="黑体"/>
      <w:kern w:val="2"/>
      <w:sz w:val="21"/>
      <w:szCs w:val="24"/>
    </w:rPr>
  </w:style>
  <w:style w:type="character" w:customStyle="1" w:styleId="617">
    <w:name w:val="fontstyle11"/>
    <w:autoRedefine/>
    <w:qFormat/>
    <w:uiPriority w:val="0"/>
    <w:rPr>
      <w:rFonts w:hint="default" w:ascii="TimesNewRomanPS-ItalicMT" w:hAnsi="TimesNewRomanPS-ItalicMT"/>
      <w:i/>
      <w:iCs/>
      <w:color w:val="000000"/>
      <w:sz w:val="24"/>
      <w:szCs w:val="24"/>
    </w:rPr>
  </w:style>
  <w:style w:type="character" w:customStyle="1" w:styleId="618">
    <w:name w:val="未处理的提及1"/>
    <w:autoRedefine/>
    <w:unhideWhenUsed/>
    <w:qFormat/>
    <w:uiPriority w:val="99"/>
    <w:rPr>
      <w:color w:val="808080"/>
      <w:shd w:val="clear" w:color="auto" w:fill="E6E6E6"/>
    </w:rPr>
  </w:style>
  <w:style w:type="character" w:customStyle="1" w:styleId="619">
    <w:name w:val="标题 5 Char"/>
    <w:autoRedefine/>
    <w:semiHidden/>
    <w:qFormat/>
    <w:uiPriority w:val="0"/>
    <w:rPr>
      <w:b/>
      <w:bCs/>
      <w:sz w:val="28"/>
      <w:szCs w:val="28"/>
    </w:rPr>
  </w:style>
  <w:style w:type="character" w:customStyle="1" w:styleId="620">
    <w:name w:val="纯文本 Char"/>
    <w:autoRedefine/>
    <w:semiHidden/>
    <w:qFormat/>
    <w:uiPriority w:val="99"/>
    <w:rPr>
      <w:rFonts w:ascii="宋体" w:hAnsi="Courier New" w:eastAsia="宋体" w:cs="Courier New"/>
      <w:szCs w:val="21"/>
    </w:rPr>
  </w:style>
  <w:style w:type="character" w:customStyle="1" w:styleId="621">
    <w:name w:val="表头 Char"/>
    <w:autoRedefine/>
    <w:semiHidden/>
    <w:qFormat/>
    <w:uiPriority w:val="0"/>
    <w:rPr>
      <w:rFonts w:ascii="Times New Roman" w:hAnsi="Times New Roman" w:eastAsia="宋体" w:cs="宋体"/>
      <w:b/>
      <w:bCs/>
      <w:kern w:val="0"/>
      <w:sz w:val="21"/>
      <w:szCs w:val="21"/>
    </w:rPr>
  </w:style>
  <w:style w:type="character" w:customStyle="1" w:styleId="622">
    <w:name w:val="样式 Arial"/>
    <w:autoRedefine/>
    <w:semiHidden/>
    <w:qFormat/>
    <w:uiPriority w:val="0"/>
    <w:rPr>
      <w:rFonts w:ascii="Arial" w:hAnsi="Arial" w:eastAsia="宋体" w:cs="宋体"/>
      <w:kern w:val="2"/>
      <w:sz w:val="24"/>
      <w:szCs w:val="24"/>
      <w:lang w:val="en-US" w:eastAsia="zh-CN" w:bidi="ar-SA"/>
    </w:rPr>
  </w:style>
  <w:style w:type="character" w:customStyle="1" w:styleId="623">
    <w:name w:val="enas"/>
    <w:autoRedefine/>
    <w:semiHidden/>
    <w:qFormat/>
    <w:uiPriority w:val="0"/>
    <w:rPr>
      <w:rFonts w:ascii="Arial" w:hAnsi="Arial" w:eastAsia="宋体" w:cs="Arial"/>
      <w:color w:val="auto"/>
      <w:kern w:val="2"/>
      <w:sz w:val="20"/>
      <w:szCs w:val="20"/>
      <w:lang w:val="en-US" w:eastAsia="zh-CN" w:bidi="ar-SA"/>
    </w:rPr>
  </w:style>
  <w:style w:type="character" w:customStyle="1" w:styleId="624">
    <w:name w:val="Char Char10"/>
    <w:autoRedefine/>
    <w:semiHidden/>
    <w:qFormat/>
    <w:uiPriority w:val="0"/>
    <w:rPr>
      <w:rFonts w:ascii="宋体" w:hAnsi="宋体" w:eastAsia="宋体" w:cs="宋体"/>
      <w:color w:val="FF0000"/>
      <w:kern w:val="2"/>
      <w:sz w:val="24"/>
      <w:szCs w:val="24"/>
      <w:lang w:val="en-US" w:eastAsia="zh-CN" w:bidi="ar-SA"/>
    </w:rPr>
  </w:style>
  <w:style w:type="character" w:customStyle="1" w:styleId="625">
    <w:name w:val="Char Char7"/>
    <w:autoRedefine/>
    <w:semiHidden/>
    <w:qFormat/>
    <w:uiPriority w:val="0"/>
    <w:rPr>
      <w:rFonts w:ascii="宋体" w:hAnsi="宋体" w:eastAsia="宋体" w:cs="宋体"/>
      <w:kern w:val="2"/>
      <w:sz w:val="18"/>
      <w:szCs w:val="18"/>
      <w:lang w:val="en-US" w:eastAsia="zh-CN" w:bidi="ar-SA"/>
    </w:rPr>
  </w:style>
  <w:style w:type="character" w:customStyle="1" w:styleId="626">
    <w:name w:val="HTML 地址 Char1"/>
    <w:autoRedefine/>
    <w:semiHidden/>
    <w:qFormat/>
    <w:uiPriority w:val="99"/>
    <w:rPr>
      <w:i/>
      <w:iCs/>
    </w:rPr>
  </w:style>
  <w:style w:type="character" w:customStyle="1" w:styleId="627">
    <w:name w:val="信息标题 Char1"/>
    <w:autoRedefine/>
    <w:semiHidden/>
    <w:qFormat/>
    <w:uiPriority w:val="99"/>
    <w:rPr>
      <w:rFonts w:ascii="Calibri Light" w:hAnsi="Calibri Light" w:eastAsia="宋体" w:cs="Times New Roman"/>
      <w:sz w:val="24"/>
      <w:szCs w:val="24"/>
      <w:shd w:val="pct20" w:color="auto" w:fill="auto"/>
    </w:rPr>
  </w:style>
  <w:style w:type="character" w:customStyle="1" w:styleId="628">
    <w:name w:val="z-窗体顶端 Char1"/>
    <w:autoRedefine/>
    <w:semiHidden/>
    <w:qFormat/>
    <w:uiPriority w:val="99"/>
    <w:rPr>
      <w:rFonts w:ascii="Arial" w:hAnsi="Arial" w:cs="Arial"/>
      <w:vanish/>
      <w:sz w:val="16"/>
      <w:szCs w:val="16"/>
    </w:rPr>
  </w:style>
  <w:style w:type="character" w:customStyle="1" w:styleId="629">
    <w:name w:val="访问过的超链接1"/>
    <w:autoRedefine/>
    <w:unhideWhenUsed/>
    <w:qFormat/>
    <w:uiPriority w:val="99"/>
    <w:rPr>
      <w:rFonts w:ascii="宋体" w:hAnsi="宋体" w:eastAsia="宋体" w:cs="宋体"/>
      <w:color w:val="954F72"/>
      <w:kern w:val="2"/>
      <w:sz w:val="24"/>
      <w:szCs w:val="24"/>
      <w:u w:val="single"/>
      <w:lang w:val="en-US" w:eastAsia="zh-CN" w:bidi="ar-SA"/>
    </w:rPr>
  </w:style>
  <w:style w:type="character" w:customStyle="1" w:styleId="630">
    <w:name w:val="ref"/>
    <w:autoRedefine/>
    <w:qFormat/>
    <w:uiPriority w:val="0"/>
  </w:style>
  <w:style w:type="paragraph" w:customStyle="1" w:styleId="631">
    <w:name w:val="fcolor"/>
    <w:basedOn w:val="1"/>
    <w:autoRedefine/>
    <w:qFormat/>
    <w:uiPriority w:val="0"/>
    <w:pPr>
      <w:widowControl/>
      <w:spacing w:before="100" w:beforeAutospacing="1" w:after="100" w:afterAutospacing="1"/>
      <w:jc w:val="left"/>
    </w:pPr>
    <w:rPr>
      <w:rFonts w:ascii="宋体" w:hAnsi="宋体"/>
      <w:color w:val="000000"/>
      <w:kern w:val="0"/>
      <w:sz w:val="24"/>
    </w:rPr>
  </w:style>
  <w:style w:type="paragraph" w:customStyle="1" w:styleId="632">
    <w:name w:val="默认段落字体 Para Char Char Char Char Char Char Char Char Char Char"/>
    <w:basedOn w:val="5"/>
    <w:autoRedefine/>
    <w:qFormat/>
    <w:uiPriority w:val="0"/>
    <w:pPr>
      <w:tabs>
        <w:tab w:val="left" w:pos="360"/>
        <w:tab w:val="left" w:pos="900"/>
      </w:tabs>
      <w:snapToGrid w:val="0"/>
      <w:spacing w:before="120" w:after="120" w:line="360" w:lineRule="auto"/>
      <w:ind w:left="542" w:leftChars="-12" w:firstLine="200" w:firstLineChars="200"/>
      <w:jc w:val="left"/>
    </w:pPr>
    <w:rPr>
      <w:rFonts w:eastAsia="黑体"/>
      <w:b w:val="0"/>
      <w:bCs w:val="0"/>
      <w:snapToGrid w:val="0"/>
      <w:sz w:val="24"/>
      <w:szCs w:val="24"/>
    </w:rPr>
  </w:style>
  <w:style w:type="paragraph" w:customStyle="1" w:styleId="633">
    <w:name w:val="东明_章"/>
    <w:basedOn w:val="3"/>
    <w:autoRedefine/>
    <w:qFormat/>
    <w:uiPriority w:val="0"/>
    <w:pPr>
      <w:keepLines/>
      <w:pBdr>
        <w:top w:val="single" w:color="808080" w:sz="24" w:space="1"/>
        <w:left w:val="single" w:color="808080" w:sz="24" w:space="4"/>
        <w:bottom w:val="single" w:color="808080" w:sz="24" w:space="1"/>
        <w:right w:val="single" w:color="808080" w:sz="24" w:space="4"/>
      </w:pBdr>
      <w:shd w:val="clear" w:color="auto" w:fill="D9D9D9"/>
      <w:tabs>
        <w:tab w:val="left" w:pos="0"/>
        <w:tab w:val="left" w:pos="1400"/>
        <w:tab w:val="left" w:pos="8280"/>
      </w:tabs>
      <w:overflowPunct/>
      <w:snapToGrid/>
      <w:spacing w:before="600" w:after="0" w:line="578" w:lineRule="auto"/>
      <w:ind w:left="1400" w:hanging="840"/>
      <w:jc w:val="center"/>
    </w:pPr>
    <w:rPr>
      <w:rFonts w:ascii="Arial" w:hAnsi="Arial" w:eastAsia="宋体-方正超大字符集"/>
      <w:color w:val="auto"/>
      <w:sz w:val="36"/>
      <w:szCs w:val="20"/>
    </w:rPr>
  </w:style>
  <w:style w:type="paragraph" w:customStyle="1" w:styleId="634">
    <w:name w:val="样式 标题 4 + 宋体 行距: 1.5 倍行距"/>
    <w:basedOn w:val="6"/>
    <w:autoRedefine/>
    <w:qFormat/>
    <w:uiPriority w:val="0"/>
    <w:pPr>
      <w:snapToGrid w:val="0"/>
      <w:spacing w:before="0" w:beforeLines="50" w:after="0" w:line="360" w:lineRule="auto"/>
      <w:ind w:left="1985" w:hanging="1985"/>
      <w:jc w:val="left"/>
    </w:pPr>
    <w:rPr>
      <w:rFonts w:ascii="宋体" w:hAnsi="宋体" w:cs="宋体"/>
      <w:sz w:val="24"/>
      <w:szCs w:val="20"/>
    </w:rPr>
  </w:style>
  <w:style w:type="paragraph" w:customStyle="1" w:styleId="635">
    <w:name w:val="xl179"/>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636">
    <w:name w:val="其他发布日期"/>
    <w:basedOn w:val="1"/>
    <w:autoRedefine/>
    <w:qFormat/>
    <w:uiPriority w:val="0"/>
    <w:pPr>
      <w:widowControl/>
      <w:numPr>
        <w:ilvl w:val="0"/>
        <w:numId w:val="6"/>
      </w:numPr>
      <w:jc w:val="left"/>
    </w:pPr>
    <w:rPr>
      <w:rFonts w:eastAsia="黑体"/>
      <w:kern w:val="0"/>
      <w:sz w:val="28"/>
      <w:szCs w:val="20"/>
    </w:rPr>
  </w:style>
  <w:style w:type="paragraph" w:customStyle="1" w:styleId="637">
    <w:name w:val="1表格"/>
    <w:basedOn w:val="1"/>
    <w:autoRedefine/>
    <w:qFormat/>
    <w:uiPriority w:val="0"/>
    <w:pPr>
      <w:adjustRightInd w:val="0"/>
      <w:snapToGrid w:val="0"/>
      <w:jc w:val="center"/>
      <w:textAlignment w:val="baseline"/>
    </w:pPr>
    <w:rPr>
      <w:rFonts w:ascii="宋体" w:hAnsi="宋体" w:cs="宋体"/>
      <w:spacing w:val="4"/>
      <w:sz w:val="24"/>
    </w:rPr>
  </w:style>
  <w:style w:type="paragraph" w:customStyle="1" w:styleId="638">
    <w:name w:val="xl160"/>
    <w:basedOn w:val="1"/>
    <w:autoRedefine/>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639">
    <w:name w:val="正文标题"/>
    <w:basedOn w:val="1"/>
    <w:autoRedefine/>
    <w:qFormat/>
    <w:uiPriority w:val="0"/>
    <w:pPr>
      <w:spacing w:line="480" w:lineRule="auto"/>
      <w:ind w:firstLine="472" w:firstLineChars="196"/>
    </w:pPr>
    <w:rPr>
      <w:b/>
      <w:sz w:val="24"/>
    </w:rPr>
  </w:style>
  <w:style w:type="paragraph" w:customStyle="1" w:styleId="640">
    <w:name w:val="四级条标题"/>
    <w:basedOn w:val="641"/>
    <w:next w:val="1"/>
    <w:autoRedefine/>
    <w:qFormat/>
    <w:uiPriority w:val="0"/>
    <w:pPr>
      <w:tabs>
        <w:tab w:val="left" w:pos="360"/>
        <w:tab w:val="left" w:pos="903"/>
      </w:tabs>
      <w:outlineLvl w:val="5"/>
    </w:pPr>
  </w:style>
  <w:style w:type="paragraph" w:customStyle="1" w:styleId="641">
    <w:name w:val="三级条标题"/>
    <w:basedOn w:val="642"/>
    <w:next w:val="1"/>
    <w:autoRedefine/>
    <w:qFormat/>
    <w:uiPriority w:val="0"/>
    <w:pPr>
      <w:tabs>
        <w:tab w:val="left" w:pos="360"/>
        <w:tab w:val="left" w:pos="903"/>
      </w:tabs>
      <w:outlineLvl w:val="4"/>
    </w:pPr>
  </w:style>
  <w:style w:type="paragraph" w:customStyle="1" w:styleId="642">
    <w:name w:val="二级条标题"/>
    <w:basedOn w:val="643"/>
    <w:next w:val="1"/>
    <w:autoRedefine/>
    <w:qFormat/>
    <w:uiPriority w:val="0"/>
    <w:pPr>
      <w:tabs>
        <w:tab w:val="left" w:pos="360"/>
        <w:tab w:val="left" w:pos="903"/>
      </w:tabs>
      <w:outlineLvl w:val="3"/>
    </w:pPr>
  </w:style>
  <w:style w:type="paragraph" w:customStyle="1" w:styleId="643">
    <w:name w:val="一级条标题"/>
    <w:basedOn w:val="644"/>
    <w:next w:val="1"/>
    <w:autoRedefine/>
    <w:qFormat/>
    <w:uiPriority w:val="0"/>
    <w:pPr>
      <w:tabs>
        <w:tab w:val="left" w:pos="360"/>
        <w:tab w:val="left" w:pos="903"/>
      </w:tabs>
      <w:spacing w:before="0" w:after="0"/>
      <w:ind w:left="0" w:firstLine="0"/>
      <w:outlineLvl w:val="2"/>
    </w:pPr>
  </w:style>
  <w:style w:type="paragraph" w:customStyle="1" w:styleId="644">
    <w:name w:val="章标题"/>
    <w:next w:val="1"/>
    <w:autoRedefine/>
    <w:qFormat/>
    <w:uiPriority w:val="0"/>
    <w:pPr>
      <w:tabs>
        <w:tab w:val="left" w:pos="903"/>
      </w:tabs>
      <w:spacing w:before="50" w:after="50"/>
      <w:ind w:left="903" w:hanging="315"/>
      <w:jc w:val="both"/>
      <w:outlineLvl w:val="1"/>
    </w:pPr>
    <w:rPr>
      <w:rFonts w:ascii="黑体" w:hAnsi="Times New Roman" w:eastAsia="黑体" w:cs="Times New Roman"/>
      <w:sz w:val="21"/>
      <w:lang w:val="en-US" w:eastAsia="zh-CN" w:bidi="ar-SA"/>
    </w:rPr>
  </w:style>
  <w:style w:type="paragraph" w:customStyle="1" w:styleId="645">
    <w:name w:val="7"/>
    <w:basedOn w:val="1"/>
    <w:next w:val="8"/>
    <w:autoRedefine/>
    <w:qFormat/>
    <w:uiPriority w:val="0"/>
    <w:pPr>
      <w:adjustRightInd w:val="0"/>
      <w:snapToGrid w:val="0"/>
      <w:spacing w:line="312" w:lineRule="auto"/>
      <w:ind w:firstLine="200" w:firstLineChars="200"/>
    </w:pPr>
    <w:rPr>
      <w:rFonts w:ascii="仿宋_GB2312" w:eastAsia="仿宋_GB2312"/>
      <w:sz w:val="28"/>
    </w:rPr>
  </w:style>
  <w:style w:type="paragraph" w:customStyle="1" w:styleId="646">
    <w:name w:val="样式 标题 3东明_小节H3条标题1.1.1二级节名h33rd level3l3CTHeading 3 - ..."/>
    <w:basedOn w:val="5"/>
    <w:autoRedefine/>
    <w:qFormat/>
    <w:uiPriority w:val="0"/>
    <w:pPr>
      <w:spacing w:before="0" w:after="0" w:line="360" w:lineRule="auto"/>
    </w:pPr>
    <w:rPr>
      <w:rFonts w:eastAsia="黑体" w:cs="宋体"/>
      <w:sz w:val="24"/>
      <w:szCs w:val="20"/>
      <w:lang w:val="zh-CN"/>
    </w:rPr>
  </w:style>
  <w:style w:type="paragraph" w:customStyle="1" w:styleId="647">
    <w:name w:val="扉页 黑体-"/>
    <w:basedOn w:val="1"/>
    <w:autoRedefine/>
    <w:qFormat/>
    <w:uiPriority w:val="0"/>
    <w:pPr>
      <w:spacing w:before="240" w:after="240" w:line="480" w:lineRule="exact"/>
      <w:ind w:firstLine="600" w:firstLineChars="200"/>
      <w:jc w:val="left"/>
    </w:pPr>
    <w:rPr>
      <w:rFonts w:eastAsia="黑体"/>
      <w:sz w:val="30"/>
      <w:szCs w:val="20"/>
    </w:rPr>
  </w:style>
  <w:style w:type="paragraph" w:customStyle="1" w:styleId="648">
    <w:name w:val="xl117"/>
    <w:basedOn w:val="1"/>
    <w:autoRedefine/>
    <w:qFormat/>
    <w:uiPriority w:val="0"/>
    <w:pPr>
      <w:widowControl/>
      <w:pBdr>
        <w:left w:val="single" w:color="auto" w:sz="8" w:space="0"/>
      </w:pBdr>
      <w:spacing w:before="100" w:beforeAutospacing="1" w:after="100" w:afterAutospacing="1"/>
      <w:jc w:val="left"/>
    </w:pPr>
    <w:rPr>
      <w:rFonts w:ascii="Arial Unicode MS" w:hAnsi="Arial Unicode MS"/>
      <w:kern w:val="0"/>
    </w:rPr>
  </w:style>
  <w:style w:type="paragraph" w:customStyle="1" w:styleId="649">
    <w:name w:val="样式 题注 + 首行缩进:  2 字符"/>
    <w:basedOn w:val="21"/>
    <w:autoRedefine/>
    <w:qFormat/>
    <w:uiPriority w:val="0"/>
    <w:pPr>
      <w:snapToGrid/>
      <w:spacing w:before="152" w:after="160" w:line="360" w:lineRule="auto"/>
      <w:ind w:firstLine="400" w:firstLineChars="200"/>
      <w:jc w:val="both"/>
    </w:pPr>
    <w:rPr>
      <w:rFonts w:cs="宋体"/>
      <w:sz w:val="21"/>
    </w:rPr>
  </w:style>
  <w:style w:type="paragraph" w:customStyle="1" w:styleId="650">
    <w:name w:val="样式 标题 4 + 左侧:  0 厘米 首行缩进:  0 厘米"/>
    <w:basedOn w:val="6"/>
    <w:autoRedefine/>
    <w:qFormat/>
    <w:uiPriority w:val="0"/>
    <w:pPr>
      <w:spacing w:before="0" w:after="0" w:line="360" w:lineRule="auto"/>
    </w:pPr>
    <w:rPr>
      <w:rFonts w:ascii="黑体" w:hAnsi="宋体" w:eastAsia="黑体" w:cs="宋体"/>
      <w:b w:val="0"/>
      <w:sz w:val="24"/>
      <w:szCs w:val="20"/>
    </w:rPr>
  </w:style>
  <w:style w:type="paragraph" w:customStyle="1" w:styleId="651">
    <w:name w:val="xl73"/>
    <w:basedOn w:val="1"/>
    <w:autoRedefine/>
    <w:qFormat/>
    <w:uiPriority w:val="0"/>
    <w:pPr>
      <w:widowControl/>
      <w:spacing w:before="100" w:beforeAutospacing="1" w:after="100" w:afterAutospacing="1"/>
      <w:jc w:val="center"/>
      <w:textAlignment w:val="bottom"/>
    </w:pPr>
    <w:rPr>
      <w:rFonts w:ascii="宋体" w:hAnsi="宋体"/>
      <w:b/>
      <w:bCs/>
      <w:kern w:val="0"/>
      <w:sz w:val="22"/>
      <w:szCs w:val="22"/>
    </w:rPr>
  </w:style>
  <w:style w:type="paragraph" w:customStyle="1" w:styleId="652">
    <w:name w:val="标题小四"/>
    <w:basedOn w:val="1"/>
    <w:next w:val="1"/>
    <w:autoRedefine/>
    <w:qFormat/>
    <w:uiPriority w:val="0"/>
    <w:pPr>
      <w:spacing w:line="360" w:lineRule="auto"/>
      <w:jc w:val="center"/>
    </w:pPr>
    <w:rPr>
      <w:rFonts w:eastAsia="黑体"/>
      <w:sz w:val="24"/>
    </w:rPr>
  </w:style>
  <w:style w:type="paragraph" w:customStyle="1" w:styleId="653">
    <w:name w:val="Char1 Char Char Char2"/>
    <w:basedOn w:val="1"/>
    <w:autoRedefine/>
    <w:qFormat/>
    <w:uiPriority w:val="0"/>
    <w:pPr>
      <w:spacing w:line="360" w:lineRule="auto"/>
      <w:ind w:firstLine="200" w:firstLineChars="200"/>
    </w:pPr>
    <w:rPr>
      <w:rFonts w:ascii="宋体" w:hAnsi="宋体" w:cs="宋体"/>
      <w:sz w:val="24"/>
    </w:rPr>
  </w:style>
  <w:style w:type="paragraph" w:customStyle="1" w:styleId="654">
    <w:name w:val="二级无标题条"/>
    <w:basedOn w:val="1"/>
    <w:autoRedefine/>
    <w:qFormat/>
    <w:uiPriority w:val="0"/>
  </w:style>
  <w:style w:type="paragraph" w:customStyle="1" w:styleId="655">
    <w:name w:val="版式1-表名 Char Char Char"/>
    <w:basedOn w:val="8"/>
    <w:next w:val="1"/>
    <w:autoRedefine/>
    <w:qFormat/>
    <w:uiPriority w:val="0"/>
    <w:pPr>
      <w:overflowPunct w:val="0"/>
      <w:snapToGrid w:val="0"/>
      <w:spacing w:beforeLines="50" w:afterLines="50" w:line="440" w:lineRule="exact"/>
      <w:ind w:firstLine="0" w:firstLineChars="0"/>
      <w:jc w:val="center"/>
    </w:pPr>
    <w:rPr>
      <w:rFonts w:ascii="华文细黑" w:hAnsi="华文细黑" w:eastAsia="华文细黑"/>
      <w:b/>
      <w:sz w:val="24"/>
    </w:rPr>
  </w:style>
  <w:style w:type="paragraph" w:customStyle="1" w:styleId="656">
    <w:name w:val="xl5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b/>
      <w:bCs/>
      <w:color w:val="FF0000"/>
      <w:kern w:val="0"/>
      <w:sz w:val="24"/>
    </w:rPr>
  </w:style>
  <w:style w:type="paragraph" w:customStyle="1" w:styleId="657">
    <w:name w:val="样式 标题 1章标题 11标题 1H1一、 + 行距: 1.5 倍行距1"/>
    <w:basedOn w:val="3"/>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658">
    <w:name w:val="4号两端对齐"/>
    <w:autoRedefine/>
    <w:qFormat/>
    <w:uiPriority w:val="0"/>
    <w:pPr>
      <w:widowControl w:val="0"/>
      <w:adjustRightInd w:val="0"/>
      <w:snapToGrid w:val="0"/>
      <w:jc w:val="both"/>
    </w:pPr>
    <w:rPr>
      <w:rFonts w:ascii="宋体" w:hAnsi="Times New Roman" w:eastAsia="宋体" w:cs="Times New Roman"/>
      <w:sz w:val="28"/>
      <w:lang w:val="en-US" w:eastAsia="zh-CN" w:bidi="ar-SA"/>
    </w:rPr>
  </w:style>
  <w:style w:type="paragraph" w:customStyle="1" w:styleId="659">
    <w:name w:val="Char Char"/>
    <w:basedOn w:val="1"/>
    <w:autoRedefine/>
    <w:qFormat/>
    <w:uiPriority w:val="0"/>
    <w:pPr>
      <w:widowControl/>
      <w:spacing w:after="160" w:line="240" w:lineRule="exact"/>
      <w:jc w:val="left"/>
    </w:pPr>
    <w:rPr>
      <w:rFonts w:ascii="Arial" w:hAnsi="Arial"/>
      <w:kern w:val="0"/>
      <w:sz w:val="20"/>
      <w:szCs w:val="20"/>
      <w:lang w:eastAsia="en-US"/>
    </w:rPr>
  </w:style>
  <w:style w:type="paragraph" w:customStyle="1" w:styleId="660">
    <w:name w:val="表目"/>
    <w:basedOn w:val="1"/>
    <w:autoRedefine/>
    <w:qFormat/>
    <w:uiPriority w:val="0"/>
    <w:pPr>
      <w:adjustRightInd w:val="0"/>
      <w:spacing w:line="480" w:lineRule="atLeast"/>
      <w:ind w:left="-105" w:leftChars="-50" w:right="-105" w:rightChars="-50"/>
      <w:jc w:val="center"/>
      <w:textAlignment w:val="baseline"/>
    </w:pPr>
    <w:rPr>
      <w:rFonts w:ascii="Arial" w:hAnsi="Arial" w:eastAsia="仿宋_GB2312" w:cs="Arial"/>
      <w:kern w:val="0"/>
      <w:sz w:val="24"/>
      <w:szCs w:val="20"/>
    </w:rPr>
  </w:style>
  <w:style w:type="paragraph" w:customStyle="1" w:styleId="661">
    <w:name w:val="地理段落"/>
    <w:basedOn w:val="1"/>
    <w:autoRedefine/>
    <w:qFormat/>
    <w:uiPriority w:val="0"/>
    <w:pPr>
      <w:adjustRightInd w:val="0"/>
      <w:snapToGrid w:val="0"/>
      <w:spacing w:line="360" w:lineRule="auto"/>
      <w:ind w:firstLine="200" w:firstLineChars="200"/>
    </w:pPr>
    <w:rPr>
      <w:rFonts w:ascii="仿宋_GB2312" w:eastAsia="仿宋_GB2312"/>
      <w:sz w:val="28"/>
      <w:szCs w:val="28"/>
    </w:rPr>
  </w:style>
  <w:style w:type="paragraph" w:customStyle="1" w:styleId="662">
    <w:name w:val="Char5"/>
    <w:basedOn w:val="1"/>
    <w:autoRedefine/>
    <w:qFormat/>
    <w:uiPriority w:val="0"/>
  </w:style>
  <w:style w:type="paragraph" w:customStyle="1" w:styleId="663">
    <w:name w:val="综述"/>
    <w:autoRedefine/>
    <w:qFormat/>
    <w:uiPriority w:val="0"/>
    <w:pPr>
      <w:spacing w:beforeLines="50" w:line="440" w:lineRule="exact"/>
      <w:ind w:firstLine="200" w:firstLineChars="200"/>
    </w:pPr>
    <w:rPr>
      <w:rFonts w:ascii="Times New Roman" w:hAnsi="Times New Roman" w:eastAsia="宋体" w:cs="MS Mincho"/>
      <w:b/>
      <w:kern w:val="2"/>
      <w:sz w:val="24"/>
      <w:szCs w:val="24"/>
      <w:lang w:val="en-US" w:eastAsia="zh-CN" w:bidi="ar-SA"/>
    </w:rPr>
  </w:style>
  <w:style w:type="paragraph" w:customStyle="1" w:styleId="664">
    <w:name w:val="样式 标题 3 + 宋体 四号1"/>
    <w:basedOn w:val="5"/>
    <w:autoRedefine/>
    <w:qFormat/>
    <w:uiPriority w:val="0"/>
    <w:pPr>
      <w:tabs>
        <w:tab w:val="left" w:pos="1260"/>
      </w:tabs>
      <w:spacing w:line="360" w:lineRule="auto"/>
      <w:ind w:left="1260" w:hanging="420"/>
    </w:pPr>
    <w:rPr>
      <w:rFonts w:ascii="宋体" w:hAnsi="宋体" w:eastAsia="黑体" w:cs="宋体"/>
      <w:kern w:val="0"/>
      <w:sz w:val="28"/>
      <w:szCs w:val="20"/>
    </w:rPr>
  </w:style>
  <w:style w:type="paragraph" w:customStyle="1" w:styleId="665">
    <w:name w:val="样式 样式 正文文本缩进 + 行距: 固定值 24 磅1 + 首行缩进:  2 字符"/>
    <w:basedOn w:val="1"/>
    <w:autoRedefine/>
    <w:qFormat/>
    <w:uiPriority w:val="0"/>
    <w:pPr>
      <w:spacing w:line="480" w:lineRule="exact"/>
      <w:ind w:firstLine="480" w:firstLineChars="200"/>
    </w:pPr>
    <w:rPr>
      <w:rFonts w:ascii="宋体" w:hAnsi="宋体" w:cs="宋体"/>
      <w:sz w:val="24"/>
      <w:szCs w:val="20"/>
    </w:rPr>
  </w:style>
  <w:style w:type="paragraph" w:customStyle="1" w:styleId="666">
    <w:name w:val="样式 标题 1 + 两端对齐"/>
    <w:basedOn w:val="3"/>
    <w:autoRedefine/>
    <w:qFormat/>
    <w:uiPriority w:val="0"/>
    <w:pPr>
      <w:keepNext w:val="0"/>
      <w:pageBreakBefore/>
      <w:widowControl/>
      <w:tabs>
        <w:tab w:val="left" w:pos="390"/>
        <w:tab w:val="left" w:pos="420"/>
      </w:tabs>
      <w:overflowPunct/>
      <w:adjustRightInd w:val="0"/>
      <w:spacing w:before="0" w:after="0" w:line="300" w:lineRule="auto"/>
      <w:ind w:left="425" w:hanging="425"/>
      <w:jc w:val="center"/>
    </w:pPr>
    <w:rPr>
      <w:rFonts w:ascii="仿宋_GB2312" w:hAnsi="Calibri" w:eastAsia="仿宋_GB2312" w:cs="宋体"/>
      <w:b w:val="0"/>
      <w:bCs w:val="0"/>
      <w:snapToGrid w:val="0"/>
      <w:color w:val="auto"/>
      <w:kern w:val="0"/>
      <w:sz w:val="32"/>
      <w:szCs w:val="32"/>
    </w:rPr>
  </w:style>
  <w:style w:type="paragraph" w:customStyle="1" w:styleId="667">
    <w:name w:val="xl85"/>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668">
    <w:name w:val="xl118"/>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669">
    <w:name w:val="xl134"/>
    <w:basedOn w:val="1"/>
    <w:autoRedefine/>
    <w:qFormat/>
    <w:uiPriority w:val="0"/>
    <w:pPr>
      <w:widowControl/>
      <w:spacing w:before="100" w:beforeAutospacing="1" w:after="100" w:afterAutospacing="1"/>
      <w:jc w:val="left"/>
    </w:pPr>
    <w:rPr>
      <w:rFonts w:ascii="Arial Unicode MS" w:hAnsi="Arial Unicode MS"/>
      <w:kern w:val="0"/>
      <w:sz w:val="20"/>
      <w:szCs w:val="20"/>
    </w:rPr>
  </w:style>
  <w:style w:type="paragraph" w:customStyle="1" w:styleId="670">
    <w:name w:val="xl168"/>
    <w:basedOn w:val="1"/>
    <w:autoRedefine/>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671">
    <w:name w:val="3 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672">
    <w:name w:val="xl76"/>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673">
    <w:name w:val="表蕊"/>
    <w:basedOn w:val="1"/>
    <w:autoRedefine/>
    <w:qFormat/>
    <w:uiPriority w:val="0"/>
    <w:pPr>
      <w:adjustRightInd w:val="0"/>
      <w:spacing w:line="280" w:lineRule="atLeast"/>
      <w:jc w:val="left"/>
      <w:textAlignment w:val="baseline"/>
    </w:pPr>
    <w:rPr>
      <w:rFonts w:eastAsia="楷体_GB2312"/>
      <w:color w:val="000000"/>
      <w:spacing w:val="-10"/>
      <w:kern w:val="0"/>
    </w:rPr>
  </w:style>
  <w:style w:type="paragraph" w:customStyle="1" w:styleId="674">
    <w:name w:val="图"/>
    <w:basedOn w:val="475"/>
    <w:autoRedefine/>
    <w:qFormat/>
    <w:uiPriority w:val="0"/>
    <w:pPr>
      <w:spacing w:line="240" w:lineRule="auto"/>
      <w:ind w:firstLine="0" w:firstLineChars="0"/>
      <w:jc w:val="center"/>
    </w:pPr>
  </w:style>
  <w:style w:type="paragraph" w:customStyle="1" w:styleId="675">
    <w:name w:val="Char Char Char Char1"/>
    <w:basedOn w:val="1"/>
    <w:autoRedefine/>
    <w:qFormat/>
    <w:uiPriority w:val="0"/>
  </w:style>
  <w:style w:type="paragraph" w:customStyle="1" w:styleId="676">
    <w:name w:val="xl162"/>
    <w:basedOn w:val="1"/>
    <w:autoRedefine/>
    <w:qFormat/>
    <w:uiPriority w:val="0"/>
    <w:pPr>
      <w:widowControl/>
      <w:pBdr>
        <w:bottom w:val="single" w:color="auto" w:sz="12" w:space="0"/>
        <w:right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677">
    <w:name w:val="标题-图表"/>
    <w:basedOn w:val="1"/>
    <w:autoRedefine/>
    <w:qFormat/>
    <w:uiPriority w:val="0"/>
    <w:pPr>
      <w:spacing w:line="500" w:lineRule="exact"/>
      <w:jc w:val="center"/>
    </w:pPr>
    <w:rPr>
      <w:rFonts w:ascii="黑体" w:eastAsia="黑体"/>
      <w:sz w:val="24"/>
    </w:rPr>
  </w:style>
  <w:style w:type="paragraph" w:customStyle="1" w:styleId="678">
    <w:name w:val="BG-WZ"/>
    <w:basedOn w:val="1"/>
    <w:autoRedefine/>
    <w:qFormat/>
    <w:uiPriority w:val="0"/>
    <w:pPr>
      <w:adjustRightInd w:val="0"/>
      <w:snapToGrid w:val="0"/>
      <w:ind w:left="-51" w:right="-51"/>
      <w:jc w:val="center"/>
    </w:pPr>
    <w:rPr>
      <w:rFonts w:ascii="宋体" w:hAnsi="宋体"/>
      <w:szCs w:val="20"/>
    </w:rPr>
  </w:style>
  <w:style w:type="paragraph" w:customStyle="1" w:styleId="679">
    <w:name w:val="甲乙酮标题2"/>
    <w:basedOn w:val="4"/>
    <w:autoRedefine/>
    <w:qFormat/>
    <w:uiPriority w:val="0"/>
    <w:pPr>
      <w:tabs>
        <w:tab w:val="left" w:pos="840"/>
      </w:tabs>
      <w:ind w:left="840"/>
    </w:pPr>
    <w:rPr>
      <w:rFonts w:ascii="Times New Roman" w:hAnsi="Times New Roman" w:eastAsia="宋体"/>
      <w:kern w:val="0"/>
    </w:rPr>
  </w:style>
  <w:style w:type="paragraph" w:customStyle="1" w:styleId="680">
    <w:name w:val="char"/>
    <w:basedOn w:val="1"/>
    <w:autoRedefine/>
    <w:qFormat/>
    <w:uiPriority w:val="0"/>
    <w:pPr>
      <w:widowControl/>
      <w:spacing w:after="160"/>
      <w:jc w:val="left"/>
    </w:pPr>
    <w:rPr>
      <w:rFonts w:ascii="宋体" w:hAnsi="宋体" w:cs="宋体"/>
      <w:sz w:val="24"/>
    </w:rPr>
  </w:style>
  <w:style w:type="paragraph" w:customStyle="1" w:styleId="681">
    <w:name w:val="In Table"/>
    <w:basedOn w:val="1"/>
    <w:autoRedefine/>
    <w:qFormat/>
    <w:uiPriority w:val="0"/>
    <w:pPr>
      <w:keepNext/>
      <w:tabs>
        <w:tab w:val="left" w:pos="3960"/>
        <w:tab w:val="left" w:pos="5280"/>
      </w:tabs>
      <w:snapToGrid w:val="0"/>
      <w:spacing w:beforeLines="40" w:afterLines="40" w:line="0" w:lineRule="atLeast"/>
      <w:contextualSpacing/>
      <w:jc w:val="center"/>
    </w:pPr>
    <w:rPr>
      <w:rFonts w:ascii="Tahoma" w:hAnsi="Tahoma" w:eastAsia="华文中宋" w:cs="Arial"/>
      <w:szCs w:val="20"/>
    </w:rPr>
  </w:style>
  <w:style w:type="paragraph" w:customStyle="1" w:styleId="682">
    <w:name w:val="xl49"/>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683">
    <w:name w:val="表的格式（小四）"/>
    <w:basedOn w:val="1"/>
    <w:autoRedefine/>
    <w:qFormat/>
    <w:uiPriority w:val="0"/>
    <w:pPr>
      <w:adjustRightInd w:val="0"/>
      <w:spacing w:line="360" w:lineRule="atLeast"/>
      <w:jc w:val="center"/>
    </w:pPr>
    <w:rPr>
      <w:kern w:val="0"/>
      <w:sz w:val="24"/>
      <w:szCs w:val="20"/>
    </w:rPr>
  </w:style>
  <w:style w:type="paragraph" w:customStyle="1" w:styleId="684">
    <w:name w:val="术语标题"/>
    <w:basedOn w:val="1"/>
    <w:next w:val="1"/>
    <w:autoRedefine/>
    <w:qFormat/>
    <w:uiPriority w:val="0"/>
    <w:pPr>
      <w:ind w:firstLine="425"/>
    </w:pPr>
    <w:rPr>
      <w:rFonts w:ascii="黑体" w:eastAsia="黑体"/>
      <w:szCs w:val="20"/>
    </w:rPr>
  </w:style>
  <w:style w:type="paragraph" w:customStyle="1" w:styleId="685">
    <w:name w:val="东明_正文 Char Char Char"/>
    <w:basedOn w:val="1"/>
    <w:autoRedefine/>
    <w:qFormat/>
    <w:uiPriority w:val="0"/>
    <w:pPr>
      <w:spacing w:before="240" w:after="240" w:line="480" w:lineRule="exact"/>
      <w:ind w:firstLine="560" w:firstLineChars="200"/>
    </w:pPr>
    <w:rPr>
      <w:sz w:val="28"/>
      <w:szCs w:val="20"/>
    </w:rPr>
  </w:style>
  <w:style w:type="paragraph" w:customStyle="1" w:styleId="686">
    <w:name w:val="样式 表标题4.9 + 居中"/>
    <w:basedOn w:val="1"/>
    <w:autoRedefine/>
    <w:qFormat/>
    <w:uiPriority w:val="0"/>
    <w:pPr>
      <w:numPr>
        <w:ilvl w:val="0"/>
        <w:numId w:val="7"/>
      </w:numPr>
      <w:tabs>
        <w:tab w:val="center" w:pos="4060"/>
        <w:tab w:val="right" w:pos="8261"/>
      </w:tabs>
      <w:suppressAutoHyphens/>
      <w:adjustRightInd w:val="0"/>
      <w:spacing w:before="240" w:line="0" w:lineRule="atLeast"/>
      <w:jc w:val="center"/>
    </w:pPr>
    <w:rPr>
      <w:rFonts w:ascii="黑体" w:eastAsia="黑体" w:cs="宋体"/>
      <w:b/>
      <w:bCs/>
      <w:spacing w:val="6"/>
      <w:kern w:val="0"/>
      <w:sz w:val="26"/>
      <w:szCs w:val="20"/>
    </w:rPr>
  </w:style>
  <w:style w:type="paragraph" w:customStyle="1" w:styleId="687">
    <w:name w:val="(文字) (文字)"/>
    <w:basedOn w:val="1"/>
    <w:autoRedefine/>
    <w:qFormat/>
    <w:uiPriority w:val="0"/>
  </w:style>
  <w:style w:type="paragraph" w:customStyle="1" w:styleId="688">
    <w:name w:val="xl170"/>
    <w:basedOn w:val="1"/>
    <w:autoRedefine/>
    <w:qFormat/>
    <w:uiPriority w:val="0"/>
    <w:pPr>
      <w:widowControl/>
      <w:pBdr>
        <w:left w:val="single" w:color="auto" w:sz="4" w:space="0"/>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689">
    <w:name w:val="xl92"/>
    <w:basedOn w:val="1"/>
    <w:autoRedefine/>
    <w:qFormat/>
    <w:uiPriority w:val="0"/>
    <w:pPr>
      <w:widowControl/>
      <w:pBdr>
        <w:top w:val="single" w:color="auto" w:sz="12" w:space="0"/>
        <w:left w:val="single" w:color="auto" w:sz="12" w:space="0"/>
        <w:right w:val="single" w:color="auto" w:sz="4"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690">
    <w:name w:val="首页脚注"/>
    <w:basedOn w:val="51"/>
    <w:autoRedefine/>
    <w:qFormat/>
    <w:uiPriority w:val="0"/>
    <w:pPr>
      <w:keepLines/>
      <w:widowControl/>
      <w:tabs>
        <w:tab w:val="center" w:pos="4320"/>
        <w:tab w:val="clear" w:pos="4153"/>
        <w:tab w:val="clear" w:pos="8306"/>
      </w:tabs>
      <w:overflowPunct w:val="0"/>
      <w:autoSpaceDE w:val="0"/>
      <w:autoSpaceDN w:val="0"/>
      <w:adjustRightInd w:val="0"/>
      <w:snapToGrid/>
      <w:jc w:val="center"/>
      <w:textAlignment w:val="baseline"/>
    </w:pPr>
    <w:rPr>
      <w:sz w:val="20"/>
    </w:rPr>
  </w:style>
  <w:style w:type="paragraph" w:customStyle="1" w:styleId="691">
    <w:name w:val="文本框文字格式"/>
    <w:basedOn w:val="1"/>
    <w:autoRedefine/>
    <w:qFormat/>
    <w:uiPriority w:val="0"/>
    <w:pPr>
      <w:jc w:val="center"/>
    </w:pPr>
    <w:rPr>
      <w:sz w:val="24"/>
    </w:rPr>
  </w:style>
  <w:style w:type="paragraph" w:customStyle="1" w:styleId="692">
    <w:name w:val="Char Char Char Char Char Char Char Char Char Char Char Char Char Char Char Char Char Char Char1"/>
    <w:basedOn w:val="1"/>
    <w:autoRedefine/>
    <w:qFormat/>
    <w:uiPriority w:val="0"/>
    <w:pPr>
      <w:widowControl/>
      <w:contextualSpacing/>
      <w:jc w:val="left"/>
    </w:pPr>
    <w:rPr>
      <w:rFonts w:cs="宋体"/>
      <w:kern w:val="0"/>
    </w:rPr>
  </w:style>
  <w:style w:type="paragraph" w:customStyle="1" w:styleId="693">
    <w:name w:val="标2"/>
    <w:basedOn w:val="4"/>
    <w:next w:val="294"/>
    <w:autoRedefine/>
    <w:qFormat/>
    <w:uiPriority w:val="0"/>
    <w:pPr>
      <w:tabs>
        <w:tab w:val="left" w:pos="0"/>
      </w:tabs>
      <w:spacing w:before="0" w:after="0" w:line="240" w:lineRule="auto"/>
      <w:ind w:left="576" w:hanging="576"/>
      <w:contextualSpacing/>
      <w:jc w:val="left"/>
    </w:pPr>
    <w:rPr>
      <w:rFonts w:ascii="黑体" w:hAnsi="黑体" w:cs="宋体"/>
      <w:bCs w:val="0"/>
      <w:sz w:val="30"/>
      <w:szCs w:val="20"/>
    </w:rPr>
  </w:style>
  <w:style w:type="paragraph" w:customStyle="1" w:styleId="694">
    <w:name w:val="style12"/>
    <w:basedOn w:val="1"/>
    <w:autoRedefine/>
    <w:qFormat/>
    <w:uiPriority w:val="0"/>
    <w:pPr>
      <w:widowControl/>
      <w:spacing w:before="100" w:beforeAutospacing="1" w:after="100" w:afterAutospacing="1"/>
      <w:jc w:val="left"/>
    </w:pPr>
    <w:rPr>
      <w:rFonts w:ascii="Arial" w:hAnsi="Arial" w:cs="Arial"/>
      <w:color w:val="666666"/>
      <w:kern w:val="0"/>
      <w:sz w:val="18"/>
      <w:szCs w:val="18"/>
    </w:rPr>
  </w:style>
  <w:style w:type="paragraph" w:customStyle="1" w:styleId="695">
    <w:name w:val="xl62"/>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696">
    <w:name w:val="样式6"/>
    <w:basedOn w:val="1"/>
    <w:next w:val="1"/>
    <w:autoRedefine/>
    <w:qFormat/>
    <w:uiPriority w:val="0"/>
    <w:pPr>
      <w:adjustRightInd w:val="0"/>
      <w:jc w:val="center"/>
      <w:textAlignment w:val="center"/>
    </w:pPr>
  </w:style>
  <w:style w:type="paragraph" w:customStyle="1" w:styleId="697">
    <w:name w:val="样式8"/>
    <w:basedOn w:val="1"/>
    <w:next w:val="1"/>
    <w:autoRedefine/>
    <w:qFormat/>
    <w:uiPriority w:val="0"/>
    <w:pPr>
      <w:ind w:firstLine="420"/>
    </w:pPr>
    <w:rPr>
      <w:rFonts w:ascii="宋体" w:hAnsi="Arial Black" w:cs="宋体"/>
      <w:sz w:val="24"/>
    </w:rPr>
  </w:style>
  <w:style w:type="paragraph" w:customStyle="1" w:styleId="698">
    <w:name w:val="工业统一正文"/>
    <w:basedOn w:val="1"/>
    <w:autoRedefine/>
    <w:qFormat/>
    <w:uiPriority w:val="0"/>
    <w:pPr>
      <w:adjustRightInd w:val="0"/>
      <w:snapToGrid w:val="0"/>
      <w:spacing w:line="360" w:lineRule="auto"/>
      <w:ind w:firstLine="200" w:firstLineChars="200"/>
      <w:jc w:val="left"/>
    </w:pPr>
    <w:rPr>
      <w:rFonts w:ascii="宋体"/>
      <w:sz w:val="28"/>
      <w:szCs w:val="20"/>
    </w:rPr>
  </w:style>
  <w:style w:type="paragraph" w:customStyle="1" w:styleId="699">
    <w:name w:val="菏泽-正文 Char Char Char"/>
    <w:basedOn w:val="1"/>
    <w:autoRedefine/>
    <w:qFormat/>
    <w:uiPriority w:val="0"/>
    <w:pPr>
      <w:spacing w:line="440" w:lineRule="exact"/>
      <w:ind w:firstLine="420" w:firstLineChars="200"/>
    </w:pPr>
    <w:rPr>
      <w:rFonts w:ascii="Arial" w:hAnsi="Arial" w:eastAsia="华文细黑"/>
      <w:szCs w:val="20"/>
    </w:rPr>
  </w:style>
  <w:style w:type="paragraph" w:customStyle="1" w:styleId="700">
    <w:name w:val="xl173"/>
    <w:basedOn w:val="1"/>
    <w:autoRedefine/>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701">
    <w:name w:val="pian"/>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702">
    <w:name w:val="缩进"/>
    <w:basedOn w:val="1"/>
    <w:autoRedefine/>
    <w:qFormat/>
    <w:uiPriority w:val="0"/>
    <w:pPr>
      <w:autoSpaceDE w:val="0"/>
      <w:autoSpaceDN w:val="0"/>
      <w:adjustRightInd w:val="0"/>
      <w:spacing w:line="400" w:lineRule="atLeast"/>
      <w:ind w:firstLine="200" w:firstLineChars="200"/>
      <w:textAlignment w:val="baseline"/>
    </w:pPr>
    <w:rPr>
      <w:kern w:val="0"/>
      <w:sz w:val="24"/>
      <w:szCs w:val="20"/>
    </w:rPr>
  </w:style>
  <w:style w:type="paragraph" w:customStyle="1" w:styleId="703">
    <w:name w:val="工艺统一正文"/>
    <w:basedOn w:val="1"/>
    <w:autoRedefine/>
    <w:qFormat/>
    <w:uiPriority w:val="0"/>
    <w:pPr>
      <w:adjustRightInd w:val="0"/>
      <w:snapToGrid w:val="0"/>
      <w:spacing w:line="360" w:lineRule="auto"/>
      <w:ind w:firstLine="578"/>
    </w:pPr>
    <w:rPr>
      <w:rFonts w:ascii="宋体"/>
      <w:sz w:val="28"/>
      <w:szCs w:val="20"/>
    </w:rPr>
  </w:style>
  <w:style w:type="paragraph" w:customStyle="1" w:styleId="704">
    <w:name w:val="样式 楷体_GB2312 居中"/>
    <w:basedOn w:val="1"/>
    <w:autoRedefine/>
    <w:qFormat/>
    <w:uiPriority w:val="0"/>
    <w:pPr>
      <w:spacing w:line="360" w:lineRule="auto"/>
      <w:jc w:val="center"/>
    </w:pPr>
    <w:rPr>
      <w:rFonts w:ascii="楷体_GB2312" w:eastAsia="楷体_GB2312"/>
      <w:szCs w:val="20"/>
      <w:lang w:bidi="ar-OM"/>
    </w:rPr>
  </w:style>
  <w:style w:type="paragraph" w:customStyle="1" w:styleId="705">
    <w:name w:val="居中正文"/>
    <w:basedOn w:val="79"/>
    <w:autoRedefine/>
    <w:qFormat/>
    <w:uiPriority w:val="0"/>
    <w:pPr>
      <w:adjustRightInd w:val="0"/>
      <w:spacing w:before="120" w:after="0" w:line="360" w:lineRule="auto"/>
      <w:ind w:firstLine="0" w:firstLineChars="0"/>
      <w:jc w:val="center"/>
      <w:textAlignment w:val="baseline"/>
    </w:pPr>
    <w:rPr>
      <w:rFonts w:ascii="宋体"/>
      <w:kern w:val="28"/>
      <w:sz w:val="24"/>
      <w:szCs w:val="20"/>
    </w:rPr>
  </w:style>
  <w:style w:type="paragraph" w:customStyle="1" w:styleId="706">
    <w:name w:val="Char4"/>
    <w:basedOn w:val="1"/>
    <w:autoRedefine/>
    <w:qFormat/>
    <w:uiPriority w:val="0"/>
    <w:pPr>
      <w:widowControl/>
      <w:spacing w:after="160"/>
      <w:jc w:val="left"/>
    </w:pPr>
    <w:rPr>
      <w:rFonts w:ascii="Verdana" w:hAnsi="Verdana" w:eastAsia="仿宋_GB2312" w:cs="”“Times New Roman”“"/>
      <w:kern w:val="0"/>
      <w:sz w:val="28"/>
      <w:szCs w:val="28"/>
      <w:lang w:eastAsia="en-US"/>
    </w:rPr>
  </w:style>
  <w:style w:type="paragraph" w:customStyle="1" w:styleId="707">
    <w:name w:val="CM75"/>
    <w:basedOn w:val="1"/>
    <w:next w:val="1"/>
    <w:autoRedefine/>
    <w:qFormat/>
    <w:uiPriority w:val="0"/>
    <w:pPr>
      <w:autoSpaceDE w:val="0"/>
      <w:autoSpaceDN w:val="0"/>
      <w:adjustRightInd w:val="0"/>
      <w:spacing w:after="60"/>
      <w:jc w:val="left"/>
    </w:pPr>
    <w:rPr>
      <w:rFonts w:ascii="Sim Sun+ 2" w:eastAsia="Sim Sun+ 2" w:cs="Sim Sun+ 2"/>
      <w:kern w:val="0"/>
      <w:sz w:val="24"/>
    </w:rPr>
  </w:style>
  <w:style w:type="paragraph" w:customStyle="1" w:styleId="708">
    <w:name w:val="WPS Plain"/>
    <w:autoRedefine/>
    <w:qFormat/>
    <w:uiPriority w:val="0"/>
    <w:rPr>
      <w:rFonts w:ascii="Times New Roman" w:hAnsi="Times New Roman" w:eastAsia="宋体" w:cs="Times New Roman"/>
      <w:lang w:val="en-US" w:eastAsia="zh-CN" w:bidi="ar-SA"/>
    </w:rPr>
  </w:style>
  <w:style w:type="paragraph" w:customStyle="1" w:styleId="709">
    <w:name w:val="xl133"/>
    <w:basedOn w:val="1"/>
    <w:autoRedefine/>
    <w:qFormat/>
    <w:uiPriority w:val="0"/>
    <w:pPr>
      <w:widowControl/>
      <w:pBdr>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710">
    <w:name w:val="xl57"/>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711">
    <w:name w:val="宏福正文-2"/>
    <w:basedOn w:val="79"/>
    <w:autoRedefine/>
    <w:qFormat/>
    <w:uiPriority w:val="0"/>
    <w:pPr>
      <w:snapToGrid w:val="0"/>
      <w:spacing w:before="240" w:after="0" w:line="400" w:lineRule="atLeast"/>
      <w:ind w:firstLine="567" w:firstLineChars="0"/>
    </w:pPr>
    <w:rPr>
      <w:kern w:val="0"/>
      <w:sz w:val="28"/>
    </w:rPr>
  </w:style>
  <w:style w:type="paragraph" w:customStyle="1" w:styleId="712">
    <w:name w:val="正文2"/>
    <w:autoRedefine/>
    <w:qFormat/>
    <w:uiPriority w:val="0"/>
    <w:pPr>
      <w:widowControl w:val="0"/>
      <w:tabs>
        <w:tab w:val="left" w:pos="567"/>
      </w:tabs>
      <w:adjustRightInd w:val="0"/>
      <w:spacing w:line="360" w:lineRule="atLeast"/>
      <w:jc w:val="both"/>
      <w:textAlignment w:val="baseline"/>
    </w:pPr>
    <w:rPr>
      <w:rFonts w:ascii="Times New Roman" w:hAnsi="Courier" w:eastAsia="PMingLiU" w:cs="Times New Roman"/>
      <w:sz w:val="24"/>
      <w:lang w:val="en-US" w:eastAsia="zh-TW" w:bidi="ar-SA"/>
    </w:rPr>
  </w:style>
  <w:style w:type="paragraph" w:customStyle="1" w:styleId="713">
    <w:name w:val="我的样式（正文）"/>
    <w:basedOn w:val="1"/>
    <w:autoRedefine/>
    <w:qFormat/>
    <w:uiPriority w:val="0"/>
    <w:pPr>
      <w:spacing w:line="440" w:lineRule="exact"/>
    </w:pPr>
    <w:rPr>
      <w:rFonts w:ascii="宋体"/>
      <w:sz w:val="28"/>
      <w:szCs w:val="20"/>
    </w:rPr>
  </w:style>
  <w:style w:type="paragraph" w:customStyle="1" w:styleId="714">
    <w:name w:val="xl36"/>
    <w:basedOn w:val="1"/>
    <w:autoRedefine/>
    <w:qFormat/>
    <w:uiPriority w:val="0"/>
    <w:pPr>
      <w:widowControl/>
      <w:spacing w:before="100" w:beforeAutospacing="1" w:after="100" w:afterAutospacing="1"/>
      <w:jc w:val="left"/>
      <w:textAlignment w:val="bottom"/>
    </w:pPr>
    <w:rPr>
      <w:rFonts w:ascii="Arial" w:hAnsi="Arial" w:cs="Arial"/>
      <w:b/>
      <w:bCs/>
      <w:kern w:val="0"/>
      <w:sz w:val="24"/>
    </w:rPr>
  </w:style>
  <w:style w:type="paragraph" w:customStyle="1" w:styleId="715">
    <w:name w:val="表格文字居中 Char"/>
    <w:basedOn w:val="79"/>
    <w:autoRedefine/>
    <w:qFormat/>
    <w:uiPriority w:val="0"/>
    <w:pPr>
      <w:keepNext/>
      <w:tabs>
        <w:tab w:val="left" w:pos="628"/>
        <w:tab w:val="left" w:pos="1727"/>
        <w:tab w:val="left" w:pos="1884"/>
        <w:tab w:val="left" w:pos="2660"/>
        <w:tab w:val="left" w:pos="5460"/>
      </w:tabs>
      <w:spacing w:before="100" w:beforeAutospacing="1" w:after="0"/>
      <w:ind w:firstLine="0" w:firstLineChars="0"/>
      <w:jc w:val="center"/>
    </w:pPr>
    <w:rPr>
      <w:rFonts w:ascii="宋体"/>
      <w:bCs/>
      <w:color w:val="000000"/>
      <w:kern w:val="0"/>
      <w:sz w:val="24"/>
    </w:rPr>
  </w:style>
  <w:style w:type="paragraph" w:customStyle="1" w:styleId="716">
    <w:name w:val="Char2"/>
    <w:basedOn w:val="1"/>
    <w:autoRedefine/>
    <w:qFormat/>
    <w:uiPriority w:val="0"/>
    <w:pPr>
      <w:spacing w:line="360" w:lineRule="auto"/>
      <w:ind w:firstLine="200" w:firstLineChars="200"/>
    </w:pPr>
    <w:rPr>
      <w:rFonts w:ascii="宋体" w:hAnsi="宋体" w:cs="宋体"/>
      <w:sz w:val="24"/>
    </w:rPr>
  </w:style>
  <w:style w:type="paragraph" w:customStyle="1" w:styleId="717">
    <w:name w:val="xl58"/>
    <w:basedOn w:val="1"/>
    <w:autoRedefine/>
    <w:qFormat/>
    <w:uiPriority w:val="0"/>
    <w:pPr>
      <w:widowControl/>
      <w:spacing w:before="100" w:beforeAutospacing="1" w:after="100" w:afterAutospacing="1"/>
      <w:jc w:val="left"/>
    </w:pPr>
    <w:rPr>
      <w:rFonts w:ascii="Arial" w:hAnsi="Arial" w:cs="Arial"/>
      <w:b/>
      <w:bCs/>
      <w:kern w:val="0"/>
      <w:sz w:val="22"/>
      <w:szCs w:val="22"/>
    </w:rPr>
  </w:style>
  <w:style w:type="paragraph" w:customStyle="1" w:styleId="718">
    <w:name w:val="7表格(治)"/>
    <w:autoRedefine/>
    <w:qFormat/>
    <w:uiPriority w:val="0"/>
    <w:pPr>
      <w:jc w:val="center"/>
    </w:pPr>
    <w:rPr>
      <w:rFonts w:ascii="Calibri" w:hAnsi="Calibri" w:eastAsia="楷体_GB2312" w:cs="Times New Roman"/>
      <w:color w:val="000000"/>
      <w:sz w:val="21"/>
      <w:lang w:val="en-US" w:eastAsia="zh-CN" w:bidi="ar-SA"/>
    </w:rPr>
  </w:style>
  <w:style w:type="paragraph" w:customStyle="1" w:styleId="719">
    <w:name w:val="环表"/>
    <w:basedOn w:val="553"/>
    <w:autoRedefine/>
    <w:qFormat/>
    <w:uiPriority w:val="0"/>
    <w:pPr>
      <w:tabs>
        <w:tab w:val="left" w:pos="1464"/>
        <w:tab w:val="left" w:pos="5094"/>
      </w:tabs>
      <w:suppressAutoHyphens w:val="0"/>
      <w:spacing w:before="120" w:after="120" w:line="324" w:lineRule="auto"/>
      <w:ind w:left="7" w:right="29" w:firstLine="539"/>
      <w:jc w:val="center"/>
    </w:pPr>
    <w:rPr>
      <w:rFonts w:hAnsi="Courier New"/>
      <w:sz w:val="21"/>
    </w:rPr>
  </w:style>
  <w:style w:type="paragraph" w:customStyle="1" w:styleId="720">
    <w:name w:val="Char Char Char Char Char Char Char2"/>
    <w:basedOn w:val="1"/>
    <w:autoRedefine/>
    <w:qFormat/>
    <w:uiPriority w:val="0"/>
    <w:pPr>
      <w:widowControl/>
      <w:spacing w:after="160" w:line="240" w:lineRule="exact"/>
      <w:contextualSpacing/>
      <w:jc w:val="left"/>
    </w:pPr>
    <w:rPr>
      <w:rFonts w:ascii="Arial" w:hAnsi="Arial" w:eastAsia="Times New Roman" w:cs="Verdana"/>
      <w:b/>
      <w:kern w:val="0"/>
      <w:lang w:eastAsia="en-US"/>
    </w:rPr>
  </w:style>
  <w:style w:type="paragraph" w:customStyle="1" w:styleId="721">
    <w:name w:val="xl59"/>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722">
    <w:name w:val="w4"/>
    <w:basedOn w:val="1"/>
    <w:autoRedefine/>
    <w:qFormat/>
    <w:uiPriority w:val="0"/>
    <w:pPr>
      <w:widowControl/>
      <w:spacing w:before="100" w:beforeAutospacing="1" w:after="100" w:afterAutospacing="1" w:line="336" w:lineRule="auto"/>
      <w:ind w:firstLine="360"/>
      <w:jc w:val="left"/>
    </w:pPr>
    <w:rPr>
      <w:rFonts w:ascii="Calibri" w:hAnsi="Calibri"/>
      <w:color w:val="8A5E00"/>
      <w:kern w:val="0"/>
      <w:sz w:val="18"/>
      <w:szCs w:val="18"/>
    </w:rPr>
  </w:style>
  <w:style w:type="paragraph" w:customStyle="1" w:styleId="723">
    <w:name w:val="xl176"/>
    <w:basedOn w:val="1"/>
    <w:autoRedefine/>
    <w:qFormat/>
    <w:uiPriority w:val="0"/>
    <w:pPr>
      <w:widowControl/>
      <w:pBdr>
        <w:top w:val="single" w:color="auto" w:sz="12" w:space="0"/>
        <w:left w:val="single" w:color="auto" w:sz="12" w:space="0"/>
      </w:pBdr>
      <w:spacing w:before="100" w:beforeAutospacing="1" w:after="100" w:afterAutospacing="1"/>
      <w:jc w:val="left"/>
    </w:pPr>
    <w:rPr>
      <w:rFonts w:ascii="Arial Unicode MS" w:hAnsi="Arial Unicode MS"/>
      <w:kern w:val="0"/>
    </w:rPr>
  </w:style>
  <w:style w:type="paragraph" w:customStyle="1" w:styleId="724">
    <w:name w:val="表格文字居中"/>
    <w:basedOn w:val="1"/>
    <w:next w:val="79"/>
    <w:autoRedefine/>
    <w:qFormat/>
    <w:uiPriority w:val="0"/>
    <w:pPr>
      <w:keepNext/>
      <w:tabs>
        <w:tab w:val="left" w:pos="628"/>
        <w:tab w:val="left" w:pos="1727"/>
        <w:tab w:val="left" w:pos="1884"/>
      </w:tabs>
      <w:adjustRightInd w:val="0"/>
      <w:snapToGrid w:val="0"/>
      <w:contextualSpacing/>
      <w:jc w:val="center"/>
    </w:pPr>
    <w:rPr>
      <w:bCs/>
      <w:color w:val="000000"/>
      <w:kern w:val="0"/>
    </w:rPr>
  </w:style>
  <w:style w:type="paragraph" w:customStyle="1" w:styleId="725">
    <w:name w:val="缺省文本_宋体"/>
    <w:basedOn w:val="1"/>
    <w:autoRedefine/>
    <w:qFormat/>
    <w:uiPriority w:val="0"/>
    <w:pPr>
      <w:tabs>
        <w:tab w:val="left" w:pos="525"/>
        <w:tab w:val="center" w:pos="5670"/>
        <w:tab w:val="right" w:pos="7655"/>
      </w:tabs>
      <w:spacing w:before="80" w:after="120" w:line="360" w:lineRule="auto"/>
      <w:outlineLvl w:val="7"/>
    </w:pPr>
    <w:rPr>
      <w:spacing w:val="16"/>
      <w:kern w:val="28"/>
      <w:sz w:val="24"/>
      <w:szCs w:val="20"/>
    </w:rPr>
  </w:style>
  <w:style w:type="paragraph" w:customStyle="1" w:styleId="726">
    <w:name w:val="流程图"/>
    <w:basedOn w:val="1"/>
    <w:autoRedefine/>
    <w:qFormat/>
    <w:uiPriority w:val="0"/>
    <w:pPr>
      <w:tabs>
        <w:tab w:val="left" w:pos="0"/>
      </w:tabs>
      <w:autoSpaceDE w:val="0"/>
      <w:autoSpaceDN w:val="0"/>
      <w:adjustRightInd w:val="0"/>
      <w:spacing w:line="240" w:lineRule="atLeast"/>
      <w:jc w:val="center"/>
      <w:textAlignment w:val="bottom"/>
    </w:pPr>
    <w:rPr>
      <w:rFonts w:ascii="宋体"/>
      <w:szCs w:val="20"/>
    </w:rPr>
  </w:style>
  <w:style w:type="paragraph" w:customStyle="1" w:styleId="727">
    <w:name w:val="流程文字"/>
    <w:basedOn w:val="1"/>
    <w:autoRedefine/>
    <w:qFormat/>
    <w:uiPriority w:val="0"/>
    <w:pPr>
      <w:tabs>
        <w:tab w:val="left" w:pos="6480"/>
      </w:tabs>
      <w:topLinePunct/>
      <w:adjustRightInd w:val="0"/>
      <w:snapToGrid w:val="0"/>
      <w:jc w:val="center"/>
    </w:pPr>
    <w:rPr>
      <w:rFonts w:eastAsia="仿宋_GB2312"/>
      <w:szCs w:val="20"/>
    </w:rPr>
  </w:style>
  <w:style w:type="paragraph" w:customStyle="1" w:styleId="728">
    <w:name w:val="表格1"/>
    <w:basedOn w:val="1"/>
    <w:autoRedefine/>
    <w:qFormat/>
    <w:uiPriority w:val="0"/>
    <w:pPr>
      <w:jc w:val="center"/>
    </w:pPr>
  </w:style>
  <w:style w:type="paragraph" w:customStyle="1" w:styleId="729">
    <w:name w:val="xl53"/>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730">
    <w:name w:val="EIA1"/>
    <w:basedOn w:val="3"/>
    <w:autoRedefine/>
    <w:qFormat/>
    <w:uiPriority w:val="0"/>
    <w:pPr>
      <w:tabs>
        <w:tab w:val="left" w:pos="390"/>
      </w:tabs>
      <w:overflowPunct/>
      <w:snapToGrid/>
      <w:spacing w:before="0" w:after="0" w:line="480" w:lineRule="auto"/>
      <w:ind w:left="390" w:firstLine="0"/>
      <w:jc w:val="left"/>
    </w:pPr>
    <w:rPr>
      <w:rFonts w:ascii="Calibri" w:hAnsi="Calibri" w:eastAsia="宋体"/>
      <w:bCs w:val="0"/>
      <w:color w:val="auto"/>
      <w:kern w:val="2"/>
      <w:sz w:val="32"/>
      <w:szCs w:val="20"/>
    </w:rPr>
  </w:style>
  <w:style w:type="paragraph" w:customStyle="1" w:styleId="731">
    <w:name w:val="标准条文"/>
    <w:basedOn w:val="732"/>
    <w:next w:val="732"/>
    <w:autoRedefine/>
    <w:qFormat/>
    <w:uiPriority w:val="0"/>
    <w:rPr>
      <w:rFonts w:ascii="宋体"/>
      <w:color w:val="auto"/>
    </w:rPr>
  </w:style>
  <w:style w:type="paragraph" w:customStyle="1" w:styleId="732">
    <w:name w:val="Default"/>
    <w:next w:val="1"/>
    <w:autoRedefine/>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733">
    <w:name w:val="font5"/>
    <w:basedOn w:val="1"/>
    <w:autoRedefine/>
    <w:qFormat/>
    <w:uiPriority w:val="0"/>
    <w:pPr>
      <w:widowControl/>
      <w:spacing w:before="100" w:beforeAutospacing="1" w:after="100" w:afterAutospacing="1"/>
      <w:jc w:val="left"/>
    </w:pPr>
    <w:rPr>
      <w:rFonts w:hint="eastAsia" w:ascii="宋体" w:hAnsi="宋体"/>
      <w:kern w:val="0"/>
      <w:sz w:val="18"/>
      <w:szCs w:val="18"/>
    </w:rPr>
  </w:style>
  <w:style w:type="paragraph" w:customStyle="1" w:styleId="734">
    <w:name w:val="表格标题2"/>
    <w:basedOn w:val="160"/>
    <w:autoRedefine/>
    <w:qFormat/>
    <w:uiPriority w:val="0"/>
    <w:pPr>
      <w:adjustRightInd/>
      <w:snapToGrid/>
      <w:spacing w:line="360" w:lineRule="auto"/>
      <w:jc w:val="left"/>
      <w:textAlignment w:val="auto"/>
    </w:pPr>
    <w:rPr>
      <w:rFonts w:eastAsia="宋体"/>
      <w:b/>
      <w:color w:val="000000"/>
      <w:sz w:val="24"/>
      <w:szCs w:val="21"/>
    </w:rPr>
  </w:style>
  <w:style w:type="paragraph" w:customStyle="1" w:styleId="735">
    <w:name w:val="图文字"/>
    <w:basedOn w:val="1"/>
    <w:autoRedefine/>
    <w:qFormat/>
    <w:uiPriority w:val="0"/>
    <w:pPr>
      <w:spacing w:line="400" w:lineRule="exact"/>
      <w:jc w:val="center"/>
    </w:pPr>
    <w:rPr>
      <w:rFonts w:ascii="宋体" w:hAnsi="宋体"/>
      <w:kern w:val="44"/>
      <w:sz w:val="24"/>
    </w:rPr>
  </w:style>
  <w:style w:type="paragraph" w:customStyle="1" w:styleId="736">
    <w:name w:val="xl52"/>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737">
    <w:name w:val="xl159"/>
    <w:basedOn w:val="1"/>
    <w:autoRedefine/>
    <w:qFormat/>
    <w:uiPriority w:val="0"/>
    <w:pPr>
      <w:widowControl/>
      <w:pBdr>
        <w:right w:val="single" w:color="auto" w:sz="4" w:space="0"/>
      </w:pBdr>
      <w:spacing w:before="100" w:beforeAutospacing="1" w:after="100" w:afterAutospacing="1"/>
      <w:jc w:val="left"/>
    </w:pPr>
    <w:rPr>
      <w:rFonts w:ascii="Arial Unicode MS" w:hAnsi="Arial Unicode MS"/>
      <w:kern w:val="0"/>
    </w:rPr>
  </w:style>
  <w:style w:type="paragraph" w:customStyle="1" w:styleId="738">
    <w:name w:val="GY6"/>
    <w:basedOn w:val="1"/>
    <w:autoRedefine/>
    <w:qFormat/>
    <w:uiPriority w:val="0"/>
    <w:pPr>
      <w:tabs>
        <w:tab w:val="left" w:pos="840"/>
      </w:tabs>
      <w:adjustRightInd w:val="0"/>
      <w:snapToGrid w:val="0"/>
      <w:spacing w:line="360" w:lineRule="auto"/>
    </w:pPr>
    <w:rPr>
      <w:rFonts w:hint="eastAsia" w:ascii="宋体" w:hAnsi="宋体"/>
      <w:sz w:val="28"/>
      <w:szCs w:val="20"/>
    </w:rPr>
  </w:style>
  <w:style w:type="paragraph" w:customStyle="1" w:styleId="739">
    <w:name w:val="a"/>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740">
    <w:name w:val="甲乙酮标题4"/>
    <w:basedOn w:val="6"/>
    <w:autoRedefine/>
    <w:qFormat/>
    <w:uiPriority w:val="0"/>
    <w:pPr>
      <w:tabs>
        <w:tab w:val="left" w:pos="1680"/>
      </w:tabs>
      <w:spacing w:before="100" w:after="100" w:line="377" w:lineRule="auto"/>
      <w:ind w:left="1680"/>
    </w:pPr>
    <w:rPr>
      <w:rFonts w:ascii="Times New Roman" w:hAnsi="Times New Roman"/>
      <w:sz w:val="24"/>
      <w:szCs w:val="24"/>
    </w:rPr>
  </w:style>
  <w:style w:type="paragraph" w:customStyle="1" w:styleId="741">
    <w:name w:val="样式10"/>
    <w:basedOn w:val="3"/>
    <w:autoRedefine/>
    <w:qFormat/>
    <w:uiPriority w:val="0"/>
    <w:pPr>
      <w:keepLines/>
      <w:tabs>
        <w:tab w:val="left" w:pos="390"/>
      </w:tabs>
      <w:overflowPunct/>
      <w:snapToGrid/>
      <w:spacing w:before="340" w:beforeLines="100" w:after="330" w:afterLines="100" w:line="520" w:lineRule="exact"/>
      <w:ind w:left="390" w:firstLine="0"/>
    </w:pPr>
    <w:rPr>
      <w:rFonts w:ascii="Calibri" w:hAnsi="Calibri" w:eastAsia="宋体"/>
      <w:color w:val="FF0000"/>
    </w:rPr>
  </w:style>
  <w:style w:type="paragraph" w:customStyle="1" w:styleId="742">
    <w:name w:val="xl146"/>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743">
    <w:name w:val="标题 2 + 黑体"/>
    <w:basedOn w:val="4"/>
    <w:autoRedefine/>
    <w:qFormat/>
    <w:uiPriority w:val="0"/>
    <w:pPr>
      <w:keepNext w:val="0"/>
      <w:keepLines w:val="0"/>
      <w:tabs>
        <w:tab w:val="left" w:pos="280"/>
        <w:tab w:val="left" w:pos="1400"/>
      </w:tabs>
      <w:adjustRightInd w:val="0"/>
      <w:snapToGrid w:val="0"/>
      <w:spacing w:before="50" w:after="240" w:line="480" w:lineRule="exact"/>
      <w:ind w:left="1233" w:right="100" w:rightChars="100" w:firstLine="567"/>
      <w:jc w:val="left"/>
    </w:pPr>
    <w:rPr>
      <w:rFonts w:ascii="黑体" w:hAnsi="黑体"/>
      <w:b w:val="0"/>
      <w:bCs w:val="0"/>
      <w:sz w:val="28"/>
      <w:szCs w:val="28"/>
    </w:rPr>
  </w:style>
  <w:style w:type="paragraph" w:customStyle="1" w:styleId="744">
    <w:name w:val="xl96"/>
    <w:basedOn w:val="1"/>
    <w:autoRedefine/>
    <w:qFormat/>
    <w:uiPriority w:val="0"/>
    <w:pPr>
      <w:widowControl/>
      <w:pBdr>
        <w:left w:val="single" w:color="auto" w:sz="12" w:space="0"/>
        <w:bottom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745">
    <w:name w:val="报告书表格"/>
    <w:basedOn w:val="1"/>
    <w:autoRedefine/>
    <w:qFormat/>
    <w:uiPriority w:val="0"/>
    <w:pPr>
      <w:adjustRightInd w:val="0"/>
      <w:spacing w:before="60" w:after="60" w:line="240" w:lineRule="atLeast"/>
      <w:jc w:val="center"/>
      <w:textAlignment w:val="baseline"/>
    </w:pPr>
    <w:rPr>
      <w:kern w:val="0"/>
      <w:szCs w:val="20"/>
    </w:rPr>
  </w:style>
  <w:style w:type="paragraph" w:customStyle="1" w:styleId="746">
    <w:name w:val="表后文"/>
    <w:basedOn w:val="1"/>
    <w:autoRedefine/>
    <w:qFormat/>
    <w:uiPriority w:val="0"/>
    <w:pPr>
      <w:adjustRightInd w:val="0"/>
      <w:spacing w:before="120" w:line="400" w:lineRule="exact"/>
      <w:ind w:firstLine="601"/>
      <w:textAlignment w:val="baseline"/>
    </w:pPr>
    <w:rPr>
      <w:rFonts w:eastAsia="楷体_GB2312"/>
      <w:spacing w:val="8"/>
      <w:kern w:val="0"/>
      <w:sz w:val="28"/>
      <w:szCs w:val="20"/>
    </w:rPr>
  </w:style>
  <w:style w:type="paragraph" w:customStyle="1" w:styleId="747">
    <w:name w:val="xl144"/>
    <w:basedOn w:val="1"/>
    <w:autoRedefine/>
    <w:qFormat/>
    <w:uiPriority w:val="0"/>
    <w:pPr>
      <w:widowControl/>
      <w:pBdr>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748">
    <w:name w:val="图编号"/>
    <w:basedOn w:val="417"/>
    <w:autoRedefine/>
    <w:qFormat/>
    <w:uiPriority w:val="0"/>
    <w:pPr>
      <w:tabs>
        <w:tab w:val="left" w:pos="763"/>
        <w:tab w:val="left" w:pos="1440"/>
      </w:tabs>
      <w:spacing w:before="300" w:after="300" w:line="360" w:lineRule="auto"/>
      <w:ind w:left="400" w:leftChars="400" w:hanging="200" w:hangingChars="200"/>
    </w:pPr>
    <w:rPr>
      <w:rFonts w:ascii="Times New Roman" w:hAnsi="Times New Roman" w:eastAsia="宋体"/>
      <w:kern w:val="0"/>
      <w:sz w:val="20"/>
      <w:szCs w:val="24"/>
    </w:rPr>
  </w:style>
  <w:style w:type="paragraph" w:customStyle="1" w:styleId="749">
    <w:name w:val="xl169"/>
    <w:basedOn w:val="1"/>
    <w:autoRedefine/>
    <w:qFormat/>
    <w:uiPriority w:val="0"/>
    <w:pPr>
      <w:widowControl/>
      <w:pBdr>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750">
    <w:name w:val="样式13"/>
    <w:basedOn w:val="1"/>
    <w:next w:val="28"/>
    <w:autoRedefine/>
    <w:qFormat/>
    <w:uiPriority w:val="0"/>
    <w:pPr>
      <w:adjustRightInd w:val="0"/>
      <w:spacing w:line="500" w:lineRule="exact"/>
      <w:ind w:firstLine="200" w:firstLineChars="200"/>
      <w:textAlignment w:val="baseline"/>
    </w:pPr>
    <w:rPr>
      <w:rFonts w:ascii="仿宋_GB2312" w:hAnsi="宋体" w:eastAsia="仿宋_GB2312"/>
      <w:color w:val="FF0000"/>
      <w:sz w:val="28"/>
      <w:szCs w:val="28"/>
    </w:rPr>
  </w:style>
  <w:style w:type="paragraph" w:customStyle="1" w:styleId="751">
    <w:name w:val="表格03"/>
    <w:basedOn w:val="1"/>
    <w:autoRedefine/>
    <w:qFormat/>
    <w:uiPriority w:val="0"/>
    <w:pPr>
      <w:spacing w:line="400" w:lineRule="exact"/>
      <w:jc w:val="center"/>
    </w:pPr>
    <w:rPr>
      <w:color w:val="000000"/>
      <w:sz w:val="24"/>
    </w:rPr>
  </w:style>
  <w:style w:type="paragraph" w:customStyle="1" w:styleId="752">
    <w:name w:val="xl104"/>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753">
    <w:name w:val="扉页 黑体缩进"/>
    <w:basedOn w:val="1"/>
    <w:autoRedefine/>
    <w:qFormat/>
    <w:uiPriority w:val="0"/>
    <w:pPr>
      <w:spacing w:before="240" w:after="240" w:line="480" w:lineRule="exact"/>
      <w:ind w:firstLine="2240" w:firstLineChars="700"/>
      <w:jc w:val="left"/>
    </w:pPr>
    <w:rPr>
      <w:rFonts w:eastAsia="黑体"/>
      <w:sz w:val="32"/>
      <w:szCs w:val="20"/>
    </w:rPr>
  </w:style>
  <w:style w:type="paragraph" w:customStyle="1" w:styleId="754">
    <w:name w:val="xl33"/>
    <w:basedOn w:val="1"/>
    <w:autoRedefine/>
    <w:qFormat/>
    <w:uiPriority w:val="0"/>
    <w:pPr>
      <w:widowControl/>
      <w:spacing w:before="100" w:beforeAutospacing="1" w:after="100" w:afterAutospacing="1"/>
      <w:jc w:val="left"/>
    </w:pPr>
    <w:rPr>
      <w:rFonts w:ascii="Arial" w:hAnsi="Arial" w:cs="Arial"/>
      <w:kern w:val="0"/>
      <w:sz w:val="22"/>
      <w:szCs w:val="22"/>
    </w:rPr>
  </w:style>
  <w:style w:type="paragraph" w:customStyle="1" w:styleId="755">
    <w:name w:val="正文首行缩进2字"/>
    <w:basedOn w:val="1"/>
    <w:autoRedefine/>
    <w:qFormat/>
    <w:uiPriority w:val="0"/>
    <w:pPr>
      <w:adjustRightInd w:val="0"/>
      <w:snapToGrid w:val="0"/>
      <w:spacing w:line="300" w:lineRule="auto"/>
      <w:ind w:firstLine="563" w:firstLineChars="201"/>
    </w:pPr>
    <w:rPr>
      <w:sz w:val="28"/>
    </w:rPr>
  </w:style>
  <w:style w:type="paragraph" w:customStyle="1" w:styleId="756">
    <w:name w:val="xl82"/>
    <w:basedOn w:val="1"/>
    <w:autoRedefine/>
    <w:qFormat/>
    <w:uiPriority w:val="0"/>
    <w:pPr>
      <w:widowControl/>
      <w:pBdr>
        <w:left w:val="single" w:color="auto" w:sz="12" w:space="0"/>
        <w:bottom w:val="single" w:color="auto" w:sz="12" w:space="0"/>
      </w:pBdr>
      <w:spacing w:before="100" w:beforeAutospacing="1" w:after="100" w:afterAutospacing="1"/>
      <w:jc w:val="right"/>
      <w:textAlignment w:val="center"/>
    </w:pPr>
    <w:rPr>
      <w:rFonts w:ascii="Arial Unicode MS" w:hAnsi="Arial Unicode MS"/>
      <w:kern w:val="0"/>
      <w:sz w:val="12"/>
      <w:szCs w:val="12"/>
    </w:rPr>
  </w:style>
  <w:style w:type="paragraph" w:customStyle="1" w:styleId="757">
    <w:name w:val="1"/>
    <w:basedOn w:val="1"/>
    <w:next w:val="33"/>
    <w:autoRedefine/>
    <w:qFormat/>
    <w:uiPriority w:val="0"/>
    <w:pPr>
      <w:ind w:firstLine="480" w:firstLineChars="200"/>
    </w:pPr>
    <w:rPr>
      <w:sz w:val="24"/>
    </w:rPr>
  </w:style>
  <w:style w:type="paragraph" w:customStyle="1" w:styleId="758">
    <w:name w:val="样式"/>
    <w:basedOn w:val="1"/>
    <w:next w:val="372"/>
    <w:autoRedefine/>
    <w:qFormat/>
    <w:uiPriority w:val="0"/>
    <w:pPr>
      <w:tabs>
        <w:tab w:val="left" w:pos="280"/>
        <w:tab w:val="left" w:pos="620"/>
      </w:tabs>
      <w:adjustRightInd w:val="0"/>
      <w:snapToGrid w:val="0"/>
      <w:spacing w:before="240" w:after="240" w:line="480" w:lineRule="exact"/>
      <w:ind w:left="2098" w:right="392" w:rightChars="140" w:firstLine="454" w:firstLineChars="200"/>
    </w:pPr>
    <w:rPr>
      <w:sz w:val="28"/>
    </w:rPr>
  </w:style>
  <w:style w:type="paragraph" w:customStyle="1" w:styleId="759">
    <w:name w:val="高表标"/>
    <w:basedOn w:val="1"/>
    <w:autoRedefine/>
    <w:qFormat/>
    <w:uiPriority w:val="0"/>
    <w:pPr>
      <w:snapToGrid w:val="0"/>
      <w:spacing w:line="300" w:lineRule="auto"/>
      <w:jc w:val="right"/>
    </w:pPr>
    <w:rPr>
      <w:rFonts w:ascii="Arial" w:hAnsi="Arial" w:eastAsia="黑体"/>
      <w:bCs/>
      <w:sz w:val="24"/>
    </w:rPr>
  </w:style>
  <w:style w:type="paragraph" w:customStyle="1" w:styleId="760">
    <w:name w:val="五级条标题"/>
    <w:basedOn w:val="640"/>
    <w:next w:val="1"/>
    <w:autoRedefine/>
    <w:qFormat/>
    <w:uiPriority w:val="0"/>
    <w:pPr>
      <w:outlineLvl w:val="6"/>
    </w:pPr>
  </w:style>
  <w:style w:type="paragraph" w:customStyle="1" w:styleId="761">
    <w:name w:val="myformat_content Char"/>
    <w:basedOn w:val="1"/>
    <w:autoRedefine/>
    <w:qFormat/>
    <w:uiPriority w:val="0"/>
    <w:pPr>
      <w:spacing w:beforeLines="50" w:afterLines="50" w:line="360" w:lineRule="exact"/>
      <w:ind w:firstLine="480" w:firstLineChars="200"/>
    </w:pPr>
    <w:rPr>
      <w:sz w:val="24"/>
      <w:szCs w:val="20"/>
    </w:rPr>
  </w:style>
  <w:style w:type="paragraph" w:customStyle="1" w:styleId="762">
    <w:name w:val="xl123"/>
    <w:basedOn w:val="1"/>
    <w:autoRedefine/>
    <w:qFormat/>
    <w:uiPriority w:val="0"/>
    <w:pPr>
      <w:widowControl/>
      <w:pBdr>
        <w:top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763">
    <w:name w:val="xl149"/>
    <w:basedOn w:val="1"/>
    <w:autoRedefine/>
    <w:qFormat/>
    <w:uiPriority w:val="0"/>
    <w:pPr>
      <w:widowControl/>
      <w:pBdr>
        <w:bottom w:val="single" w:color="auto" w:sz="8" w:space="0"/>
        <w:right w:val="single" w:color="auto" w:sz="4" w:space="0"/>
      </w:pBdr>
      <w:spacing w:before="100" w:beforeAutospacing="1" w:after="100" w:afterAutospacing="1"/>
      <w:jc w:val="left"/>
    </w:pPr>
    <w:rPr>
      <w:rFonts w:ascii="Arial Unicode MS" w:hAnsi="Arial Unicode MS"/>
      <w:kern w:val="0"/>
    </w:rPr>
  </w:style>
  <w:style w:type="paragraph" w:customStyle="1" w:styleId="764">
    <w:name w:val="表样式3"/>
    <w:basedOn w:val="1"/>
    <w:autoRedefine/>
    <w:qFormat/>
    <w:uiPriority w:val="0"/>
    <w:pPr>
      <w:spacing w:beforeLines="50" w:afterLines="50"/>
      <w:jc w:val="center"/>
    </w:pPr>
    <w:rPr>
      <w:rFonts w:ascii="宋体" w:hAnsi="宋体" w:eastAsia="黑体"/>
      <w:color w:val="000000"/>
      <w:szCs w:val="18"/>
    </w:rPr>
  </w:style>
  <w:style w:type="paragraph" w:customStyle="1" w:styleId="765">
    <w:name w:val="word"/>
    <w:basedOn w:val="1"/>
    <w:autoRedefine/>
    <w:qFormat/>
    <w:uiPriority w:val="0"/>
    <w:pPr>
      <w:spacing w:line="360" w:lineRule="auto"/>
      <w:ind w:firstLine="480" w:firstLineChars="200"/>
    </w:pPr>
    <w:rPr>
      <w:sz w:val="24"/>
    </w:rPr>
  </w:style>
  <w:style w:type="paragraph" w:customStyle="1" w:styleId="766">
    <w:name w:val="样式 标题 2 + 行距: 1.5 倍行距"/>
    <w:basedOn w:val="4"/>
    <w:autoRedefine/>
    <w:qFormat/>
    <w:uiPriority w:val="0"/>
    <w:pPr>
      <w:snapToGrid w:val="0"/>
      <w:spacing w:before="240" w:after="240" w:line="240" w:lineRule="auto"/>
      <w:ind w:left="1134" w:hanging="992"/>
      <w:jc w:val="left"/>
    </w:pPr>
    <w:rPr>
      <w:rFonts w:ascii="Times New Roman" w:hAnsi="Times New Roman" w:cs="宋体"/>
      <w:sz w:val="28"/>
      <w:szCs w:val="20"/>
    </w:rPr>
  </w:style>
  <w:style w:type="paragraph" w:customStyle="1" w:styleId="767">
    <w:name w:val="注"/>
    <w:basedOn w:val="1"/>
    <w:next w:val="1"/>
    <w:autoRedefine/>
    <w:qFormat/>
    <w:uiPriority w:val="0"/>
    <w:pPr>
      <w:widowControl/>
      <w:spacing w:before="60" w:after="60" w:line="312" w:lineRule="auto"/>
    </w:pPr>
    <w:rPr>
      <w:rFonts w:eastAsia="黑体"/>
      <w:kern w:val="0"/>
      <w:szCs w:val="20"/>
    </w:rPr>
  </w:style>
  <w:style w:type="paragraph" w:customStyle="1" w:styleId="768">
    <w:name w:val="样式 正文文本 + 左侧:  2 字符 首行缩进:  2 字符"/>
    <w:basedOn w:val="31"/>
    <w:autoRedefine/>
    <w:qFormat/>
    <w:uiPriority w:val="0"/>
    <w:pPr>
      <w:widowControl w:val="0"/>
      <w:adjustRightInd w:val="0"/>
      <w:spacing w:before="0" w:after="0" w:line="360" w:lineRule="auto"/>
      <w:ind w:left="480" w:leftChars="200" w:right="0" w:firstLine="480" w:firstLineChars="200"/>
      <w:jc w:val="left"/>
    </w:pPr>
    <w:rPr>
      <w:rFonts w:ascii="Arial" w:hAnsi="Arial" w:cs="宋体"/>
      <w:kern w:val="2"/>
      <w:sz w:val="24"/>
    </w:rPr>
  </w:style>
  <w:style w:type="paragraph" w:customStyle="1" w:styleId="769">
    <w:name w:val="xl31"/>
    <w:basedOn w:val="1"/>
    <w:autoRedefine/>
    <w:qFormat/>
    <w:uiPriority w:val="0"/>
    <w:pPr>
      <w:widowControl/>
      <w:spacing w:before="100" w:beforeAutospacing="1" w:after="100" w:afterAutospacing="1"/>
      <w:jc w:val="center"/>
      <w:textAlignment w:val="bottom"/>
    </w:pPr>
    <w:rPr>
      <w:rFonts w:ascii="Arial" w:hAnsi="Arial" w:cs="Arial"/>
      <w:b/>
      <w:bCs/>
      <w:kern w:val="0"/>
      <w:sz w:val="28"/>
      <w:szCs w:val="28"/>
    </w:rPr>
  </w:style>
  <w:style w:type="paragraph" w:customStyle="1" w:styleId="770">
    <w:name w:val="表名称"/>
    <w:autoRedefine/>
    <w:semiHidden/>
    <w:qFormat/>
    <w:uiPriority w:val="0"/>
    <w:pPr>
      <w:widowControl w:val="0"/>
      <w:spacing w:before="240" w:line="288" w:lineRule="auto"/>
      <w:jc w:val="both"/>
    </w:pPr>
    <w:rPr>
      <w:rFonts w:ascii="Times New Roman" w:hAnsi="Times New Roman" w:eastAsia="宋体" w:cs="Times New Roman"/>
      <w:kern w:val="2"/>
      <w:sz w:val="24"/>
      <w:szCs w:val="24"/>
      <w:lang w:val="en-US" w:eastAsia="zh-CN" w:bidi="ar-SA"/>
    </w:rPr>
  </w:style>
  <w:style w:type="paragraph" w:customStyle="1" w:styleId="771">
    <w:name w:val="Char Char Char Char Char Char"/>
    <w:basedOn w:val="1"/>
    <w:autoRedefine/>
    <w:qFormat/>
    <w:uiPriority w:val="0"/>
    <w:rPr>
      <w:sz w:val="24"/>
    </w:rPr>
  </w:style>
  <w:style w:type="paragraph" w:customStyle="1" w:styleId="772">
    <w:name w:val="标准"/>
    <w:basedOn w:val="1"/>
    <w:autoRedefine/>
    <w:qFormat/>
    <w:uiPriority w:val="0"/>
    <w:pPr>
      <w:adjustRightInd w:val="0"/>
      <w:spacing w:line="312" w:lineRule="atLeast"/>
      <w:jc w:val="center"/>
      <w:textAlignment w:val="baseline"/>
    </w:pPr>
    <w:rPr>
      <w:kern w:val="0"/>
      <w:szCs w:val="20"/>
    </w:rPr>
  </w:style>
  <w:style w:type="paragraph" w:customStyle="1" w:styleId="773">
    <w:name w:val="样式 样式 正文 首行缩进:  2 字符 + (中文) 楷体_GB2312 + 宋体 首行缩进:  2 字符 段前: 7.8..."/>
    <w:basedOn w:val="411"/>
    <w:autoRedefine/>
    <w:qFormat/>
    <w:uiPriority w:val="0"/>
    <w:rPr>
      <w:rFonts w:eastAsia="宋体"/>
    </w:rPr>
  </w:style>
  <w:style w:type="paragraph" w:customStyle="1" w:styleId="774">
    <w:name w:val="样式 样式 标题 3东明_小节H3条标题1.1.1二级节名h33rd level3l3CTHeading 3 - ... + 段..."/>
    <w:basedOn w:val="646"/>
    <w:autoRedefine/>
    <w:qFormat/>
    <w:uiPriority w:val="0"/>
    <w:pPr>
      <w:spacing w:after="156"/>
    </w:pPr>
  </w:style>
  <w:style w:type="paragraph" w:customStyle="1" w:styleId="775">
    <w:name w:val="首行缩进"/>
    <w:basedOn w:val="1"/>
    <w:autoRedefine/>
    <w:qFormat/>
    <w:uiPriority w:val="0"/>
    <w:pPr>
      <w:spacing w:line="360" w:lineRule="auto"/>
      <w:ind w:firstLine="480" w:firstLineChars="200"/>
    </w:pPr>
    <w:rPr>
      <w:sz w:val="24"/>
    </w:rPr>
  </w:style>
  <w:style w:type="paragraph" w:customStyle="1" w:styleId="776">
    <w:name w:val="Char Char Char Char Char Char Char Char Char Char Char Char Char Char Char Char"/>
    <w:basedOn w:val="1"/>
    <w:autoRedefine/>
    <w:qFormat/>
    <w:uiPriority w:val="0"/>
    <w:rPr>
      <w:rFonts w:cs="宋体"/>
      <w:bCs/>
      <w:color w:val="000000"/>
      <w:szCs w:val="28"/>
    </w:rPr>
  </w:style>
  <w:style w:type="paragraph" w:customStyle="1" w:styleId="777">
    <w:name w:val="修订1"/>
    <w:autoRedefine/>
    <w:semiHidden/>
    <w:qFormat/>
    <w:uiPriority w:val="0"/>
    <w:rPr>
      <w:rFonts w:ascii="Times New Roman" w:hAnsi="Times New Roman" w:eastAsia="宋体" w:cs="Times New Roman"/>
      <w:kern w:val="2"/>
      <w:sz w:val="24"/>
      <w:szCs w:val="21"/>
      <w:lang w:val="en-US" w:eastAsia="zh-CN" w:bidi="ar-SA"/>
    </w:rPr>
  </w:style>
  <w:style w:type="paragraph" w:customStyle="1" w:styleId="778">
    <w:name w:val="文本框"/>
    <w:basedOn w:val="1"/>
    <w:autoRedefine/>
    <w:qFormat/>
    <w:uiPriority w:val="0"/>
    <w:pPr>
      <w:adjustRightInd w:val="0"/>
      <w:snapToGrid w:val="0"/>
      <w:spacing w:line="300" w:lineRule="exact"/>
      <w:jc w:val="center"/>
    </w:pPr>
    <w:rPr>
      <w:sz w:val="24"/>
    </w:rPr>
  </w:style>
  <w:style w:type="paragraph" w:customStyle="1" w:styleId="779">
    <w:name w:val="xl69"/>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780">
    <w:name w:val="五号表格"/>
    <w:next w:val="1"/>
    <w:autoRedefine/>
    <w:qFormat/>
    <w:uiPriority w:val="0"/>
    <w:rPr>
      <w:rFonts w:ascii="宋体" w:hAnsi="Times New Roman" w:eastAsia="宋体" w:cs="Times New Roman"/>
      <w:sz w:val="21"/>
      <w:lang w:val="en-US" w:eastAsia="zh-CN" w:bidi="ar-SA"/>
    </w:rPr>
  </w:style>
  <w:style w:type="paragraph" w:customStyle="1" w:styleId="781">
    <w:name w:val="样式 样式 样式 首行缩进:  2 字符 + 首行缩进:  2 字符 + 首行缩进:  2 字符"/>
    <w:basedOn w:val="1"/>
    <w:autoRedefine/>
    <w:qFormat/>
    <w:uiPriority w:val="0"/>
    <w:pPr>
      <w:spacing w:line="360" w:lineRule="auto"/>
      <w:ind w:firstLine="480" w:firstLineChars="200"/>
    </w:pPr>
    <w:rPr>
      <w:rFonts w:eastAsia="仿宋_GB2312"/>
      <w:sz w:val="24"/>
      <w:szCs w:val="20"/>
    </w:rPr>
  </w:style>
  <w:style w:type="paragraph" w:customStyle="1" w:styleId="782">
    <w:name w:val="xl186"/>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783">
    <w:name w:val="xl88"/>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84">
    <w:name w:val="注释"/>
    <w:basedOn w:val="211"/>
    <w:autoRedefine/>
    <w:qFormat/>
    <w:uiPriority w:val="0"/>
    <w:pPr>
      <w:ind w:firstLine="420"/>
    </w:pPr>
    <w:rPr>
      <w:sz w:val="21"/>
      <w:szCs w:val="24"/>
    </w:rPr>
  </w:style>
  <w:style w:type="paragraph" w:customStyle="1" w:styleId="785">
    <w:name w:val="xl131"/>
    <w:basedOn w:val="1"/>
    <w:autoRedefine/>
    <w:qFormat/>
    <w:uiPriority w:val="0"/>
    <w:pPr>
      <w:widowControl/>
      <w:pBdr>
        <w:left w:val="single" w:color="auto" w:sz="4" w:space="0"/>
        <w:right w:val="single" w:color="auto" w:sz="8" w:space="0"/>
      </w:pBdr>
      <w:spacing w:before="100" w:beforeAutospacing="1" w:after="100" w:afterAutospacing="1"/>
      <w:jc w:val="left"/>
    </w:pPr>
    <w:rPr>
      <w:rFonts w:ascii="Arial Unicode MS" w:hAnsi="Arial Unicode MS"/>
      <w:kern w:val="0"/>
    </w:rPr>
  </w:style>
  <w:style w:type="paragraph" w:customStyle="1" w:styleId="786">
    <w:name w:val="段"/>
    <w:autoRedefine/>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787">
    <w:name w:val="xl80"/>
    <w:basedOn w:val="1"/>
    <w:autoRedefine/>
    <w:qFormat/>
    <w:uiPriority w:val="0"/>
    <w:pPr>
      <w:widowControl/>
      <w:pBdr>
        <w:left w:val="single" w:color="auto" w:sz="12" w:space="0"/>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88">
    <w:name w:val="样式 标题 2东明_节Chapter HeadingHeading 2 HiddenHeading 2 CCBShea..."/>
    <w:basedOn w:val="4"/>
    <w:autoRedefine/>
    <w:qFormat/>
    <w:uiPriority w:val="0"/>
    <w:pPr>
      <w:spacing w:before="0" w:after="0" w:line="360" w:lineRule="auto"/>
    </w:pPr>
    <w:rPr>
      <w:rFonts w:ascii="Times New Roman" w:hAnsi="Times New Roman" w:cs="宋体"/>
      <w:kern w:val="44"/>
      <w:sz w:val="28"/>
      <w:szCs w:val="20"/>
      <w:lang w:val="zh-CN"/>
    </w:rPr>
  </w:style>
  <w:style w:type="paragraph" w:customStyle="1" w:styleId="789">
    <w:name w:val="Char Char Char4 Char Char Char Char Char Char3"/>
    <w:basedOn w:val="1"/>
    <w:autoRedefine/>
    <w:qFormat/>
    <w:uiPriority w:val="0"/>
    <w:rPr>
      <w:rFonts w:ascii="宋体" w:hAnsi="宋体" w:cs="宋体"/>
      <w:sz w:val="24"/>
    </w:rPr>
  </w:style>
  <w:style w:type="paragraph" w:customStyle="1" w:styleId="790">
    <w:name w:val="前言、引言标题"/>
    <w:next w:val="1"/>
    <w:autoRedefine/>
    <w:qFormat/>
    <w:uiPriority w:val="0"/>
    <w:pPr>
      <w:shd w:val="clear" w:color="FFFFFF" w:fill="FFFFFF"/>
      <w:tabs>
        <w:tab w:val="left" w:pos="903"/>
      </w:tabs>
      <w:spacing w:before="640" w:after="560"/>
      <w:ind w:left="903" w:hanging="315"/>
      <w:jc w:val="center"/>
      <w:outlineLvl w:val="0"/>
    </w:pPr>
    <w:rPr>
      <w:rFonts w:ascii="黑体" w:hAnsi="Times New Roman" w:eastAsia="黑体" w:cs="Times New Roman"/>
      <w:sz w:val="32"/>
      <w:lang w:val="en-US" w:eastAsia="zh-CN" w:bidi="ar-SA"/>
    </w:rPr>
  </w:style>
  <w:style w:type="paragraph" w:customStyle="1" w:styleId="791">
    <w:name w:val="项目编号"/>
    <w:basedOn w:val="1"/>
    <w:next w:val="1"/>
    <w:autoRedefine/>
    <w:qFormat/>
    <w:uiPriority w:val="0"/>
    <w:pPr>
      <w:spacing w:before="120" w:after="120" w:line="360" w:lineRule="auto"/>
    </w:pPr>
    <w:rPr>
      <w:sz w:val="24"/>
      <w:szCs w:val="20"/>
    </w:rPr>
  </w:style>
  <w:style w:type="paragraph" w:customStyle="1" w:styleId="792">
    <w:name w:val="xl38"/>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793">
    <w:name w:val="图目"/>
    <w:basedOn w:val="1"/>
    <w:autoRedefine/>
    <w:qFormat/>
    <w:uiPriority w:val="0"/>
    <w:pPr>
      <w:snapToGrid w:val="0"/>
      <w:spacing w:before="360" w:after="360" w:line="440" w:lineRule="atLeast"/>
      <w:jc w:val="center"/>
    </w:pPr>
    <w:rPr>
      <w:rFonts w:ascii="黑体" w:hAnsi="Arial" w:eastAsia="黑体"/>
      <w:sz w:val="24"/>
      <w:szCs w:val="20"/>
    </w:rPr>
  </w:style>
  <w:style w:type="paragraph" w:customStyle="1" w:styleId="794">
    <w:name w:val="Char Char Char1 Char Char Char Char Char Char Char Char Char Char"/>
    <w:basedOn w:val="1"/>
    <w:autoRedefine/>
    <w:qFormat/>
    <w:uiPriority w:val="0"/>
  </w:style>
  <w:style w:type="paragraph" w:customStyle="1" w:styleId="795">
    <w:name w:val="表居中（中文）"/>
    <w:basedOn w:val="1"/>
    <w:autoRedefine/>
    <w:qFormat/>
    <w:uiPriority w:val="0"/>
    <w:pPr>
      <w:adjustRightInd w:val="0"/>
      <w:spacing w:line="380" w:lineRule="atLeast"/>
      <w:jc w:val="center"/>
      <w:textAlignment w:val="baseline"/>
    </w:pPr>
    <w:rPr>
      <w:rFonts w:eastAsia="楷体_GB2312"/>
      <w:kern w:val="0"/>
      <w:sz w:val="24"/>
      <w:szCs w:val="20"/>
    </w:rPr>
  </w:style>
  <w:style w:type="paragraph" w:customStyle="1" w:styleId="796">
    <w:name w:val="xl18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797">
    <w:name w:val="样式a"/>
    <w:basedOn w:val="1"/>
    <w:autoRedefine/>
    <w:qFormat/>
    <w:uiPriority w:val="0"/>
    <w:pPr>
      <w:adjustRightInd w:val="0"/>
      <w:snapToGrid w:val="0"/>
      <w:spacing w:line="420" w:lineRule="exact"/>
      <w:ind w:firstLine="200" w:firstLineChars="200"/>
      <w:textAlignment w:val="baseline"/>
    </w:pPr>
    <w:rPr>
      <w:kern w:val="0"/>
      <w:sz w:val="24"/>
    </w:rPr>
  </w:style>
  <w:style w:type="paragraph" w:customStyle="1" w:styleId="798">
    <w:name w:val="xl71"/>
    <w:basedOn w:val="1"/>
    <w:autoRedefine/>
    <w:qFormat/>
    <w:uiPriority w:val="0"/>
    <w:pPr>
      <w:widowControl/>
      <w:spacing w:before="100" w:beforeAutospacing="1" w:after="100" w:afterAutospacing="1"/>
      <w:jc w:val="left"/>
    </w:pPr>
    <w:rPr>
      <w:rFonts w:ascii="宋体" w:hAnsi="宋体"/>
      <w:b/>
      <w:bCs/>
      <w:kern w:val="0"/>
      <w:sz w:val="20"/>
      <w:szCs w:val="20"/>
    </w:rPr>
  </w:style>
  <w:style w:type="paragraph" w:customStyle="1" w:styleId="799">
    <w:name w:val="xl98"/>
    <w:basedOn w:val="1"/>
    <w:autoRedefine/>
    <w:qFormat/>
    <w:uiPriority w:val="0"/>
    <w:pPr>
      <w:widowControl/>
      <w:pBdr>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00">
    <w:name w:val="4"/>
    <w:basedOn w:val="1"/>
    <w:autoRedefine/>
    <w:qFormat/>
    <w:uiPriority w:val="0"/>
    <w:rPr>
      <w:sz w:val="28"/>
    </w:rPr>
  </w:style>
  <w:style w:type="paragraph" w:customStyle="1" w:styleId="801">
    <w:name w:val="样式 标题 1章标题 11标题 1H1一、 + 行距: 1.5 倍行距4"/>
    <w:basedOn w:val="3"/>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802">
    <w:name w:val="样式 列表 2 + 华文仿宋 居中"/>
    <w:basedOn w:val="35"/>
    <w:autoRedefine/>
    <w:qFormat/>
    <w:uiPriority w:val="0"/>
    <w:pPr>
      <w:ind w:left="0" w:leftChars="0" w:firstLine="0" w:firstLineChars="0"/>
      <w:jc w:val="center"/>
    </w:pPr>
    <w:rPr>
      <w:rFonts w:ascii="宋体" w:hAnsi="宋体" w:eastAsia="宋体"/>
      <w:snapToGrid/>
      <w:kern w:val="2"/>
      <w:sz w:val="21"/>
      <w:szCs w:val="21"/>
    </w:rPr>
  </w:style>
  <w:style w:type="paragraph" w:customStyle="1" w:styleId="803">
    <w:name w:val="样式 样式 首行缩进:  0.85 厘米 行距: 1.5 倍行距 + 段后: 0.3 行"/>
    <w:basedOn w:val="804"/>
    <w:autoRedefine/>
    <w:semiHidden/>
    <w:qFormat/>
    <w:uiPriority w:val="0"/>
  </w:style>
  <w:style w:type="paragraph" w:customStyle="1" w:styleId="804">
    <w:name w:val="样式 首行缩进:  0.85 厘米 行距: 1.5 倍行距"/>
    <w:basedOn w:val="1"/>
    <w:autoRedefine/>
    <w:semiHidden/>
    <w:qFormat/>
    <w:uiPriority w:val="0"/>
    <w:pPr>
      <w:snapToGrid w:val="0"/>
      <w:spacing w:beforeLines="50" w:line="360" w:lineRule="auto"/>
      <w:ind w:firstLine="480" w:firstLineChars="200"/>
    </w:pPr>
    <w:rPr>
      <w:sz w:val="24"/>
      <w:szCs w:val="20"/>
    </w:rPr>
  </w:style>
  <w:style w:type="paragraph" w:customStyle="1" w:styleId="805">
    <w:name w:val="正文首行缩进2"/>
    <w:basedOn w:val="1"/>
    <w:autoRedefine/>
    <w:qFormat/>
    <w:uiPriority w:val="0"/>
    <w:pPr>
      <w:snapToGrid w:val="0"/>
      <w:spacing w:line="500" w:lineRule="exact"/>
      <w:ind w:firstLine="480" w:firstLineChars="200"/>
    </w:pPr>
    <w:rPr>
      <w:sz w:val="18"/>
      <w:szCs w:val="20"/>
    </w:rPr>
  </w:style>
  <w:style w:type="paragraph" w:customStyle="1" w:styleId="806">
    <w:name w:val="font6"/>
    <w:basedOn w:val="1"/>
    <w:autoRedefine/>
    <w:qFormat/>
    <w:uiPriority w:val="0"/>
    <w:pPr>
      <w:widowControl/>
      <w:spacing w:before="100" w:beforeAutospacing="1" w:after="100" w:afterAutospacing="1"/>
      <w:jc w:val="left"/>
    </w:pPr>
    <w:rPr>
      <w:rFonts w:ascii="宋体" w:hAnsi="宋体"/>
      <w:b/>
      <w:bCs/>
      <w:kern w:val="0"/>
      <w:sz w:val="24"/>
    </w:rPr>
  </w:style>
  <w:style w:type="paragraph" w:customStyle="1" w:styleId="807">
    <w:name w:val="p6"/>
    <w:basedOn w:val="1"/>
    <w:autoRedefine/>
    <w:qFormat/>
    <w:uiPriority w:val="0"/>
    <w:pPr>
      <w:tabs>
        <w:tab w:val="left" w:pos="4720"/>
      </w:tabs>
      <w:spacing w:line="240" w:lineRule="atLeast"/>
      <w:ind w:left="3280"/>
      <w:jc w:val="left"/>
    </w:pPr>
    <w:rPr>
      <w:rFonts w:ascii="Arial" w:hAnsi="Arial"/>
      <w:snapToGrid w:val="0"/>
      <w:kern w:val="0"/>
      <w:sz w:val="24"/>
      <w:szCs w:val="20"/>
      <w:lang w:eastAsia="en-US"/>
    </w:rPr>
  </w:style>
  <w:style w:type="paragraph" w:customStyle="1" w:styleId="808">
    <w:name w:val="Char Char Char Char3"/>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809">
    <w:name w:val="font11"/>
    <w:basedOn w:val="1"/>
    <w:autoRedefine/>
    <w:qFormat/>
    <w:uiPriority w:val="0"/>
    <w:pPr>
      <w:widowControl/>
      <w:spacing w:before="100" w:beforeAutospacing="1" w:after="100" w:afterAutospacing="1"/>
      <w:jc w:val="left"/>
    </w:pPr>
    <w:rPr>
      <w:rFonts w:ascii="Arial" w:hAnsi="Arial" w:cs="Arial"/>
      <w:b/>
      <w:bCs/>
      <w:kern w:val="0"/>
      <w:sz w:val="22"/>
      <w:szCs w:val="22"/>
    </w:rPr>
  </w:style>
  <w:style w:type="paragraph" w:customStyle="1" w:styleId="810">
    <w:name w:val="样式 上标 Char"/>
    <w:basedOn w:val="685"/>
    <w:next w:val="685"/>
    <w:autoRedefine/>
    <w:qFormat/>
    <w:uiPriority w:val="0"/>
    <w:pPr>
      <w:spacing w:before="0" w:after="0" w:line="320" w:lineRule="exact"/>
      <w:ind w:firstLine="200"/>
    </w:pPr>
    <w:rPr>
      <w:caps/>
      <w:szCs w:val="36"/>
    </w:rPr>
  </w:style>
  <w:style w:type="paragraph" w:customStyle="1" w:styleId="811">
    <w:name w:val="样式 样式 首行缩进:  2 字符 + 首行缩进:  2 字符2"/>
    <w:basedOn w:val="1"/>
    <w:autoRedefine/>
    <w:qFormat/>
    <w:uiPriority w:val="0"/>
    <w:pPr>
      <w:spacing w:line="440" w:lineRule="exact"/>
      <w:ind w:firstLine="584" w:firstLineChars="200"/>
    </w:pPr>
    <w:rPr>
      <w:rFonts w:eastAsia="楷体_GB2312" w:cs="宋体"/>
      <w:spacing w:val="6"/>
      <w:kern w:val="0"/>
      <w:sz w:val="28"/>
      <w:szCs w:val="20"/>
    </w:rPr>
  </w:style>
  <w:style w:type="paragraph" w:customStyle="1" w:styleId="812">
    <w:name w:val="xl22"/>
    <w:basedOn w:val="1"/>
    <w:autoRedefine/>
    <w:qFormat/>
    <w:uiPriority w:val="0"/>
    <w:pPr>
      <w:widowControl/>
      <w:pBdr>
        <w:bottom w:val="single" w:color="auto" w:sz="4" w:space="0"/>
        <w:right w:val="single" w:color="auto" w:sz="4" w:space="0"/>
      </w:pBdr>
      <w:spacing w:before="100" w:after="100"/>
      <w:jc w:val="center"/>
    </w:pPr>
    <w:rPr>
      <w:rFonts w:ascii="宋体" w:hAnsi="宋体"/>
      <w:kern w:val="0"/>
      <w:szCs w:val="20"/>
    </w:rPr>
  </w:style>
  <w:style w:type="paragraph" w:customStyle="1" w:styleId="813">
    <w:name w:val="正文缩进3"/>
    <w:basedOn w:val="1"/>
    <w:autoRedefine/>
    <w:qFormat/>
    <w:uiPriority w:val="0"/>
    <w:pPr>
      <w:adjustRightInd w:val="0"/>
      <w:ind w:firstLine="420" w:firstLineChars="200"/>
      <w:textAlignment w:val="baseline"/>
    </w:pPr>
    <w:rPr>
      <w:rFonts w:hint="eastAsia" w:hAnsi="宋体"/>
      <w:sz w:val="24"/>
      <w:szCs w:val="20"/>
    </w:rPr>
  </w:style>
  <w:style w:type="paragraph" w:customStyle="1" w:styleId="814">
    <w:name w:val="样式 标题 2 + 首行缩进:  2.5 字符"/>
    <w:basedOn w:val="4"/>
    <w:autoRedefine/>
    <w:qFormat/>
    <w:uiPriority w:val="0"/>
    <w:pPr>
      <w:keepNext w:val="0"/>
      <w:keepLines w:val="0"/>
      <w:tabs>
        <w:tab w:val="left" w:pos="840"/>
      </w:tabs>
      <w:spacing w:before="0" w:after="0" w:line="240" w:lineRule="auto"/>
      <w:ind w:left="840" w:hanging="420"/>
    </w:pPr>
    <w:rPr>
      <w:rFonts w:ascii="Times New Roman" w:hAnsi="Times New Roman" w:eastAsia="楷体_GB2312" w:cs="宋体"/>
      <w:b w:val="0"/>
      <w:bCs w:val="0"/>
      <w:kern w:val="0"/>
      <w:sz w:val="28"/>
      <w:szCs w:val="20"/>
    </w:rPr>
  </w:style>
  <w:style w:type="paragraph" w:customStyle="1" w:styleId="815">
    <w:name w:val="xl132"/>
    <w:basedOn w:val="1"/>
    <w:autoRedefine/>
    <w:qFormat/>
    <w:uiPriority w:val="0"/>
    <w:pPr>
      <w:widowControl/>
      <w:pBdr>
        <w:top w:val="single" w:color="auto" w:sz="12" w:space="0"/>
        <w:lef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816">
    <w:name w:val="xl66"/>
    <w:basedOn w:val="1"/>
    <w:autoRedefine/>
    <w:qFormat/>
    <w:uiPriority w:val="0"/>
    <w:pPr>
      <w:widowControl/>
      <w:spacing w:before="100" w:beforeAutospacing="1" w:after="100" w:afterAutospacing="1"/>
      <w:jc w:val="center"/>
      <w:textAlignment w:val="bottom"/>
    </w:pPr>
    <w:rPr>
      <w:rFonts w:ascii="宋体" w:hAnsi="宋体"/>
      <w:b/>
      <w:bCs/>
      <w:color w:val="0000FF"/>
      <w:kern w:val="0"/>
      <w:sz w:val="22"/>
      <w:szCs w:val="22"/>
    </w:rPr>
  </w:style>
  <w:style w:type="paragraph" w:customStyle="1" w:styleId="817">
    <w:name w:val="dandan6-13正文 Char Char Char Char Char Char"/>
    <w:basedOn w:val="1"/>
    <w:next w:val="1"/>
    <w:autoRedefine/>
    <w:qFormat/>
    <w:uiPriority w:val="0"/>
    <w:pPr>
      <w:keepNext/>
      <w:keepLines/>
      <w:widowControl/>
      <w:adjustRightInd w:val="0"/>
      <w:spacing w:before="40" w:after="40" w:line="360" w:lineRule="auto"/>
      <w:ind w:firstLine="200" w:firstLineChars="200"/>
      <w:textAlignment w:val="baseline"/>
    </w:pPr>
    <w:rPr>
      <w:szCs w:val="20"/>
    </w:rPr>
  </w:style>
  <w:style w:type="paragraph" w:customStyle="1" w:styleId="818">
    <w:name w:val="xl120"/>
    <w:basedOn w:val="1"/>
    <w:autoRedefine/>
    <w:qFormat/>
    <w:uiPriority w:val="0"/>
    <w:pPr>
      <w:widowControl/>
      <w:spacing w:before="100" w:beforeAutospacing="1" w:after="100" w:afterAutospacing="1"/>
      <w:jc w:val="left"/>
      <w:textAlignment w:val="center"/>
    </w:pPr>
    <w:rPr>
      <w:rFonts w:ascii="Arial Unicode MS" w:hAnsi="Arial Unicode MS"/>
      <w:kern w:val="0"/>
      <w:sz w:val="12"/>
      <w:szCs w:val="12"/>
    </w:rPr>
  </w:style>
  <w:style w:type="paragraph" w:customStyle="1" w:styleId="819">
    <w:name w:val="xl105"/>
    <w:basedOn w:val="1"/>
    <w:autoRedefine/>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820">
    <w:name w:val="目录3"/>
    <w:basedOn w:val="1"/>
    <w:autoRedefine/>
    <w:qFormat/>
    <w:uiPriority w:val="0"/>
    <w:pPr>
      <w:tabs>
        <w:tab w:val="right" w:leader="dot" w:pos="8112"/>
        <w:tab w:val="right" w:leader="dot" w:pos="8160"/>
        <w:tab w:val="right" w:leader="dot" w:pos="8280"/>
      </w:tabs>
      <w:spacing w:line="480" w:lineRule="exact"/>
      <w:ind w:left="1134"/>
      <w:jc w:val="left"/>
    </w:pPr>
    <w:rPr>
      <w:bCs/>
      <w:sz w:val="28"/>
      <w:szCs w:val="20"/>
    </w:rPr>
  </w:style>
  <w:style w:type="paragraph" w:customStyle="1" w:styleId="821">
    <w:name w:val="xl28"/>
    <w:basedOn w:val="1"/>
    <w:autoRedefine/>
    <w:qFormat/>
    <w:uiPriority w:val="0"/>
    <w:pPr>
      <w:widowControl/>
      <w:spacing w:before="100" w:beforeAutospacing="1" w:after="100" w:afterAutospacing="1"/>
      <w:jc w:val="center"/>
      <w:textAlignment w:val="bottom"/>
    </w:pPr>
    <w:rPr>
      <w:rFonts w:ascii="Arial" w:hAnsi="Arial" w:cs="Arial"/>
      <w:b/>
      <w:bCs/>
      <w:kern w:val="0"/>
      <w:sz w:val="24"/>
    </w:rPr>
  </w:style>
  <w:style w:type="paragraph" w:customStyle="1" w:styleId="822">
    <w:name w:val="样式 段前: 3 磅 段后: 3 磅"/>
    <w:basedOn w:val="1"/>
    <w:autoRedefine/>
    <w:qFormat/>
    <w:uiPriority w:val="0"/>
    <w:pPr>
      <w:adjustRightInd w:val="0"/>
      <w:snapToGrid w:val="0"/>
      <w:spacing w:line="360" w:lineRule="auto"/>
      <w:ind w:firstLine="480" w:firstLineChars="200"/>
    </w:pPr>
    <w:rPr>
      <w:rFonts w:ascii="宋体" w:hAnsi="宋体" w:cs="宋体"/>
      <w:snapToGrid w:val="0"/>
      <w:color w:val="000000"/>
      <w:kern w:val="0"/>
      <w:sz w:val="24"/>
    </w:rPr>
  </w:style>
  <w:style w:type="paragraph" w:customStyle="1" w:styleId="823">
    <w:name w:val="xl157"/>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824">
    <w:name w:val="Char Char Char Char4"/>
    <w:basedOn w:val="1"/>
    <w:autoRedefine/>
    <w:qFormat/>
    <w:uiPriority w:val="0"/>
    <w:pPr>
      <w:snapToGrid w:val="0"/>
      <w:ind w:firstLine="200" w:firstLineChars="200"/>
    </w:pPr>
  </w:style>
  <w:style w:type="paragraph" w:customStyle="1" w:styleId="825">
    <w:name w:val="p0"/>
    <w:basedOn w:val="1"/>
    <w:autoRedefine/>
    <w:qFormat/>
    <w:uiPriority w:val="0"/>
    <w:pPr>
      <w:widowControl/>
    </w:pPr>
    <w:rPr>
      <w:kern w:val="0"/>
    </w:rPr>
  </w:style>
  <w:style w:type="paragraph" w:customStyle="1" w:styleId="826">
    <w:name w:val="xl166"/>
    <w:basedOn w:val="1"/>
    <w:autoRedefine/>
    <w:qFormat/>
    <w:uiPriority w:val="0"/>
    <w:pPr>
      <w:widowControl/>
      <w:pBdr>
        <w:left w:val="single" w:color="auto" w:sz="12" w:space="0"/>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827">
    <w:name w:val="xl46"/>
    <w:basedOn w:val="1"/>
    <w:autoRedefine/>
    <w:qFormat/>
    <w:uiPriority w:val="0"/>
    <w:pPr>
      <w:widowControl/>
      <w:pBdr>
        <w:left w:val="single" w:color="auto" w:sz="8" w:space="0"/>
        <w:bottom w:val="single" w:color="auto" w:sz="4" w:space="0"/>
        <w:right w:val="single" w:color="auto" w:sz="4" w:space="0"/>
      </w:pBdr>
      <w:spacing w:before="100" w:beforeAutospacing="1" w:after="100" w:afterAutospacing="1"/>
      <w:jc w:val="center"/>
    </w:pPr>
    <w:rPr>
      <w:rFonts w:ascii="Arial Unicode MS" w:hAnsi="Arial Unicode MS" w:eastAsia="Arial Unicode MS"/>
      <w:kern w:val="0"/>
      <w:sz w:val="24"/>
    </w:rPr>
  </w:style>
  <w:style w:type="paragraph" w:customStyle="1" w:styleId="828">
    <w:name w:val="xl25"/>
    <w:basedOn w:val="1"/>
    <w:autoRedefine/>
    <w:qFormat/>
    <w:uiPriority w:val="0"/>
    <w:pPr>
      <w:widowControl/>
      <w:pBdr>
        <w:bottom w:val="single" w:color="auto" w:sz="4" w:space="0"/>
        <w:right w:val="single" w:color="auto" w:sz="4" w:space="0"/>
      </w:pBdr>
      <w:spacing w:before="100" w:beforeAutospacing="1" w:after="100" w:afterAutospacing="1"/>
      <w:jc w:val="center"/>
      <w:textAlignment w:val="top"/>
    </w:pPr>
    <w:rPr>
      <w:kern w:val="0"/>
    </w:rPr>
  </w:style>
  <w:style w:type="paragraph" w:customStyle="1" w:styleId="829">
    <w:name w:val="正文可研"/>
    <w:basedOn w:val="1"/>
    <w:autoRedefine/>
    <w:qFormat/>
    <w:uiPriority w:val="0"/>
    <w:pPr>
      <w:autoSpaceDE w:val="0"/>
      <w:autoSpaceDN w:val="0"/>
      <w:adjustRightInd w:val="0"/>
      <w:spacing w:line="360" w:lineRule="auto"/>
      <w:ind w:firstLine="480" w:firstLineChars="200"/>
      <w:textAlignment w:val="baseline"/>
    </w:pPr>
    <w:rPr>
      <w:rFonts w:ascii="宋体" w:hAnsi="Tms Rmn" w:cs="宋体"/>
      <w:kern w:val="0"/>
      <w:sz w:val="24"/>
      <w:szCs w:val="20"/>
    </w:rPr>
  </w:style>
  <w:style w:type="paragraph" w:customStyle="1" w:styleId="830">
    <w:name w:val="正文样式3"/>
    <w:basedOn w:val="1"/>
    <w:autoRedefine/>
    <w:qFormat/>
    <w:uiPriority w:val="0"/>
    <w:pPr>
      <w:keepLines/>
      <w:adjustRightInd w:val="0"/>
      <w:spacing w:line="20" w:lineRule="atLeast"/>
      <w:ind w:firstLine="200" w:firstLineChars="200"/>
      <w:jc w:val="center"/>
      <w:textAlignment w:val="baseline"/>
    </w:pPr>
    <w:rPr>
      <w:rFonts w:eastAsia="仿宋_GB2312"/>
      <w:kern w:val="0"/>
      <w:sz w:val="24"/>
      <w:szCs w:val="20"/>
    </w:rPr>
  </w:style>
  <w:style w:type="paragraph" w:customStyle="1" w:styleId="831">
    <w:name w:val="Date1"/>
    <w:basedOn w:val="1"/>
    <w:next w:val="1"/>
    <w:autoRedefine/>
    <w:qFormat/>
    <w:uiPriority w:val="0"/>
    <w:pPr>
      <w:adjustRightInd w:val="0"/>
      <w:textAlignment w:val="baseline"/>
    </w:pPr>
  </w:style>
  <w:style w:type="paragraph" w:customStyle="1" w:styleId="832">
    <w:name w:val="表格中"/>
    <w:basedOn w:val="1"/>
    <w:autoRedefine/>
    <w:qFormat/>
    <w:uiPriority w:val="0"/>
    <w:rPr>
      <w:rFonts w:ascii="宋体"/>
    </w:rPr>
  </w:style>
  <w:style w:type="paragraph" w:customStyle="1" w:styleId="833">
    <w:name w:val="Char31"/>
    <w:basedOn w:val="1"/>
    <w:autoRedefine/>
    <w:qFormat/>
    <w:uiPriority w:val="0"/>
    <w:pPr>
      <w:spacing w:line="360" w:lineRule="auto"/>
      <w:ind w:firstLine="200" w:firstLineChars="200"/>
    </w:pPr>
    <w:rPr>
      <w:rFonts w:ascii="宋体" w:hAnsi="宋体" w:cs="宋体"/>
      <w:sz w:val="24"/>
    </w:rPr>
  </w:style>
  <w:style w:type="paragraph" w:customStyle="1" w:styleId="834">
    <w:name w:val="式中："/>
    <w:basedOn w:val="286"/>
    <w:autoRedefine/>
    <w:qFormat/>
    <w:uiPriority w:val="0"/>
    <w:pPr>
      <w:spacing w:after="0"/>
      <w:ind w:left="500" w:leftChars="500" w:firstLine="0" w:firstLineChars="0"/>
      <w:jc w:val="left"/>
    </w:pPr>
  </w:style>
  <w:style w:type="paragraph" w:customStyle="1" w:styleId="835">
    <w:name w:val="xl161"/>
    <w:basedOn w:val="1"/>
    <w:autoRedefine/>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836">
    <w:name w:val="defaultfont"/>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837">
    <w:name w:val="普通文字 Char Char"/>
    <w:basedOn w:val="1"/>
    <w:next w:val="75"/>
    <w:autoRedefine/>
    <w:qFormat/>
    <w:uiPriority w:val="0"/>
    <w:rPr>
      <w:sz w:val="24"/>
    </w:rPr>
  </w:style>
  <w:style w:type="paragraph" w:customStyle="1" w:styleId="838">
    <w:name w:val="xl44"/>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839">
    <w:name w:val="xl142"/>
    <w:basedOn w:val="1"/>
    <w:autoRedefine/>
    <w:qFormat/>
    <w:uiPriority w:val="0"/>
    <w:pPr>
      <w:widowControl/>
      <w:pBdr>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840">
    <w:name w:val="_Style 1"/>
    <w:basedOn w:val="1"/>
    <w:next w:val="8"/>
    <w:autoRedefine/>
    <w:qFormat/>
    <w:uiPriority w:val="0"/>
    <w:pPr>
      <w:adjustRightInd w:val="0"/>
      <w:spacing w:line="288" w:lineRule="auto"/>
      <w:ind w:firstLine="480"/>
      <w:textAlignment w:val="baseline"/>
    </w:pPr>
    <w:rPr>
      <w:rFonts w:ascii="宋体" w:hAnsi="宋体" w:cs="宋体"/>
      <w:sz w:val="24"/>
    </w:rPr>
  </w:style>
  <w:style w:type="paragraph" w:customStyle="1" w:styleId="841">
    <w:name w:val="xl56"/>
    <w:basedOn w:val="1"/>
    <w:autoRedefine/>
    <w:qFormat/>
    <w:uiPriority w:val="0"/>
    <w:pPr>
      <w:widowControl/>
      <w:spacing w:before="100" w:beforeAutospacing="1" w:after="100" w:afterAutospacing="1"/>
      <w:jc w:val="right"/>
    </w:pPr>
    <w:rPr>
      <w:rFonts w:ascii="Arial" w:hAnsi="Arial" w:cs="Arial"/>
      <w:b/>
      <w:bCs/>
      <w:i/>
      <w:iCs/>
      <w:kern w:val="0"/>
      <w:sz w:val="22"/>
      <w:szCs w:val="22"/>
    </w:rPr>
  </w:style>
  <w:style w:type="paragraph" w:customStyle="1" w:styleId="842">
    <w:name w:val="样式 样式 左侧:  2 字符 + 首行缩进:  2 字符 Char"/>
    <w:basedOn w:val="1"/>
    <w:autoRedefine/>
    <w:qFormat/>
    <w:uiPriority w:val="0"/>
    <w:pPr>
      <w:tabs>
        <w:tab w:val="left" w:pos="540"/>
      </w:tabs>
      <w:spacing w:line="360" w:lineRule="auto"/>
      <w:ind w:firstLine="478" w:firstLineChars="199"/>
    </w:pPr>
    <w:rPr>
      <w:rFonts w:ascii="宋体" w:hAnsi="宋体"/>
      <w:bCs/>
      <w:sz w:val="24"/>
    </w:rPr>
  </w:style>
  <w:style w:type="paragraph" w:customStyle="1" w:styleId="843">
    <w:name w:val="样式 标题 2 + 左侧:  0厘米 首行缩进:  0 厘米 右侧:  1 字符"/>
    <w:basedOn w:val="4"/>
    <w:autoRedefine/>
    <w:qFormat/>
    <w:uiPriority w:val="0"/>
    <w:pPr>
      <w:keepNext w:val="0"/>
      <w:keepLines w:val="0"/>
      <w:tabs>
        <w:tab w:val="left" w:pos="280"/>
        <w:tab w:val="left" w:pos="1400"/>
      </w:tabs>
      <w:adjustRightInd w:val="0"/>
      <w:snapToGrid w:val="0"/>
      <w:spacing w:before="50" w:after="240" w:line="480" w:lineRule="exact"/>
      <w:ind w:left="1233" w:right="280" w:rightChars="100" w:firstLine="567"/>
      <w:jc w:val="left"/>
    </w:pPr>
    <w:rPr>
      <w:rFonts w:ascii="Times New Roman" w:hAnsi="Times New Roman" w:eastAsia="宋体"/>
      <w:b w:val="0"/>
      <w:bCs w:val="0"/>
      <w:sz w:val="28"/>
      <w:szCs w:val="20"/>
    </w:rPr>
  </w:style>
  <w:style w:type="paragraph" w:customStyle="1" w:styleId="844">
    <w:name w:val="表格（大）"/>
    <w:basedOn w:val="1"/>
    <w:autoRedefine/>
    <w:qFormat/>
    <w:uiPriority w:val="0"/>
    <w:pPr>
      <w:jc w:val="center"/>
    </w:pPr>
    <w:rPr>
      <w:rFonts w:ascii="仿宋_GB2312" w:eastAsia="仿宋_GB2312"/>
      <w:color w:val="000000"/>
      <w:sz w:val="24"/>
      <w:szCs w:val="20"/>
    </w:rPr>
  </w:style>
  <w:style w:type="paragraph" w:customStyle="1" w:styleId="845">
    <w:name w:val="表格注释"/>
    <w:basedOn w:val="1"/>
    <w:next w:val="685"/>
    <w:autoRedefine/>
    <w:qFormat/>
    <w:uiPriority w:val="0"/>
    <w:pPr>
      <w:spacing w:before="240" w:after="240" w:line="480" w:lineRule="exact"/>
      <w:jc w:val="center"/>
    </w:pPr>
    <w:rPr>
      <w:sz w:val="24"/>
      <w:szCs w:val="20"/>
    </w:rPr>
  </w:style>
  <w:style w:type="paragraph" w:customStyle="1" w:styleId="846">
    <w:name w:val="标题16.1.1.1"/>
    <w:basedOn w:val="6"/>
    <w:autoRedefine/>
    <w:qFormat/>
    <w:uiPriority w:val="0"/>
    <w:pPr>
      <w:tabs>
        <w:tab w:val="left" w:pos="360"/>
      </w:tabs>
      <w:spacing w:before="120" w:after="120" w:line="312" w:lineRule="auto"/>
      <w:ind w:left="864" w:hanging="864"/>
      <w:contextualSpacing/>
    </w:pPr>
    <w:rPr>
      <w:rFonts w:ascii="Arial" w:hAnsi="Arial" w:eastAsia="黑体"/>
      <w:sz w:val="21"/>
      <w:szCs w:val="24"/>
    </w:rPr>
  </w:style>
  <w:style w:type="paragraph" w:customStyle="1" w:styleId="847">
    <w:name w:val="xl151"/>
    <w:basedOn w:val="1"/>
    <w:autoRedefine/>
    <w:qFormat/>
    <w:uiPriority w:val="0"/>
    <w:pPr>
      <w:widowControl/>
      <w:spacing w:before="100" w:beforeAutospacing="1" w:after="100" w:afterAutospacing="1"/>
      <w:jc w:val="left"/>
    </w:pPr>
    <w:rPr>
      <w:kern w:val="0"/>
      <w:sz w:val="16"/>
      <w:szCs w:val="16"/>
    </w:rPr>
  </w:style>
  <w:style w:type="paragraph" w:customStyle="1" w:styleId="848">
    <w:name w:val="样式 表格正文样式A-MHZ-居中定表长格文本 + 五号"/>
    <w:basedOn w:val="1"/>
    <w:autoRedefine/>
    <w:qFormat/>
    <w:uiPriority w:val="0"/>
    <w:pPr>
      <w:spacing w:line="360" w:lineRule="auto"/>
      <w:jc w:val="center"/>
    </w:pPr>
    <w:rPr>
      <w:rFonts w:cs="宋体"/>
      <w:kern w:val="24"/>
      <w:sz w:val="24"/>
    </w:rPr>
  </w:style>
  <w:style w:type="paragraph" w:customStyle="1" w:styleId="849">
    <w:name w:val="xl27"/>
    <w:basedOn w:val="1"/>
    <w:autoRedefine/>
    <w:qFormat/>
    <w:uiPriority w:val="0"/>
    <w:pPr>
      <w:widowControl/>
      <w:pBdr>
        <w:bottom w:val="single" w:color="auto" w:sz="12" w:space="0"/>
      </w:pBdr>
      <w:spacing w:before="100" w:after="100"/>
      <w:jc w:val="center"/>
    </w:pPr>
    <w:rPr>
      <w:rFonts w:ascii="宋体" w:hAnsi="宋体"/>
      <w:kern w:val="0"/>
      <w:szCs w:val="20"/>
    </w:rPr>
  </w:style>
  <w:style w:type="paragraph" w:customStyle="1" w:styleId="850">
    <w:name w:val="注："/>
    <w:next w:val="1"/>
    <w:autoRedefine/>
    <w:qFormat/>
    <w:uiPriority w:val="0"/>
    <w:pPr>
      <w:spacing w:line="300" w:lineRule="exact"/>
    </w:pPr>
    <w:rPr>
      <w:rFonts w:ascii="Times New Roman" w:hAnsi="Times New Roman" w:eastAsia="宋体" w:cs="宋体"/>
      <w:bCs/>
      <w:kern w:val="2"/>
      <w:sz w:val="18"/>
      <w:lang w:val="en-US" w:eastAsia="zh-CN" w:bidi="ar-SA"/>
    </w:rPr>
  </w:style>
  <w:style w:type="paragraph" w:customStyle="1" w:styleId="851">
    <w:name w:val="xl167"/>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852">
    <w:name w:val="正文表标题"/>
    <w:next w:val="1"/>
    <w:autoRedefine/>
    <w:qFormat/>
    <w:uiPriority w:val="0"/>
    <w:pPr>
      <w:numPr>
        <w:ilvl w:val="0"/>
        <w:numId w:val="8"/>
      </w:numPr>
      <w:spacing w:beforeLines="50" w:afterLines="50"/>
      <w:jc w:val="center"/>
    </w:pPr>
    <w:rPr>
      <w:rFonts w:ascii="黑体" w:hAnsi="Times New Roman" w:eastAsia="黑体" w:cs="Times New Roman"/>
      <w:sz w:val="21"/>
      <w:lang w:val="en-US" w:eastAsia="zh-CN" w:bidi="ar-SA"/>
    </w:rPr>
  </w:style>
  <w:style w:type="paragraph" w:customStyle="1" w:styleId="853">
    <w:name w:val="样式 样式 标题 4 + 宋体 行距: 1.5 倍行距 + 段前: 0.5 行"/>
    <w:basedOn w:val="634"/>
    <w:autoRedefine/>
    <w:qFormat/>
    <w:uiPriority w:val="0"/>
    <w:pPr>
      <w:snapToGrid/>
      <w:spacing w:beforeLines="0"/>
      <w:ind w:left="1984" w:hanging="1984"/>
      <w:jc w:val="both"/>
    </w:pPr>
    <w:rPr>
      <w:rFonts w:ascii="Times New Roman" w:eastAsia="黑体" w:cs="Times New Roman"/>
    </w:rPr>
  </w:style>
  <w:style w:type="paragraph" w:customStyle="1" w:styleId="854">
    <w:name w:val="小四表文左齐"/>
    <w:basedOn w:val="1"/>
    <w:autoRedefine/>
    <w:qFormat/>
    <w:uiPriority w:val="0"/>
    <w:pPr>
      <w:jc w:val="center"/>
    </w:pPr>
    <w:rPr>
      <w:rFonts w:ascii="仿宋_GB2312" w:hAnsi="宋体" w:eastAsia="仿宋_GB2312"/>
    </w:rPr>
  </w:style>
  <w:style w:type="paragraph" w:customStyle="1" w:styleId="855">
    <w:name w:val="TOC 标题2"/>
    <w:basedOn w:val="3"/>
    <w:next w:val="1"/>
    <w:autoRedefine/>
    <w:unhideWhenUsed/>
    <w:qFormat/>
    <w:uiPriority w:val="39"/>
    <w:pPr>
      <w:keepLines/>
      <w:widowControl/>
      <w:overflowPunct/>
      <w:snapToGrid/>
      <w:spacing w:before="240" w:after="0"/>
      <w:ind w:left="0" w:firstLine="0"/>
      <w:jc w:val="left"/>
      <w:outlineLvl w:val="9"/>
    </w:pPr>
    <w:rPr>
      <w:rFonts w:ascii="Cambria" w:hAnsi="Cambria" w:eastAsia="宋体"/>
      <w:b w:val="0"/>
      <w:bCs w:val="0"/>
      <w:color w:val="365F91"/>
      <w:kern w:val="0"/>
      <w:sz w:val="32"/>
      <w:szCs w:val="32"/>
    </w:rPr>
  </w:style>
  <w:style w:type="paragraph" w:customStyle="1" w:styleId="856">
    <w:name w:val="项目段落"/>
    <w:basedOn w:val="1"/>
    <w:autoRedefine/>
    <w:qFormat/>
    <w:uiPriority w:val="0"/>
    <w:pPr>
      <w:spacing w:before="60" w:line="360" w:lineRule="auto"/>
      <w:ind w:left="476" w:firstLine="482"/>
    </w:pPr>
    <w:rPr>
      <w:rFonts w:ascii="Arial" w:hAnsi="Arial" w:eastAsia="仿宋_GB2312"/>
      <w:kern w:val="0"/>
      <w:sz w:val="24"/>
      <w:szCs w:val="20"/>
    </w:rPr>
  </w:style>
  <w:style w:type="paragraph" w:customStyle="1" w:styleId="857">
    <w:name w:val="Char Char Char Char Char Char Char Char Char1 Char Char Char Char Char Char Char Char1 Char Char Char"/>
    <w:basedOn w:val="1"/>
    <w:autoRedefine/>
    <w:qFormat/>
    <w:uiPriority w:val="0"/>
    <w:pPr>
      <w:snapToGrid w:val="0"/>
      <w:spacing w:line="360" w:lineRule="auto"/>
      <w:ind w:firstLine="200" w:firstLineChars="200"/>
    </w:pPr>
    <w:rPr>
      <w:rFonts w:eastAsia="仿宋_GB2312"/>
      <w:sz w:val="24"/>
    </w:rPr>
  </w:style>
  <w:style w:type="paragraph" w:customStyle="1" w:styleId="858">
    <w:name w:val="默认段落字体 Para Char Char Char1 Char Char"/>
    <w:basedOn w:val="1"/>
    <w:autoRedefine/>
    <w:qFormat/>
    <w:uiPriority w:val="0"/>
    <w:rPr>
      <w:sz w:val="24"/>
    </w:rPr>
  </w:style>
  <w:style w:type="paragraph" w:customStyle="1" w:styleId="859">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860">
    <w:name w:val="xl48"/>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861">
    <w:name w:val="1正文段落"/>
    <w:basedOn w:val="1"/>
    <w:autoRedefine/>
    <w:qFormat/>
    <w:uiPriority w:val="0"/>
    <w:pPr>
      <w:spacing w:line="360" w:lineRule="auto"/>
      <w:ind w:firstLine="480" w:firstLineChars="200"/>
      <w:jc w:val="left"/>
    </w:pPr>
    <w:rPr>
      <w:snapToGrid w:val="0"/>
      <w:kern w:val="0"/>
      <w:sz w:val="24"/>
    </w:rPr>
  </w:style>
  <w:style w:type="paragraph" w:customStyle="1" w:styleId="862">
    <w:name w:val="五号字表格"/>
    <w:basedOn w:val="728"/>
    <w:autoRedefine/>
    <w:qFormat/>
    <w:uiPriority w:val="0"/>
    <w:pPr>
      <w:adjustRightInd w:val="0"/>
      <w:textAlignment w:val="baseline"/>
    </w:pPr>
    <w:rPr>
      <w:rFonts w:ascii="宋体"/>
      <w:kern w:val="0"/>
      <w:szCs w:val="20"/>
    </w:rPr>
  </w:style>
  <w:style w:type="paragraph" w:customStyle="1" w:styleId="863">
    <w:name w:val="样式 首行缩进:  2 字符"/>
    <w:basedOn w:val="1"/>
    <w:autoRedefine/>
    <w:qFormat/>
    <w:uiPriority w:val="0"/>
    <w:pPr>
      <w:snapToGrid w:val="0"/>
      <w:spacing w:line="500" w:lineRule="exact"/>
      <w:ind w:firstLine="480" w:firstLineChars="200"/>
      <w:jc w:val="left"/>
    </w:pPr>
    <w:rPr>
      <w:rFonts w:cs="宋体"/>
      <w:sz w:val="24"/>
      <w:szCs w:val="20"/>
    </w:rPr>
  </w:style>
  <w:style w:type="paragraph" w:customStyle="1" w:styleId="864">
    <w:name w:val="标题6"/>
    <w:basedOn w:val="1"/>
    <w:next w:val="79"/>
    <w:autoRedefine/>
    <w:qFormat/>
    <w:uiPriority w:val="0"/>
    <w:pPr>
      <w:keepNext/>
      <w:spacing w:line="360" w:lineRule="auto"/>
      <w:ind w:firstLine="567"/>
      <w:jc w:val="left"/>
      <w:outlineLvl w:val="5"/>
    </w:pPr>
    <w:rPr>
      <w:sz w:val="28"/>
    </w:rPr>
  </w:style>
  <w:style w:type="paragraph" w:customStyle="1" w:styleId="865">
    <w:name w:val="图标题"/>
    <w:basedOn w:val="424"/>
    <w:autoRedefine/>
    <w:qFormat/>
    <w:uiPriority w:val="0"/>
    <w:pPr>
      <w:adjustRightInd/>
      <w:snapToGrid/>
      <w:spacing w:before="0" w:after="0" w:line="300" w:lineRule="exact"/>
      <w:jc w:val="both"/>
    </w:pPr>
    <w:rPr>
      <w:rFonts w:ascii="仿宋_GB2312" w:eastAsia="仿宋_GB2312"/>
      <w:kern w:val="0"/>
      <w:szCs w:val="24"/>
    </w:rPr>
  </w:style>
  <w:style w:type="paragraph" w:customStyle="1" w:styleId="866">
    <w:name w:val="1条目"/>
    <w:basedOn w:val="743"/>
    <w:autoRedefine/>
    <w:qFormat/>
    <w:uiPriority w:val="0"/>
    <w:pPr>
      <w:ind w:left="851"/>
    </w:pPr>
    <w:rPr>
      <w:rFonts w:ascii="宋体" w:hAnsi="宋体"/>
      <w:b/>
      <w:sz w:val="30"/>
      <w:szCs w:val="30"/>
    </w:rPr>
  </w:style>
  <w:style w:type="paragraph" w:customStyle="1" w:styleId="867">
    <w:name w:val="源程序"/>
    <w:autoRedefine/>
    <w:qFormat/>
    <w:uiPriority w:val="0"/>
    <w:pPr>
      <w:widowControl w:val="0"/>
      <w:kinsoku w:val="0"/>
      <w:wordWrap w:val="0"/>
      <w:overflowPunct w:val="0"/>
      <w:autoSpaceDE w:val="0"/>
      <w:autoSpaceDN w:val="0"/>
      <w:adjustRightInd w:val="0"/>
      <w:ind w:left="482"/>
    </w:pPr>
    <w:rPr>
      <w:rFonts w:ascii="Courier New" w:hAnsi="Courier New" w:eastAsia="仿宋_GB2312" w:cs="Times New Roman"/>
      <w:snapToGrid w:val="0"/>
      <w:sz w:val="24"/>
      <w:lang w:val="en-US" w:eastAsia="zh-CN" w:bidi="ar-SA"/>
    </w:rPr>
  </w:style>
  <w:style w:type="paragraph" w:customStyle="1" w:styleId="868">
    <w:name w:val="三级标题 大王 20100426"/>
    <w:basedOn w:val="1"/>
    <w:autoRedefine/>
    <w:qFormat/>
    <w:uiPriority w:val="0"/>
    <w:pPr>
      <w:numPr>
        <w:ilvl w:val="3"/>
        <w:numId w:val="4"/>
      </w:numPr>
      <w:spacing w:beforeLines="20" w:afterLines="50"/>
      <w:ind w:left="0" w:firstLine="0"/>
      <w:outlineLvl w:val="2"/>
    </w:pPr>
    <w:rPr>
      <w:rFonts w:eastAsia="黑体"/>
      <w:sz w:val="28"/>
      <w:szCs w:val="28"/>
    </w:rPr>
  </w:style>
  <w:style w:type="paragraph" w:customStyle="1" w:styleId="869">
    <w:name w:val="xl78"/>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870">
    <w:name w:val="h"/>
    <w:basedOn w:val="1"/>
    <w:autoRedefine/>
    <w:qFormat/>
    <w:uiPriority w:val="0"/>
    <w:pPr>
      <w:spacing w:before="60"/>
      <w:ind w:firstLine="482"/>
    </w:pPr>
    <w:rPr>
      <w:rFonts w:ascii="Arial" w:hAnsi="Arial" w:eastAsia="仿宋_GB2312"/>
      <w:kern w:val="0"/>
      <w:sz w:val="24"/>
      <w:szCs w:val="20"/>
    </w:rPr>
  </w:style>
  <w:style w:type="paragraph" w:customStyle="1" w:styleId="871">
    <w:name w:val="xl43"/>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872">
    <w:name w:val="Char Char Char Char Char Char1"/>
    <w:basedOn w:val="1"/>
    <w:autoRedefine/>
    <w:qFormat/>
    <w:uiPriority w:val="0"/>
    <w:rPr>
      <w:sz w:val="24"/>
    </w:rPr>
  </w:style>
  <w:style w:type="paragraph" w:customStyle="1" w:styleId="873">
    <w:name w:val="xl106"/>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74">
    <w:name w:val="列出段落1"/>
    <w:basedOn w:val="1"/>
    <w:autoRedefine/>
    <w:qFormat/>
    <w:uiPriority w:val="34"/>
    <w:pPr>
      <w:widowControl/>
      <w:adjustRightInd w:val="0"/>
      <w:snapToGrid w:val="0"/>
      <w:spacing w:after="200"/>
      <w:ind w:firstLine="420" w:firstLineChars="200"/>
      <w:jc w:val="left"/>
    </w:pPr>
    <w:rPr>
      <w:rFonts w:ascii="Tahoma" w:hAnsi="Tahoma" w:eastAsia="微软雅黑"/>
      <w:kern w:val="0"/>
      <w:sz w:val="22"/>
      <w:szCs w:val="22"/>
    </w:rPr>
  </w:style>
  <w:style w:type="paragraph" w:customStyle="1" w:styleId="875">
    <w:name w:val="GY3"/>
    <w:basedOn w:val="1"/>
    <w:autoRedefine/>
    <w:qFormat/>
    <w:uiPriority w:val="0"/>
    <w:pPr>
      <w:adjustRightInd w:val="0"/>
      <w:snapToGrid w:val="0"/>
      <w:spacing w:line="360" w:lineRule="auto"/>
    </w:pPr>
    <w:rPr>
      <w:rFonts w:ascii="黑体" w:hAnsi="宋体" w:eastAsia="黑体"/>
      <w:sz w:val="28"/>
      <w:szCs w:val="20"/>
    </w:rPr>
  </w:style>
  <w:style w:type="paragraph" w:customStyle="1" w:styleId="876">
    <w:name w:val="xl108"/>
    <w:basedOn w:val="1"/>
    <w:autoRedefine/>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77">
    <w:name w:val="Char Char Char Char Char Char2"/>
    <w:basedOn w:val="1"/>
    <w:autoRedefine/>
    <w:qFormat/>
    <w:uiPriority w:val="0"/>
    <w:rPr>
      <w:sz w:val="24"/>
    </w:rPr>
  </w:style>
  <w:style w:type="paragraph" w:customStyle="1" w:styleId="878">
    <w:name w:val="样式2.2.5"/>
    <w:basedOn w:val="1"/>
    <w:autoRedefine/>
    <w:qFormat/>
    <w:uiPriority w:val="0"/>
    <w:pPr>
      <w:spacing w:beforeLines="50" w:line="360" w:lineRule="auto"/>
      <w:outlineLvl w:val="3"/>
    </w:pPr>
    <w:rPr>
      <w:b/>
      <w:sz w:val="24"/>
    </w:rPr>
  </w:style>
  <w:style w:type="paragraph" w:customStyle="1" w:styleId="879">
    <w:name w:val="xl54"/>
    <w:basedOn w:val="1"/>
    <w:autoRedefine/>
    <w:qFormat/>
    <w:uiPriority w:val="0"/>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880">
    <w:name w:val="扉页 黑体"/>
    <w:basedOn w:val="1"/>
    <w:autoRedefine/>
    <w:qFormat/>
    <w:uiPriority w:val="0"/>
    <w:pPr>
      <w:spacing w:before="240" w:after="240" w:line="480" w:lineRule="exact"/>
      <w:ind w:firstLine="640" w:firstLineChars="200"/>
      <w:jc w:val="left"/>
    </w:pPr>
    <w:rPr>
      <w:rFonts w:eastAsia="黑体"/>
      <w:bCs/>
      <w:sz w:val="32"/>
      <w:szCs w:val="20"/>
    </w:rPr>
  </w:style>
  <w:style w:type="paragraph" w:customStyle="1" w:styleId="881">
    <w:name w:val="图文框"/>
    <w:basedOn w:val="1"/>
    <w:autoRedefine/>
    <w:qFormat/>
    <w:uiPriority w:val="0"/>
    <w:pPr>
      <w:widowControl/>
      <w:spacing w:line="240" w:lineRule="exact"/>
      <w:jc w:val="center"/>
    </w:pPr>
    <w:rPr>
      <w:rFonts w:ascii="仿宋_GB2312" w:hAnsi="宋体" w:eastAsia="仿宋_GB2312"/>
      <w:spacing w:val="-14"/>
      <w:kern w:val="0"/>
      <w:sz w:val="18"/>
      <w:szCs w:val="20"/>
    </w:rPr>
  </w:style>
  <w:style w:type="paragraph" w:customStyle="1" w:styleId="882">
    <w:name w:val="样式 样式3 + 首行缩进:  2 字符"/>
    <w:basedOn w:val="1"/>
    <w:autoRedefine/>
    <w:qFormat/>
    <w:uiPriority w:val="0"/>
    <w:pPr>
      <w:widowControl/>
      <w:spacing w:line="440" w:lineRule="exact"/>
      <w:ind w:firstLine="560" w:firstLineChars="200"/>
      <w:contextualSpacing/>
      <w:jc w:val="left"/>
    </w:pPr>
    <w:rPr>
      <w:rFonts w:cs="宋体"/>
      <w:kern w:val="0"/>
    </w:rPr>
  </w:style>
  <w:style w:type="paragraph" w:customStyle="1" w:styleId="883">
    <w:name w:val="纯文本2"/>
    <w:basedOn w:val="1"/>
    <w:autoRedefine/>
    <w:qFormat/>
    <w:uiPriority w:val="0"/>
    <w:pPr>
      <w:autoSpaceDE w:val="0"/>
      <w:autoSpaceDN w:val="0"/>
      <w:adjustRightInd w:val="0"/>
      <w:textAlignment w:val="baseline"/>
    </w:pPr>
    <w:rPr>
      <w:rFonts w:ascii="宋体"/>
      <w:szCs w:val="20"/>
    </w:rPr>
  </w:style>
  <w:style w:type="paragraph" w:customStyle="1" w:styleId="884">
    <w:name w:val="样式 标题 1章标题 1H11.1标题 111标题 1 + 行距: 固定值 30 磅"/>
    <w:basedOn w:val="3"/>
    <w:autoRedefine/>
    <w:qFormat/>
    <w:uiPriority w:val="0"/>
    <w:pPr>
      <w:keepNext w:val="0"/>
      <w:pageBreakBefore/>
      <w:tabs>
        <w:tab w:val="left" w:pos="390"/>
      </w:tabs>
      <w:overflowPunct/>
      <w:snapToGrid/>
      <w:spacing w:after="120" w:line="600" w:lineRule="exact"/>
      <w:ind w:left="390" w:firstLine="0"/>
      <w:jc w:val="center"/>
    </w:pPr>
    <w:rPr>
      <w:rFonts w:ascii="黑体" w:hAnsi="Calibri" w:cs="宋体"/>
      <w:color w:val="auto"/>
      <w:sz w:val="44"/>
      <w:szCs w:val="20"/>
    </w:rPr>
  </w:style>
  <w:style w:type="paragraph" w:customStyle="1" w:styleId="885">
    <w:name w:val="样式 样式 样式 标题 3东明_小节H3条标题1.1.1二级节名h33rd level3l3CTHeading 3 - ... ...1"/>
    <w:basedOn w:val="774"/>
    <w:autoRedefine/>
    <w:qFormat/>
    <w:uiPriority w:val="0"/>
    <w:pPr>
      <w:spacing w:after="0"/>
    </w:pPr>
  </w:style>
  <w:style w:type="paragraph" w:customStyle="1" w:styleId="886">
    <w:name w:val="Char Char Char Char Char Char Char Char Char Char Char Char1 Char Char Char Char"/>
    <w:basedOn w:val="1"/>
    <w:next w:val="1"/>
    <w:autoRedefine/>
    <w:semiHidden/>
    <w:qFormat/>
    <w:uiPriority w:val="0"/>
    <w:pPr>
      <w:spacing w:line="336" w:lineRule="auto"/>
      <w:ind w:firstLine="200" w:firstLineChars="200"/>
    </w:pPr>
    <w:rPr>
      <w:rFonts w:ascii="宋体" w:hAnsi="宋体" w:eastAsia="汉鼎简书宋" w:cs="宋体"/>
      <w:sz w:val="24"/>
    </w:rPr>
  </w:style>
  <w:style w:type="paragraph" w:customStyle="1" w:styleId="887">
    <w:name w:val="Char"/>
    <w:basedOn w:val="1"/>
    <w:autoRedefine/>
    <w:qFormat/>
    <w:uiPriority w:val="0"/>
  </w:style>
  <w:style w:type="paragraph" w:customStyle="1" w:styleId="888">
    <w:name w:val="Char Char Char Char"/>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889">
    <w:name w:val="5"/>
    <w:autoRedefine/>
    <w:qFormat/>
    <w:uiPriority w:val="0"/>
    <w:rPr>
      <w:rFonts w:ascii="Calibri" w:hAnsi="Calibri" w:eastAsia="宋体" w:cs="Times New Roman"/>
      <w:kern w:val="2"/>
      <w:sz w:val="21"/>
      <w:szCs w:val="22"/>
      <w:lang w:val="en-US" w:eastAsia="zh-CN" w:bidi="ar-SA"/>
    </w:rPr>
  </w:style>
  <w:style w:type="paragraph" w:customStyle="1" w:styleId="890">
    <w:name w:val="字元 字元"/>
    <w:basedOn w:val="1"/>
    <w:autoRedefine/>
    <w:qFormat/>
    <w:uiPriority w:val="0"/>
  </w:style>
  <w:style w:type="paragraph" w:customStyle="1" w:styleId="891">
    <w:name w:val="样式 样式 样式 标题 3 + 两端对齐 + 段后: 0.1 行 +"/>
    <w:basedOn w:val="1"/>
    <w:autoRedefine/>
    <w:semiHidden/>
    <w:qFormat/>
    <w:uiPriority w:val="0"/>
    <w:pPr>
      <w:keepNext/>
      <w:keepLines/>
      <w:widowControl/>
      <w:tabs>
        <w:tab w:val="left" w:pos="0"/>
        <w:tab w:val="left" w:pos="2700"/>
      </w:tabs>
      <w:spacing w:line="320" w:lineRule="exact"/>
      <w:contextualSpacing/>
      <w:jc w:val="center"/>
    </w:pPr>
    <w:rPr>
      <w:rFonts w:cs="宋体"/>
      <w:bCs/>
      <w:kern w:val="0"/>
    </w:rPr>
  </w:style>
  <w:style w:type="paragraph" w:customStyle="1" w:styleId="892">
    <w:name w:val="xl126"/>
    <w:basedOn w:val="1"/>
    <w:autoRedefine/>
    <w:qFormat/>
    <w:uiPriority w:val="0"/>
    <w:pPr>
      <w:widowControl/>
      <w:pBdr>
        <w:left w:val="single" w:color="auto" w:sz="4" w:space="0"/>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893">
    <w:name w:val="xl47"/>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894">
    <w:name w:val="法规"/>
    <w:basedOn w:val="1"/>
    <w:autoRedefine/>
    <w:qFormat/>
    <w:uiPriority w:val="0"/>
    <w:pPr>
      <w:tabs>
        <w:tab w:val="left" w:pos="400"/>
      </w:tabs>
      <w:spacing w:line="440" w:lineRule="exact"/>
      <w:ind w:firstLine="400"/>
    </w:pPr>
    <w:rPr>
      <w:sz w:val="25"/>
      <w:szCs w:val="20"/>
    </w:rPr>
  </w:style>
  <w:style w:type="paragraph" w:customStyle="1" w:styleId="895">
    <w:name w:val="正文首行缩进1"/>
    <w:basedOn w:val="1"/>
    <w:next w:val="1"/>
    <w:autoRedefine/>
    <w:qFormat/>
    <w:uiPriority w:val="0"/>
    <w:pPr>
      <w:tabs>
        <w:tab w:val="left" w:pos="540"/>
        <w:tab w:val="left" w:pos="1440"/>
        <w:tab w:val="left" w:pos="2448"/>
        <w:tab w:val="left" w:pos="3000"/>
        <w:tab w:val="left" w:pos="3888"/>
        <w:tab w:val="left" w:pos="4800"/>
        <w:tab w:val="left" w:pos="5040"/>
        <w:tab w:val="left" w:pos="5883"/>
        <w:tab w:val="left" w:pos="6300"/>
        <w:tab w:val="left" w:pos="7353"/>
        <w:tab w:val="left" w:pos="8613"/>
      </w:tabs>
      <w:autoSpaceDE w:val="0"/>
      <w:autoSpaceDN w:val="0"/>
      <w:adjustRightInd w:val="0"/>
      <w:snapToGrid w:val="0"/>
      <w:spacing w:line="300" w:lineRule="auto"/>
      <w:ind w:firstLine="561"/>
      <w:textAlignment w:val="baseline"/>
    </w:pPr>
    <w:rPr>
      <w:kern w:val="0"/>
      <w:sz w:val="28"/>
    </w:rPr>
  </w:style>
  <w:style w:type="paragraph" w:customStyle="1" w:styleId="896">
    <w:name w:val="样式 标题 2东明_节 + 行距: 1.5 倍行距"/>
    <w:basedOn w:val="4"/>
    <w:autoRedefine/>
    <w:qFormat/>
    <w:uiPriority w:val="0"/>
    <w:pPr>
      <w:keepLines w:val="0"/>
      <w:widowControl/>
      <w:spacing w:before="240" w:after="60" w:line="360" w:lineRule="auto"/>
      <w:jc w:val="left"/>
    </w:pPr>
    <w:rPr>
      <w:rFonts w:ascii="Cambria" w:hAnsi="Cambria" w:eastAsia="宋体" w:cs="宋体"/>
      <w:kern w:val="0"/>
      <w:sz w:val="30"/>
      <w:szCs w:val="20"/>
      <w:lang w:eastAsia="en-US" w:bidi="en-US"/>
    </w:rPr>
  </w:style>
  <w:style w:type="paragraph" w:customStyle="1" w:styleId="897">
    <w:name w:val="xl30"/>
    <w:basedOn w:val="1"/>
    <w:autoRedefine/>
    <w:qFormat/>
    <w:uiPriority w:val="0"/>
    <w:pPr>
      <w:widowControl/>
      <w:pBdr>
        <w:bottom w:val="single" w:color="auto" w:sz="4" w:space="0"/>
        <w:right w:val="single" w:color="auto" w:sz="4" w:space="0"/>
      </w:pBdr>
      <w:spacing w:before="100" w:beforeAutospacing="1" w:after="100" w:afterAutospacing="1"/>
    </w:pPr>
    <w:rPr>
      <w:rFonts w:hint="eastAsia" w:ascii="宋体" w:hAnsi="宋体"/>
      <w:kern w:val="0"/>
    </w:rPr>
  </w:style>
  <w:style w:type="paragraph" w:customStyle="1" w:styleId="898">
    <w:name w:val="样式38"/>
    <w:basedOn w:val="3"/>
    <w:autoRedefine/>
    <w:qFormat/>
    <w:uiPriority w:val="0"/>
    <w:pPr>
      <w:tabs>
        <w:tab w:val="left" w:pos="720"/>
      </w:tabs>
      <w:overflowPunct/>
      <w:snapToGrid/>
      <w:spacing w:before="340" w:beforeLines="100" w:after="330" w:afterLines="100" w:line="360" w:lineRule="auto"/>
      <w:ind w:left="0" w:firstLine="0"/>
      <w:jc w:val="center"/>
    </w:pPr>
    <w:rPr>
      <w:rFonts w:ascii="黑体" w:hAnsi="Calibri"/>
      <w:b w:val="0"/>
      <w:bCs w:val="0"/>
      <w:color w:val="auto"/>
      <w:kern w:val="2"/>
      <w:sz w:val="32"/>
      <w:szCs w:val="32"/>
    </w:rPr>
  </w:style>
  <w:style w:type="paragraph" w:customStyle="1" w:styleId="899">
    <w:name w:val="样式 Char"/>
    <w:basedOn w:val="1"/>
    <w:next w:val="685"/>
    <w:autoRedefine/>
    <w:qFormat/>
    <w:uiPriority w:val="0"/>
    <w:pPr>
      <w:numPr>
        <w:ilvl w:val="0"/>
        <w:numId w:val="9"/>
      </w:numPr>
      <w:adjustRightInd w:val="0"/>
      <w:snapToGrid w:val="0"/>
      <w:spacing w:before="240" w:after="240" w:line="480" w:lineRule="exact"/>
    </w:pPr>
    <w:rPr>
      <w:sz w:val="28"/>
    </w:rPr>
  </w:style>
  <w:style w:type="paragraph" w:customStyle="1" w:styleId="900">
    <w:name w:val="样式28"/>
    <w:basedOn w:val="901"/>
    <w:autoRedefine/>
    <w:qFormat/>
    <w:uiPriority w:val="0"/>
    <w:pPr>
      <w:spacing w:beforeLines="50" w:afterLines="50"/>
      <w:ind w:firstLine="0" w:firstLineChars="0"/>
      <w:jc w:val="center"/>
    </w:pPr>
    <w:rPr>
      <w:rFonts w:ascii="宋体" w:eastAsia="宋体"/>
      <w:b/>
      <w:snapToGrid w:val="0"/>
      <w:color w:val="000000"/>
      <w:szCs w:val="28"/>
    </w:rPr>
  </w:style>
  <w:style w:type="paragraph" w:customStyle="1" w:styleId="901">
    <w:name w:val="样式17"/>
    <w:basedOn w:val="1"/>
    <w:autoRedefine/>
    <w:qFormat/>
    <w:uiPriority w:val="0"/>
    <w:pPr>
      <w:ind w:firstLine="560" w:firstLineChars="200"/>
    </w:pPr>
    <w:rPr>
      <w:rFonts w:ascii="黑体" w:hAnsi="宋体" w:eastAsia="黑体"/>
      <w:sz w:val="28"/>
      <w:szCs w:val="20"/>
    </w:rPr>
  </w:style>
  <w:style w:type="paragraph" w:customStyle="1" w:styleId="902">
    <w:name w:val="font10"/>
    <w:basedOn w:val="1"/>
    <w:autoRedefine/>
    <w:qFormat/>
    <w:uiPriority w:val="0"/>
    <w:pPr>
      <w:widowControl/>
      <w:spacing w:before="100" w:beforeAutospacing="1" w:after="100" w:afterAutospacing="1"/>
      <w:jc w:val="left"/>
    </w:pPr>
    <w:rPr>
      <w:rFonts w:ascii="Arial" w:hAnsi="Arial" w:cs="Arial"/>
      <w:kern w:val="0"/>
      <w:sz w:val="20"/>
      <w:szCs w:val="20"/>
    </w:rPr>
  </w:style>
  <w:style w:type="paragraph" w:customStyle="1" w:styleId="903">
    <w:name w:val="东明_表格"/>
    <w:basedOn w:val="904"/>
    <w:autoRedefine/>
    <w:qFormat/>
    <w:uiPriority w:val="0"/>
    <w:pPr>
      <w:spacing w:before="100" w:beforeAutospacing="1" w:after="100" w:afterAutospacing="1" w:line="240" w:lineRule="auto"/>
    </w:pPr>
    <w:rPr>
      <w:rFonts w:ascii="黑体" w:hAnsi="黑体" w:eastAsia="黑体"/>
      <w:szCs w:val="24"/>
    </w:rPr>
  </w:style>
  <w:style w:type="paragraph" w:customStyle="1" w:styleId="904">
    <w:name w:val="表格正文"/>
    <w:basedOn w:val="1"/>
    <w:autoRedefine/>
    <w:qFormat/>
    <w:uiPriority w:val="0"/>
    <w:pPr>
      <w:spacing w:line="360" w:lineRule="exact"/>
      <w:jc w:val="center"/>
    </w:pPr>
    <w:rPr>
      <w:szCs w:val="20"/>
    </w:rPr>
  </w:style>
  <w:style w:type="paragraph" w:customStyle="1" w:styleId="905">
    <w:name w:val="xl122"/>
    <w:basedOn w:val="1"/>
    <w:autoRedefine/>
    <w:qFormat/>
    <w:uiPriority w:val="0"/>
    <w:pPr>
      <w:widowControl/>
      <w:pBdr>
        <w:lef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06">
    <w:name w:val="正文文字 3"/>
    <w:basedOn w:val="1"/>
    <w:autoRedefine/>
    <w:qFormat/>
    <w:uiPriority w:val="0"/>
    <w:pPr>
      <w:spacing w:line="280" w:lineRule="exact"/>
      <w:jc w:val="center"/>
    </w:pPr>
    <w:rPr>
      <w:rFonts w:ascii="仿宋_GB2312" w:hAnsi="Arial Black" w:eastAsia="仿宋_GB2312" w:cs="仿宋_GB2312"/>
    </w:rPr>
  </w:style>
  <w:style w:type="paragraph" w:customStyle="1" w:styleId="907">
    <w:name w:val="文本居中"/>
    <w:basedOn w:val="1"/>
    <w:autoRedefine/>
    <w:qFormat/>
    <w:uiPriority w:val="0"/>
    <w:pPr>
      <w:adjustRightInd w:val="0"/>
      <w:spacing w:line="360" w:lineRule="auto"/>
      <w:jc w:val="center"/>
    </w:pPr>
    <w:rPr>
      <w:sz w:val="28"/>
    </w:rPr>
  </w:style>
  <w:style w:type="paragraph" w:customStyle="1" w:styleId="908">
    <w:name w:val="xl112"/>
    <w:basedOn w:val="1"/>
    <w:autoRedefine/>
    <w:qFormat/>
    <w:uiPriority w:val="0"/>
    <w:pPr>
      <w:widowControl/>
      <w:pBdr>
        <w:right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909">
    <w:name w:val="Char Char Char Char Char Char Char Char Char Char1 Char Char Char Char Char Char"/>
    <w:basedOn w:val="1"/>
    <w:autoRedefine/>
    <w:qFormat/>
    <w:uiPriority w:val="0"/>
    <w:pPr>
      <w:widowControl/>
      <w:contextualSpacing/>
      <w:jc w:val="left"/>
    </w:pPr>
    <w:rPr>
      <w:rFonts w:cs="宋体"/>
      <w:kern w:val="0"/>
    </w:rPr>
  </w:style>
  <w:style w:type="paragraph" w:customStyle="1" w:styleId="910">
    <w:name w:val="xl103"/>
    <w:basedOn w:val="1"/>
    <w:autoRedefine/>
    <w:qFormat/>
    <w:uiPriority w:val="0"/>
    <w:pPr>
      <w:widowControl/>
      <w:pBdr>
        <w:left w:val="single" w:color="auto" w:sz="4" w:space="0"/>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911">
    <w:name w:val="yz"/>
    <w:basedOn w:val="31"/>
    <w:autoRedefine/>
    <w:qFormat/>
    <w:uiPriority w:val="0"/>
    <w:pPr>
      <w:widowControl w:val="0"/>
      <w:tabs>
        <w:tab w:val="left" w:pos="900"/>
      </w:tabs>
      <w:adjustRightInd w:val="0"/>
      <w:snapToGrid/>
      <w:spacing w:before="0" w:after="0" w:line="240" w:lineRule="auto"/>
      <w:ind w:right="0" w:firstLine="200" w:firstLineChars="200"/>
      <w:textAlignment w:val="baseline"/>
    </w:pPr>
    <w:rPr>
      <w:rFonts w:hint="eastAsia" w:ascii="宋体" w:hAnsi="宋体"/>
      <w:sz w:val="24"/>
      <w:szCs w:val="24"/>
    </w:rPr>
  </w:style>
  <w:style w:type="paragraph" w:customStyle="1" w:styleId="912">
    <w:name w:val="标准符号 行距1倍"/>
    <w:basedOn w:val="1"/>
    <w:autoRedefine/>
    <w:qFormat/>
    <w:uiPriority w:val="0"/>
    <w:pPr>
      <w:adjustRightInd w:val="0"/>
      <w:snapToGrid w:val="0"/>
      <w:spacing w:beforeLines="50"/>
      <w:jc w:val="center"/>
      <w:textAlignment w:val="center"/>
    </w:pPr>
    <w:rPr>
      <w:rFonts w:ascii="黑体" w:eastAsia="黑体" w:cs="宋体"/>
      <w:color w:val="000000"/>
      <w:kern w:val="0"/>
      <w:sz w:val="24"/>
    </w:rPr>
  </w:style>
  <w:style w:type="paragraph" w:customStyle="1" w:styleId="913">
    <w:name w:val="2.2.1"/>
    <w:basedOn w:val="6"/>
    <w:autoRedefine/>
    <w:qFormat/>
    <w:uiPriority w:val="0"/>
    <w:pPr>
      <w:tabs>
        <w:tab w:val="left" w:pos="864"/>
      </w:tabs>
      <w:spacing w:before="0" w:after="0" w:line="360" w:lineRule="auto"/>
      <w:ind w:left="864" w:hanging="864"/>
      <w:jc w:val="left"/>
    </w:pPr>
    <w:rPr>
      <w:rFonts w:ascii="宋体" w:hAnsi="Arial"/>
      <w:b w:val="0"/>
      <w:color w:val="000000"/>
      <w:sz w:val="24"/>
    </w:rPr>
  </w:style>
  <w:style w:type="paragraph" w:customStyle="1" w:styleId="914">
    <w:name w:val="Char1 Char Char Char"/>
    <w:basedOn w:val="1"/>
    <w:autoRedefine/>
    <w:qFormat/>
    <w:uiPriority w:val="0"/>
    <w:pPr>
      <w:spacing w:line="360" w:lineRule="auto"/>
      <w:ind w:firstLine="200" w:firstLineChars="200"/>
    </w:pPr>
    <w:rPr>
      <w:rFonts w:ascii="宋体" w:hAnsi="宋体" w:cs="宋体"/>
      <w:sz w:val="24"/>
    </w:rPr>
  </w:style>
  <w:style w:type="paragraph" w:customStyle="1" w:styleId="915">
    <w:name w:val="TOC 标题1"/>
    <w:basedOn w:val="3"/>
    <w:next w:val="1"/>
    <w:autoRedefine/>
    <w:qFormat/>
    <w:uiPriority w:val="39"/>
    <w:pPr>
      <w:keepLines/>
      <w:widowControl/>
      <w:tabs>
        <w:tab w:val="left" w:pos="390"/>
      </w:tabs>
      <w:overflowPunct/>
      <w:snapToGrid/>
      <w:spacing w:before="480" w:after="0" w:line="276" w:lineRule="auto"/>
      <w:ind w:left="390" w:firstLine="0"/>
      <w:jc w:val="left"/>
      <w:outlineLvl w:val="9"/>
    </w:pPr>
    <w:rPr>
      <w:rFonts w:ascii="Cambria" w:hAnsi="Cambria" w:eastAsia="宋体"/>
      <w:color w:val="365F91"/>
      <w:kern w:val="0"/>
      <w:sz w:val="28"/>
      <w:szCs w:val="28"/>
    </w:rPr>
  </w:style>
  <w:style w:type="paragraph" w:customStyle="1" w:styleId="916">
    <w:name w:val="小节标题"/>
    <w:basedOn w:val="1"/>
    <w:autoRedefine/>
    <w:qFormat/>
    <w:uiPriority w:val="0"/>
    <w:pPr>
      <w:widowControl/>
      <w:spacing w:before="175" w:after="102" w:line="351" w:lineRule="atLeast"/>
      <w:contextualSpacing/>
      <w:textAlignment w:val="baseline"/>
    </w:pPr>
    <w:rPr>
      <w:rFonts w:eastAsia="黑体"/>
      <w:color w:val="000000"/>
      <w:kern w:val="0"/>
      <w:szCs w:val="20"/>
      <w:u w:color="000000"/>
    </w:rPr>
  </w:style>
  <w:style w:type="paragraph" w:customStyle="1" w:styleId="917">
    <w:name w:val="高表内"/>
    <w:basedOn w:val="43"/>
    <w:autoRedefine/>
    <w:qFormat/>
    <w:uiPriority w:val="0"/>
    <w:pPr>
      <w:autoSpaceDE w:val="0"/>
      <w:adjustRightInd w:val="0"/>
      <w:snapToGrid w:val="0"/>
      <w:jc w:val="center"/>
      <w:textAlignment w:val="baseline"/>
    </w:pPr>
    <w:rPr>
      <w:rFonts w:ascii="Arial" w:hAnsi="Arial" w:eastAsia="楷体_GB2312" w:cs="Times New Roman"/>
      <w:kern w:val="0"/>
      <w:sz w:val="24"/>
      <w:szCs w:val="24"/>
    </w:rPr>
  </w:style>
  <w:style w:type="paragraph" w:customStyle="1" w:styleId="918">
    <w:name w:val="正文 + 宋体"/>
    <w:basedOn w:val="1"/>
    <w:autoRedefine/>
    <w:qFormat/>
    <w:uiPriority w:val="0"/>
    <w:pPr>
      <w:tabs>
        <w:tab w:val="left" w:pos="6120"/>
      </w:tabs>
      <w:adjustRightInd w:val="0"/>
      <w:spacing w:line="500" w:lineRule="exact"/>
      <w:ind w:firstLine="420" w:firstLineChars="150"/>
      <w:jc w:val="left"/>
    </w:pPr>
    <w:rPr>
      <w:rFonts w:ascii="宋体" w:hAnsi="宋体"/>
      <w:sz w:val="28"/>
      <w:szCs w:val="28"/>
    </w:rPr>
  </w:style>
  <w:style w:type="paragraph" w:customStyle="1" w:styleId="919">
    <w:name w:val="xl165"/>
    <w:basedOn w:val="1"/>
    <w:autoRedefine/>
    <w:qFormat/>
    <w:uiPriority w:val="0"/>
    <w:pPr>
      <w:widowControl/>
      <w:pBdr>
        <w:top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920">
    <w:name w:val="样式 标题 1 + (中文) 宋体 小三 行距: 多倍行距 1.35 字行"/>
    <w:basedOn w:val="3"/>
    <w:autoRedefine/>
    <w:qFormat/>
    <w:uiPriority w:val="0"/>
    <w:pPr>
      <w:keepLines/>
      <w:tabs>
        <w:tab w:val="left" w:pos="390"/>
        <w:tab w:val="left" w:pos="432"/>
      </w:tabs>
      <w:overflowPunct/>
      <w:spacing w:before="0" w:after="0" w:line="360" w:lineRule="auto"/>
    </w:pPr>
    <w:rPr>
      <w:rFonts w:ascii="宋体" w:hAnsi="宋体" w:eastAsia="宋体"/>
      <w:color w:val="auto"/>
      <w:sz w:val="32"/>
      <w:szCs w:val="32"/>
    </w:rPr>
  </w:style>
  <w:style w:type="paragraph" w:customStyle="1" w:styleId="921">
    <w:name w:val="表字1"/>
    <w:basedOn w:val="1"/>
    <w:autoRedefine/>
    <w:qFormat/>
    <w:uiPriority w:val="0"/>
    <w:pPr>
      <w:adjustRightInd w:val="0"/>
      <w:spacing w:line="360" w:lineRule="auto"/>
      <w:jc w:val="center"/>
      <w:textAlignment w:val="baseline"/>
    </w:pPr>
    <w:rPr>
      <w:rFonts w:ascii="宋体"/>
      <w:kern w:val="0"/>
      <w:szCs w:val="20"/>
    </w:rPr>
  </w:style>
  <w:style w:type="paragraph" w:customStyle="1" w:styleId="922">
    <w:name w:val="xl42"/>
    <w:basedOn w:val="1"/>
    <w:autoRedefine/>
    <w:qFormat/>
    <w:uiPriority w:val="0"/>
    <w:pPr>
      <w:widowControl/>
      <w:pBdr>
        <w:bottom w:val="dotted" w:color="auto" w:sz="4" w:space="0"/>
        <w:right w:val="dotted" w:color="auto" w:sz="4" w:space="0"/>
      </w:pBdr>
      <w:spacing w:before="100" w:beforeAutospacing="1" w:after="100" w:afterAutospacing="1"/>
      <w:jc w:val="center"/>
    </w:pPr>
    <w:rPr>
      <w:kern w:val="0"/>
    </w:rPr>
  </w:style>
  <w:style w:type="paragraph" w:customStyle="1" w:styleId="923">
    <w:name w:val="Char Char Char Char Char Char Char Char Char Char Char Char1 Char Char Char Char1"/>
    <w:basedOn w:val="1"/>
    <w:autoRedefine/>
    <w:qFormat/>
    <w:uiPriority w:val="0"/>
    <w:pPr>
      <w:widowControl/>
      <w:contextualSpacing/>
      <w:jc w:val="left"/>
    </w:pPr>
    <w:rPr>
      <w:rFonts w:cs="宋体"/>
      <w:kern w:val="0"/>
    </w:rPr>
  </w:style>
  <w:style w:type="paragraph" w:customStyle="1" w:styleId="924">
    <w:name w:val="1 Char Char Char Char Char Char Char"/>
    <w:basedOn w:val="1"/>
    <w:autoRedefine/>
    <w:qFormat/>
    <w:uiPriority w:val="0"/>
    <w:pPr>
      <w:spacing w:line="360" w:lineRule="auto"/>
      <w:ind w:firstLine="200" w:firstLineChars="200"/>
    </w:pPr>
    <w:rPr>
      <w:rFonts w:ascii="宋体" w:hAnsi="宋体" w:cs="宋体"/>
      <w:sz w:val="24"/>
    </w:rPr>
  </w:style>
  <w:style w:type="paragraph" w:customStyle="1" w:styleId="925">
    <w:name w:val="样式 正文001 + 首行缩进:  2 字符1"/>
    <w:basedOn w:val="1"/>
    <w:autoRedefine/>
    <w:qFormat/>
    <w:uiPriority w:val="0"/>
    <w:pPr>
      <w:spacing w:before="60" w:line="460" w:lineRule="exact"/>
      <w:ind w:firstLine="480" w:firstLineChars="200"/>
    </w:pPr>
    <w:rPr>
      <w:sz w:val="24"/>
      <w:szCs w:val="20"/>
    </w:rPr>
  </w:style>
  <w:style w:type="paragraph" w:customStyle="1" w:styleId="926">
    <w:name w:val="样式 标题 1章标题 11标题 1H1一、 + 行距: 1.5 倍行距"/>
    <w:basedOn w:val="3"/>
    <w:autoRedefine/>
    <w:qFormat/>
    <w:uiPriority w:val="0"/>
    <w:pPr>
      <w:keepLines/>
      <w:overflowPunct/>
      <w:spacing w:before="340" w:after="330" w:line="360" w:lineRule="auto"/>
      <w:ind w:left="3845" w:hanging="3845"/>
      <w:jc w:val="center"/>
    </w:pPr>
    <w:rPr>
      <w:rFonts w:cs="宋体"/>
      <w:color w:val="auto"/>
      <w:sz w:val="44"/>
      <w:szCs w:val="20"/>
    </w:rPr>
  </w:style>
  <w:style w:type="paragraph" w:customStyle="1" w:styleId="927">
    <w:name w:val="1 Char"/>
    <w:basedOn w:val="1"/>
    <w:autoRedefine/>
    <w:qFormat/>
    <w:uiPriority w:val="0"/>
    <w:pPr>
      <w:spacing w:line="360" w:lineRule="auto"/>
      <w:ind w:firstLine="200" w:firstLineChars="200"/>
    </w:pPr>
    <w:rPr>
      <w:rFonts w:ascii="宋体" w:hAnsi="宋体" w:cs="宋体"/>
      <w:sz w:val="24"/>
    </w:rPr>
  </w:style>
  <w:style w:type="paragraph" w:customStyle="1" w:styleId="928">
    <w:name w:val="工艺正文"/>
    <w:basedOn w:val="1"/>
    <w:autoRedefine/>
    <w:qFormat/>
    <w:uiPriority w:val="0"/>
    <w:pPr>
      <w:adjustRightInd w:val="0"/>
      <w:snapToGrid w:val="0"/>
      <w:spacing w:line="360" w:lineRule="auto"/>
      <w:ind w:firstLine="580"/>
    </w:pPr>
    <w:rPr>
      <w:rFonts w:ascii="宋体"/>
      <w:sz w:val="28"/>
      <w:szCs w:val="20"/>
    </w:rPr>
  </w:style>
  <w:style w:type="paragraph" w:customStyle="1" w:styleId="929">
    <w:name w:val="正文 黑体"/>
    <w:basedOn w:val="1"/>
    <w:autoRedefine/>
    <w:qFormat/>
    <w:uiPriority w:val="0"/>
    <w:pPr>
      <w:spacing w:before="240" w:after="240" w:line="480" w:lineRule="exact"/>
      <w:ind w:firstLine="560" w:firstLineChars="200"/>
    </w:pPr>
    <w:rPr>
      <w:rFonts w:eastAsia="黑体"/>
      <w:sz w:val="28"/>
      <w:szCs w:val="20"/>
    </w:rPr>
  </w:style>
  <w:style w:type="paragraph" w:customStyle="1" w:styleId="930">
    <w:name w:val="xl175"/>
    <w:basedOn w:val="1"/>
    <w:autoRedefine/>
    <w:qFormat/>
    <w:uiPriority w:val="0"/>
    <w:pPr>
      <w:widowControl/>
      <w:pBdr>
        <w:left w:val="single" w:color="auto" w:sz="12" w:space="0"/>
        <w:right w:val="single" w:color="auto" w:sz="4" w:space="0"/>
      </w:pBdr>
      <w:spacing w:before="100" w:beforeAutospacing="1" w:after="100" w:afterAutospacing="1"/>
      <w:jc w:val="left"/>
    </w:pPr>
    <w:rPr>
      <w:rFonts w:ascii="Arial Unicode MS" w:hAnsi="Arial Unicode MS"/>
      <w:kern w:val="0"/>
    </w:rPr>
  </w:style>
  <w:style w:type="paragraph" w:customStyle="1" w:styleId="931">
    <w:name w:val="xl140"/>
    <w:basedOn w:val="1"/>
    <w:autoRedefine/>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932">
    <w:name w:val="z-窗体底端1"/>
    <w:basedOn w:val="1"/>
    <w:next w:val="1"/>
    <w:autoRedefine/>
    <w:qFormat/>
    <w:uiPriority w:val="0"/>
    <w:pPr>
      <w:widowControl/>
      <w:pBdr>
        <w:top w:val="single" w:color="auto" w:sz="6" w:space="1"/>
      </w:pBdr>
      <w:jc w:val="center"/>
    </w:pPr>
    <w:rPr>
      <w:rFonts w:ascii="Arial" w:hAnsi="Arial" w:cs="Arial"/>
      <w:vanish/>
      <w:kern w:val="0"/>
      <w:sz w:val="16"/>
      <w:szCs w:val="16"/>
    </w:rPr>
  </w:style>
  <w:style w:type="paragraph" w:customStyle="1" w:styleId="933">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934">
    <w:name w:val="正文 黑体 Char"/>
    <w:basedOn w:val="685"/>
    <w:next w:val="685"/>
    <w:autoRedefine/>
    <w:qFormat/>
    <w:uiPriority w:val="0"/>
    <w:rPr>
      <w:rFonts w:eastAsia="黑体"/>
    </w:rPr>
  </w:style>
  <w:style w:type="paragraph" w:customStyle="1" w:styleId="935">
    <w:name w:val="xl24"/>
    <w:basedOn w:val="1"/>
    <w:autoRedefine/>
    <w:qFormat/>
    <w:uiPriority w:val="0"/>
    <w:pPr>
      <w:widowControl/>
      <w:spacing w:before="100" w:after="100"/>
      <w:jc w:val="center"/>
    </w:pPr>
    <w:rPr>
      <w:rFonts w:ascii="宋体" w:hAnsi="宋体"/>
      <w:kern w:val="0"/>
      <w:sz w:val="24"/>
      <w:szCs w:val="20"/>
    </w:rPr>
  </w:style>
  <w:style w:type="paragraph" w:customStyle="1" w:styleId="936">
    <w:name w:val="表中"/>
    <w:autoRedefine/>
    <w:qFormat/>
    <w:uiPriority w:val="0"/>
    <w:pPr>
      <w:adjustRightInd w:val="0"/>
      <w:snapToGrid w:val="0"/>
      <w:jc w:val="right"/>
    </w:pPr>
    <w:rPr>
      <w:rFonts w:ascii="Times New Roman" w:hAnsi="Times New Roman" w:eastAsia="宋体" w:cs="Times New Roman"/>
      <w:kern w:val="44"/>
      <w:sz w:val="18"/>
      <w:lang w:val="en-US" w:eastAsia="zh-CN" w:bidi="ar-SA"/>
    </w:rPr>
  </w:style>
  <w:style w:type="paragraph" w:customStyle="1" w:styleId="937">
    <w:name w:val="编制说明"/>
    <w:basedOn w:val="1"/>
    <w:autoRedefine/>
    <w:qFormat/>
    <w:uiPriority w:val="0"/>
    <w:pPr>
      <w:topLinePunct/>
      <w:adjustRightInd w:val="0"/>
      <w:snapToGrid w:val="0"/>
      <w:ind w:firstLine="420"/>
      <w:contextualSpacing/>
    </w:pPr>
    <w:rPr>
      <w:rFonts w:eastAsia="仿宋_GB2312"/>
      <w:szCs w:val="20"/>
    </w:rPr>
  </w:style>
  <w:style w:type="paragraph" w:customStyle="1" w:styleId="938">
    <w:name w:val="Char Char1"/>
    <w:basedOn w:val="1"/>
    <w:autoRedefine/>
    <w:qFormat/>
    <w:uiPriority w:val="0"/>
    <w:pPr>
      <w:spacing w:line="360" w:lineRule="auto"/>
      <w:ind w:firstLine="200" w:firstLineChars="200"/>
      <w:jc w:val="left"/>
    </w:pPr>
    <w:rPr>
      <w:rFonts w:ascii="宋体" w:hAnsi="宋体" w:cs="宋体"/>
      <w:sz w:val="24"/>
    </w:rPr>
  </w:style>
  <w:style w:type="paragraph" w:customStyle="1" w:styleId="939">
    <w:name w:val="xl141"/>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940">
    <w:name w:val="xl79"/>
    <w:basedOn w:val="1"/>
    <w:autoRedefine/>
    <w:qFormat/>
    <w:uiPriority w:val="0"/>
    <w:pPr>
      <w:widowControl/>
      <w:pBdr>
        <w:bottom w:val="single" w:color="auto" w:sz="12" w:space="0"/>
      </w:pBdr>
      <w:spacing w:before="100" w:beforeAutospacing="1" w:after="100" w:afterAutospacing="1"/>
      <w:jc w:val="left"/>
      <w:textAlignment w:val="center"/>
    </w:pPr>
    <w:rPr>
      <w:kern w:val="0"/>
      <w:sz w:val="12"/>
      <w:szCs w:val="12"/>
    </w:rPr>
  </w:style>
  <w:style w:type="paragraph" w:customStyle="1" w:styleId="941">
    <w:name w:val="xl153"/>
    <w:basedOn w:val="1"/>
    <w:autoRedefine/>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942">
    <w:name w:val="xl145"/>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943">
    <w:name w:val="xl163"/>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944">
    <w:name w:val="图号"/>
    <w:basedOn w:val="1"/>
    <w:autoRedefine/>
    <w:qFormat/>
    <w:uiPriority w:val="0"/>
    <w:pPr>
      <w:tabs>
        <w:tab w:val="left" w:pos="8160"/>
      </w:tabs>
      <w:adjustRightInd w:val="0"/>
      <w:spacing w:before="120" w:after="120" w:line="320" w:lineRule="exact"/>
      <w:jc w:val="center"/>
      <w:textAlignment w:val="baseline"/>
    </w:pPr>
    <w:rPr>
      <w:rFonts w:ascii="黑体" w:hAnsi="宋体" w:eastAsia="黑体"/>
      <w:spacing w:val="6"/>
      <w:sz w:val="24"/>
    </w:rPr>
  </w:style>
  <w:style w:type="paragraph" w:customStyle="1" w:styleId="945">
    <w:name w:val="样式 标题 2节H2（一）Underrubrik1prop2Heading 2 HiddenHeading 2 C..."/>
    <w:basedOn w:val="4"/>
    <w:autoRedefine/>
    <w:qFormat/>
    <w:uiPriority w:val="0"/>
    <w:pPr>
      <w:tabs>
        <w:tab w:val="left" w:pos="840"/>
      </w:tabs>
      <w:spacing w:before="240" w:after="240" w:line="480" w:lineRule="exact"/>
      <w:ind w:left="840"/>
    </w:pPr>
    <w:rPr>
      <w:rFonts w:cs="宋体"/>
      <w:b w:val="0"/>
      <w:kern w:val="0"/>
      <w:szCs w:val="20"/>
    </w:rPr>
  </w:style>
  <w:style w:type="paragraph" w:customStyle="1" w:styleId="946">
    <w:name w:val="unnamed11"/>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947">
    <w:name w:val="Char2 Char Char Char Char Char Char Char Char Char"/>
    <w:basedOn w:val="1"/>
    <w:autoRedefine/>
    <w:qFormat/>
    <w:uiPriority w:val="0"/>
    <w:rPr>
      <w:sz w:val="24"/>
    </w:rPr>
  </w:style>
  <w:style w:type="paragraph" w:customStyle="1" w:styleId="948">
    <w:name w:val="工业统一题目"/>
    <w:basedOn w:val="1"/>
    <w:autoRedefine/>
    <w:qFormat/>
    <w:uiPriority w:val="0"/>
    <w:pPr>
      <w:adjustRightInd w:val="0"/>
      <w:snapToGrid w:val="0"/>
      <w:spacing w:line="360" w:lineRule="auto"/>
      <w:jc w:val="left"/>
    </w:pPr>
    <w:rPr>
      <w:rFonts w:ascii="宋体"/>
      <w:b/>
      <w:sz w:val="28"/>
      <w:szCs w:val="20"/>
    </w:rPr>
  </w:style>
  <w:style w:type="paragraph" w:customStyle="1" w:styleId="949">
    <w:name w:val="Char Char Char Char Char Char Char Char Char Char Char Char Char Char Char Char Char Char Char"/>
    <w:basedOn w:val="1"/>
    <w:autoRedefine/>
    <w:qFormat/>
    <w:uiPriority w:val="0"/>
  </w:style>
  <w:style w:type="paragraph" w:customStyle="1" w:styleId="950">
    <w:name w:val="Table Paragraph"/>
    <w:basedOn w:val="1"/>
    <w:autoRedefine/>
    <w:unhideWhenUsed/>
    <w:qFormat/>
    <w:uiPriority w:val="1"/>
    <w:pPr>
      <w:widowControl/>
      <w:adjustRightInd w:val="0"/>
      <w:snapToGrid w:val="0"/>
      <w:spacing w:after="200"/>
      <w:jc w:val="left"/>
    </w:pPr>
    <w:rPr>
      <w:rFonts w:ascii="Tahoma" w:hAnsi="Tahoma" w:eastAsia="微软雅黑"/>
      <w:kern w:val="0"/>
      <w:sz w:val="22"/>
      <w:szCs w:val="22"/>
    </w:rPr>
  </w:style>
  <w:style w:type="paragraph" w:customStyle="1" w:styleId="951">
    <w:name w:val="款"/>
    <w:basedOn w:val="1"/>
    <w:autoRedefine/>
    <w:qFormat/>
    <w:uiPriority w:val="0"/>
    <w:pPr>
      <w:spacing w:line="360" w:lineRule="auto"/>
    </w:pPr>
    <w:rPr>
      <w:szCs w:val="20"/>
    </w:rPr>
  </w:style>
  <w:style w:type="paragraph" w:customStyle="1" w:styleId="952">
    <w:name w:val="xl192"/>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53">
    <w:name w:val="备注"/>
    <w:basedOn w:val="475"/>
    <w:autoRedefine/>
    <w:qFormat/>
    <w:uiPriority w:val="0"/>
    <w:pPr>
      <w:spacing w:line="360" w:lineRule="exact"/>
    </w:pPr>
    <w:rPr>
      <w:sz w:val="21"/>
    </w:rPr>
  </w:style>
  <w:style w:type="paragraph" w:customStyle="1" w:styleId="954">
    <w:name w:val="font0"/>
    <w:basedOn w:val="1"/>
    <w:autoRedefine/>
    <w:qFormat/>
    <w:uiPriority w:val="0"/>
    <w:pPr>
      <w:widowControl/>
      <w:spacing w:before="100" w:beforeAutospacing="1" w:after="100" w:afterAutospacing="1"/>
      <w:jc w:val="left"/>
    </w:pPr>
    <w:rPr>
      <w:rFonts w:hint="eastAsia" w:ascii="宋体" w:hAnsi="宋体"/>
      <w:kern w:val="0"/>
      <w:sz w:val="24"/>
    </w:rPr>
  </w:style>
  <w:style w:type="paragraph" w:customStyle="1" w:styleId="955">
    <w:name w:val="+正文 Char Char"/>
    <w:basedOn w:val="1"/>
    <w:autoRedefine/>
    <w:qFormat/>
    <w:uiPriority w:val="0"/>
    <w:pPr>
      <w:spacing w:line="360" w:lineRule="auto"/>
      <w:ind w:firstLine="200" w:firstLineChars="200"/>
    </w:pPr>
    <w:rPr>
      <w:sz w:val="24"/>
      <w:szCs w:val="28"/>
    </w:rPr>
  </w:style>
  <w:style w:type="paragraph" w:customStyle="1" w:styleId="956">
    <w:name w:val="font13"/>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957">
    <w:name w:val="xl190"/>
    <w:basedOn w:val="1"/>
    <w:autoRedefine/>
    <w:qFormat/>
    <w:uiPriority w:val="0"/>
    <w:pPr>
      <w:widowControl/>
      <w:pBdr>
        <w:top w:val="single" w:color="auto" w:sz="12" w:space="0"/>
      </w:pBdr>
      <w:spacing w:before="100" w:beforeAutospacing="1" w:after="100" w:afterAutospacing="1"/>
      <w:jc w:val="left"/>
      <w:textAlignment w:val="center"/>
    </w:pPr>
    <w:rPr>
      <w:rFonts w:ascii="Arial Unicode MS" w:hAnsi="Arial Unicode MS"/>
      <w:kern w:val="0"/>
      <w:sz w:val="12"/>
      <w:szCs w:val="12"/>
    </w:rPr>
  </w:style>
  <w:style w:type="paragraph" w:customStyle="1" w:styleId="958">
    <w:name w:val="xl172"/>
    <w:basedOn w:val="1"/>
    <w:autoRedefine/>
    <w:qFormat/>
    <w:uiPriority w:val="0"/>
    <w:pPr>
      <w:widowControl/>
      <w:pBdr>
        <w:top w:val="single" w:color="auto" w:sz="12" w:space="0"/>
        <w:left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959">
    <w:name w:val="B1"/>
    <w:basedOn w:val="1"/>
    <w:next w:val="1"/>
    <w:autoRedefine/>
    <w:qFormat/>
    <w:uiPriority w:val="0"/>
    <w:pPr>
      <w:keepNext/>
      <w:tabs>
        <w:tab w:val="left" w:pos="624"/>
      </w:tabs>
      <w:adjustRightInd w:val="0"/>
      <w:spacing w:before="240" w:line="360" w:lineRule="auto"/>
      <w:ind w:left="624" w:hanging="624"/>
      <w:textAlignment w:val="baseline"/>
    </w:pPr>
    <w:rPr>
      <w:kern w:val="24"/>
      <w:sz w:val="28"/>
      <w:szCs w:val="20"/>
    </w:rPr>
  </w:style>
  <w:style w:type="paragraph" w:customStyle="1" w:styleId="960">
    <w:name w:val="表格0"/>
    <w:next w:val="1"/>
    <w:autoRedefine/>
    <w:qFormat/>
    <w:uiPriority w:val="99"/>
    <w:pPr>
      <w:adjustRightInd w:val="0"/>
      <w:snapToGrid w:val="0"/>
      <w:jc w:val="center"/>
    </w:pPr>
    <w:rPr>
      <w:rFonts w:ascii="Times New Roman" w:hAnsi="Times New Roman" w:eastAsia="宋体" w:cs="Times New Roman"/>
      <w:sz w:val="21"/>
      <w:lang w:val="en-US" w:eastAsia="zh-CN" w:bidi="ar-SA"/>
    </w:rPr>
  </w:style>
  <w:style w:type="paragraph" w:customStyle="1" w:styleId="961">
    <w:name w:val="目录2"/>
    <w:basedOn w:val="68"/>
    <w:next w:val="42"/>
    <w:autoRedefine/>
    <w:qFormat/>
    <w:uiPriority w:val="0"/>
    <w:pPr>
      <w:keepNext/>
      <w:widowControl/>
      <w:tabs>
        <w:tab w:val="right" w:leader="dot" w:pos="8160"/>
        <w:tab w:val="right" w:leader="dot" w:pos="8640"/>
        <w:tab w:val="right" w:leader="dot" w:pos="8820"/>
      </w:tabs>
      <w:spacing w:beforeLines="50" w:afterLines="50" w:line="480" w:lineRule="exact"/>
      <w:ind w:left="567"/>
      <w:jc w:val="both"/>
    </w:pPr>
    <w:rPr>
      <w:rFonts w:ascii="Calibri" w:hAnsi="Calibri"/>
      <w:kern w:val="0"/>
      <w:sz w:val="28"/>
      <w:szCs w:val="24"/>
      <w:lang w:bidi="en-US"/>
    </w:rPr>
  </w:style>
  <w:style w:type="paragraph" w:customStyle="1" w:styleId="962">
    <w:name w:val="xl51"/>
    <w:basedOn w:val="1"/>
    <w:autoRedefine/>
    <w:qFormat/>
    <w:uiPriority w:val="0"/>
    <w:pPr>
      <w:widowControl/>
      <w:spacing w:before="100" w:beforeAutospacing="1" w:after="100" w:afterAutospacing="1"/>
      <w:jc w:val="left"/>
    </w:pPr>
    <w:rPr>
      <w:rFonts w:ascii="Arial" w:hAnsi="Arial" w:cs="Arial"/>
      <w:b/>
      <w:bCs/>
      <w:kern w:val="0"/>
      <w:sz w:val="22"/>
      <w:szCs w:val="22"/>
    </w:rPr>
  </w:style>
  <w:style w:type="paragraph" w:customStyle="1" w:styleId="963">
    <w:name w:val="新正文样式"/>
    <w:basedOn w:val="1"/>
    <w:autoRedefine/>
    <w:qFormat/>
    <w:uiPriority w:val="0"/>
    <w:pPr>
      <w:tabs>
        <w:tab w:val="left" w:pos="567"/>
      </w:tabs>
      <w:spacing w:line="360" w:lineRule="auto"/>
      <w:ind w:firstLine="567"/>
    </w:pPr>
    <w:rPr>
      <w:spacing w:val="20"/>
      <w:sz w:val="24"/>
      <w:szCs w:val="20"/>
    </w:rPr>
  </w:style>
  <w:style w:type="paragraph" w:customStyle="1" w:styleId="964">
    <w:name w:val="表格编号"/>
    <w:basedOn w:val="1"/>
    <w:autoRedefine/>
    <w:qFormat/>
    <w:uiPriority w:val="0"/>
    <w:pPr>
      <w:snapToGrid w:val="0"/>
      <w:spacing w:before="300" w:after="200" w:line="500" w:lineRule="exact"/>
      <w:jc w:val="left"/>
    </w:pPr>
    <w:rPr>
      <w:sz w:val="24"/>
    </w:rPr>
  </w:style>
  <w:style w:type="paragraph" w:customStyle="1" w:styleId="965">
    <w:name w:val="Char Char Char Char Char Char Char Char Char Char1"/>
    <w:basedOn w:val="1"/>
    <w:autoRedefine/>
    <w:qFormat/>
    <w:uiPriority w:val="0"/>
    <w:pPr>
      <w:widowControl/>
      <w:contextualSpacing/>
      <w:jc w:val="left"/>
    </w:pPr>
    <w:rPr>
      <w:rFonts w:cs="宋体"/>
      <w:kern w:val="0"/>
    </w:rPr>
  </w:style>
  <w:style w:type="paragraph" w:customStyle="1" w:styleId="966">
    <w:name w:val="正文001"/>
    <w:basedOn w:val="1"/>
    <w:autoRedefine/>
    <w:qFormat/>
    <w:uiPriority w:val="0"/>
    <w:pPr>
      <w:spacing w:before="60" w:line="460" w:lineRule="exact"/>
      <w:ind w:firstLine="200" w:firstLineChars="200"/>
    </w:pPr>
    <w:rPr>
      <w:sz w:val="24"/>
      <w:szCs w:val="20"/>
    </w:rPr>
  </w:style>
  <w:style w:type="paragraph" w:customStyle="1" w:styleId="967">
    <w:name w:val="正文图标题"/>
    <w:next w:val="1"/>
    <w:autoRedefine/>
    <w:qFormat/>
    <w:uiPriority w:val="0"/>
    <w:pPr>
      <w:numPr>
        <w:ilvl w:val="0"/>
        <w:numId w:val="10"/>
      </w:numPr>
      <w:tabs>
        <w:tab w:val="left" w:pos="360"/>
      </w:tabs>
      <w:spacing w:beforeLines="50" w:afterLines="50"/>
      <w:jc w:val="center"/>
    </w:pPr>
    <w:rPr>
      <w:rFonts w:ascii="黑体" w:hAnsi="Times New Roman" w:eastAsia="黑体" w:cs="Times New Roman"/>
      <w:sz w:val="21"/>
      <w:lang w:val="en-US" w:eastAsia="zh-CN" w:bidi="ar-SA"/>
    </w:rPr>
  </w:style>
  <w:style w:type="paragraph" w:customStyle="1" w:styleId="968">
    <w:name w:val="Char Char Char Char Char Char Char1"/>
    <w:basedOn w:val="1"/>
    <w:autoRedefine/>
    <w:qFormat/>
    <w:uiPriority w:val="0"/>
    <w:pPr>
      <w:widowControl/>
      <w:contextualSpacing/>
      <w:jc w:val="left"/>
    </w:pPr>
    <w:rPr>
      <w:rFonts w:cs="宋体"/>
      <w:kern w:val="0"/>
    </w:rPr>
  </w:style>
  <w:style w:type="paragraph" w:customStyle="1" w:styleId="969">
    <w:name w:val="xl111"/>
    <w:basedOn w:val="1"/>
    <w:autoRedefine/>
    <w:qFormat/>
    <w:uiPriority w:val="0"/>
    <w:pPr>
      <w:widowControl/>
      <w:pBdr>
        <w:top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70">
    <w:name w:val="xl35"/>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971">
    <w:name w:val="表内4号居中"/>
    <w:autoRedefine/>
    <w:qFormat/>
    <w:uiPriority w:val="0"/>
    <w:pPr>
      <w:adjustRightInd w:val="0"/>
      <w:snapToGrid w:val="0"/>
      <w:spacing w:line="360" w:lineRule="auto"/>
      <w:jc w:val="center"/>
    </w:pPr>
    <w:rPr>
      <w:rFonts w:ascii="Arial" w:hAnsi="Arial" w:eastAsia="宋体" w:cs="Times New Roman"/>
      <w:spacing w:val="20"/>
      <w:sz w:val="21"/>
      <w:lang w:val="en-US" w:eastAsia="zh-CN" w:bidi="ar-SA"/>
    </w:rPr>
  </w:style>
  <w:style w:type="paragraph" w:customStyle="1" w:styleId="972">
    <w:name w:val="xl128"/>
    <w:basedOn w:val="1"/>
    <w:autoRedefine/>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973">
    <w:name w:val="样式 标题 3 + (西文) Times New Roman (中文) 宋体 小四 加粗"/>
    <w:basedOn w:val="5"/>
    <w:autoRedefine/>
    <w:qFormat/>
    <w:uiPriority w:val="0"/>
    <w:pPr>
      <w:tabs>
        <w:tab w:val="left" w:pos="1021"/>
      </w:tabs>
      <w:spacing w:before="156" w:after="0" w:afterLines="50" w:line="360" w:lineRule="auto"/>
      <w:ind w:left="1021" w:hanging="1021"/>
    </w:pPr>
    <w:rPr>
      <w:rFonts w:ascii="宋体" w:hAnsi="宋体"/>
      <w:b w:val="0"/>
      <w:snapToGrid w:val="0"/>
      <w:sz w:val="28"/>
      <w:szCs w:val="28"/>
    </w:rPr>
  </w:style>
  <w:style w:type="paragraph" w:customStyle="1" w:styleId="974">
    <w:name w:val="默认段落字体 Para Char Char Char Char Char Char"/>
    <w:basedOn w:val="1"/>
    <w:autoRedefine/>
    <w:qFormat/>
    <w:uiPriority w:val="0"/>
  </w:style>
  <w:style w:type="paragraph" w:customStyle="1" w:styleId="975">
    <w:name w:val="xl158"/>
    <w:basedOn w:val="1"/>
    <w:autoRedefine/>
    <w:qFormat/>
    <w:uiPriority w:val="0"/>
    <w:pPr>
      <w:widowControl/>
      <w:pBdr>
        <w:bottom w:val="single" w:color="auto" w:sz="8"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976">
    <w:name w:val="表样式2"/>
    <w:basedOn w:val="1"/>
    <w:autoRedefine/>
    <w:qFormat/>
    <w:uiPriority w:val="0"/>
    <w:pPr>
      <w:jc w:val="center"/>
    </w:pPr>
    <w:rPr>
      <w:kern w:val="0"/>
    </w:rPr>
  </w:style>
  <w:style w:type="paragraph" w:customStyle="1" w:styleId="977">
    <w:name w:val="xl95"/>
    <w:basedOn w:val="1"/>
    <w:autoRedefine/>
    <w:qFormat/>
    <w:uiPriority w:val="0"/>
    <w:pPr>
      <w:widowControl/>
      <w:spacing w:before="100" w:beforeAutospacing="1" w:after="100" w:afterAutospacing="1"/>
      <w:jc w:val="right"/>
    </w:pPr>
    <w:rPr>
      <w:rFonts w:ascii="Arial Unicode MS" w:hAnsi="Arial Unicode MS"/>
      <w:kern w:val="0"/>
      <w:sz w:val="12"/>
      <w:szCs w:val="12"/>
    </w:rPr>
  </w:style>
  <w:style w:type="paragraph" w:customStyle="1" w:styleId="978">
    <w:name w:val="xl100"/>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979">
    <w:name w:val="Char Char Char Char Char Char Char Char Char Char Char Char Char"/>
    <w:basedOn w:val="1"/>
    <w:autoRedefine/>
    <w:qFormat/>
    <w:uiPriority w:val="0"/>
    <w:pPr>
      <w:widowControl/>
      <w:spacing w:after="160" w:line="240" w:lineRule="exact"/>
      <w:jc w:val="left"/>
    </w:pPr>
  </w:style>
  <w:style w:type="paragraph" w:customStyle="1" w:styleId="980">
    <w:name w:val="font1"/>
    <w:basedOn w:val="1"/>
    <w:autoRedefine/>
    <w:qFormat/>
    <w:uiPriority w:val="0"/>
    <w:pPr>
      <w:widowControl/>
      <w:spacing w:before="100" w:beforeAutospacing="1" w:after="100" w:afterAutospacing="1"/>
      <w:jc w:val="left"/>
    </w:pPr>
    <w:rPr>
      <w:rFonts w:hint="eastAsia" w:ascii="宋体" w:hAnsi="宋体"/>
      <w:kern w:val="0"/>
      <w:sz w:val="24"/>
    </w:rPr>
  </w:style>
  <w:style w:type="paragraph" w:customStyle="1" w:styleId="981">
    <w:name w:val="CM88"/>
    <w:basedOn w:val="732"/>
    <w:next w:val="732"/>
    <w:autoRedefine/>
    <w:qFormat/>
    <w:uiPriority w:val="0"/>
    <w:pPr>
      <w:spacing w:after="175"/>
    </w:pPr>
    <w:rPr>
      <w:rFonts w:ascii="黑体" w:eastAsia="黑体"/>
      <w:color w:val="auto"/>
    </w:rPr>
  </w:style>
  <w:style w:type="paragraph" w:customStyle="1" w:styleId="982">
    <w:name w:val="font14"/>
    <w:basedOn w:val="1"/>
    <w:autoRedefine/>
    <w:qFormat/>
    <w:uiPriority w:val="0"/>
    <w:pPr>
      <w:widowControl/>
      <w:spacing w:before="100" w:beforeAutospacing="1" w:after="100" w:afterAutospacing="1"/>
      <w:jc w:val="left"/>
    </w:pPr>
    <w:rPr>
      <w:rFonts w:ascii="宋体" w:hAnsi="宋体"/>
      <w:b/>
      <w:bCs/>
      <w:i/>
      <w:iCs/>
      <w:kern w:val="0"/>
      <w:sz w:val="22"/>
      <w:szCs w:val="22"/>
    </w:rPr>
  </w:style>
  <w:style w:type="paragraph" w:customStyle="1" w:styleId="983">
    <w:name w:val="xl67"/>
    <w:basedOn w:val="1"/>
    <w:autoRedefine/>
    <w:qFormat/>
    <w:uiPriority w:val="0"/>
    <w:pPr>
      <w:widowControl/>
      <w:spacing w:before="100" w:beforeAutospacing="1" w:after="100" w:afterAutospacing="1"/>
      <w:jc w:val="center"/>
    </w:pPr>
    <w:rPr>
      <w:rFonts w:ascii="宋体" w:hAnsi="宋体"/>
      <w:b/>
      <w:bCs/>
      <w:kern w:val="0"/>
      <w:sz w:val="22"/>
      <w:szCs w:val="22"/>
    </w:rPr>
  </w:style>
  <w:style w:type="paragraph" w:customStyle="1" w:styleId="984">
    <w:name w:val="xl89"/>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985">
    <w:name w:val="Char Char 字元 字元 字元 Char Char Char Char"/>
    <w:basedOn w:val="1"/>
    <w:autoRedefine/>
    <w:qFormat/>
    <w:uiPriority w:val="0"/>
    <w:pPr>
      <w:adjustRightInd w:val="0"/>
      <w:spacing w:line="360" w:lineRule="auto"/>
    </w:pPr>
  </w:style>
  <w:style w:type="paragraph" w:customStyle="1" w:styleId="986">
    <w:name w:val="Char Char8 Char"/>
    <w:basedOn w:val="5"/>
    <w:autoRedefine/>
    <w:semiHidden/>
    <w:qFormat/>
    <w:uiPriority w:val="0"/>
    <w:pPr>
      <w:tabs>
        <w:tab w:val="left" w:pos="360"/>
        <w:tab w:val="left" w:pos="900"/>
      </w:tabs>
      <w:spacing w:before="0" w:after="120" w:line="360" w:lineRule="auto"/>
      <w:ind w:left="542" w:leftChars="-12" w:firstLine="200" w:firstLineChars="200"/>
    </w:pPr>
    <w:rPr>
      <w:rFonts w:ascii="宋体" w:hAnsi="宋体" w:cs="宋体"/>
      <w:b w:val="0"/>
      <w:bCs w:val="0"/>
      <w:sz w:val="24"/>
      <w:szCs w:val="24"/>
    </w:rPr>
  </w:style>
  <w:style w:type="paragraph" w:customStyle="1" w:styleId="987">
    <w:name w:val="xl29"/>
    <w:basedOn w:val="1"/>
    <w:autoRedefine/>
    <w:qFormat/>
    <w:uiPriority w:val="0"/>
    <w:pPr>
      <w:widowControl/>
      <w:spacing w:before="100" w:beforeAutospacing="1" w:after="100" w:afterAutospacing="1"/>
      <w:jc w:val="left"/>
      <w:textAlignment w:val="bottom"/>
    </w:pPr>
    <w:rPr>
      <w:rFonts w:ascii="Arial" w:hAnsi="Arial" w:cs="Arial"/>
      <w:b/>
      <w:bCs/>
      <w:kern w:val="0"/>
      <w:sz w:val="22"/>
      <w:szCs w:val="22"/>
    </w:rPr>
  </w:style>
  <w:style w:type="paragraph" w:customStyle="1" w:styleId="988">
    <w:name w:val="封面"/>
    <w:basedOn w:val="1"/>
    <w:autoRedefine/>
    <w:qFormat/>
    <w:uiPriority w:val="0"/>
    <w:pPr>
      <w:adjustRightInd w:val="0"/>
      <w:spacing w:before="60" w:line="360" w:lineRule="auto"/>
      <w:ind w:firstLine="482"/>
      <w:jc w:val="center"/>
      <w:textAlignment w:val="baseline"/>
    </w:pPr>
    <w:rPr>
      <w:rFonts w:ascii="Arial" w:hAnsi="Arial" w:eastAsia="仿宋_GB2312"/>
      <w:b/>
      <w:kern w:val="0"/>
      <w:sz w:val="30"/>
      <w:szCs w:val="20"/>
    </w:rPr>
  </w:style>
  <w:style w:type="paragraph" w:customStyle="1" w:styleId="989">
    <w:name w:val="Char21"/>
    <w:basedOn w:val="1"/>
    <w:autoRedefine/>
    <w:qFormat/>
    <w:uiPriority w:val="0"/>
    <w:pPr>
      <w:spacing w:line="360" w:lineRule="auto"/>
      <w:ind w:firstLine="200" w:firstLineChars="200"/>
    </w:pPr>
    <w:rPr>
      <w:rFonts w:ascii="宋体" w:hAnsi="宋体" w:cs="宋体"/>
      <w:sz w:val="24"/>
    </w:rPr>
  </w:style>
  <w:style w:type="paragraph" w:customStyle="1" w:styleId="990">
    <w:name w:val="简单回函地址"/>
    <w:basedOn w:val="1"/>
    <w:autoRedefine/>
    <w:qFormat/>
    <w:uiPriority w:val="0"/>
  </w:style>
  <w:style w:type="paragraph" w:customStyle="1" w:styleId="991">
    <w:name w:val="页眉左"/>
    <w:basedOn w:val="53"/>
    <w:autoRedefine/>
    <w:qFormat/>
    <w:uiPriority w:val="0"/>
    <w:pPr>
      <w:pBdr>
        <w:bottom w:val="none" w:color="auto" w:sz="0" w:space="0"/>
      </w:pBdr>
      <w:adjustRightInd w:val="0"/>
      <w:snapToGrid/>
      <w:spacing w:before="60" w:after="60" w:line="240" w:lineRule="atLeast"/>
      <w:jc w:val="left"/>
      <w:textAlignment w:val="baseline"/>
    </w:pPr>
    <w:rPr>
      <w:sz w:val="22"/>
      <w:lang w:val="en-GB"/>
    </w:rPr>
  </w:style>
  <w:style w:type="paragraph" w:customStyle="1" w:styleId="992">
    <w:name w:val="样式 四号"/>
    <w:basedOn w:val="1"/>
    <w:autoRedefine/>
    <w:qFormat/>
    <w:uiPriority w:val="0"/>
    <w:pPr>
      <w:spacing w:line="360" w:lineRule="auto"/>
      <w:ind w:firstLine="480" w:firstLineChars="200"/>
    </w:pPr>
    <w:rPr>
      <w:rFonts w:ascii="宋体" w:hAnsi="宋体"/>
      <w:snapToGrid w:val="0"/>
      <w:kern w:val="0"/>
      <w:sz w:val="24"/>
    </w:rPr>
  </w:style>
  <w:style w:type="paragraph" w:customStyle="1" w:styleId="993">
    <w:name w:val="Char12"/>
    <w:basedOn w:val="1"/>
    <w:autoRedefine/>
    <w:qFormat/>
    <w:uiPriority w:val="0"/>
  </w:style>
  <w:style w:type="paragraph" w:customStyle="1" w:styleId="994">
    <w:name w:val="样式 标题 3 + 段前: 0.5 行 段后: 0.2 行"/>
    <w:basedOn w:val="5"/>
    <w:autoRedefine/>
    <w:qFormat/>
    <w:uiPriority w:val="0"/>
    <w:pPr>
      <w:spacing w:before="0" w:beforeLines="30" w:after="0" w:line="600" w:lineRule="exact"/>
      <w:ind w:firstLine="480" w:firstLineChars="200"/>
    </w:pPr>
    <w:rPr>
      <w:rFonts w:eastAsia="黑体" w:cs="宋体"/>
      <w:b w:val="0"/>
      <w:sz w:val="26"/>
      <w:szCs w:val="20"/>
    </w:rPr>
  </w:style>
  <w:style w:type="paragraph" w:customStyle="1" w:styleId="995">
    <w:name w:val="目录"/>
    <w:basedOn w:val="4"/>
    <w:next w:val="1"/>
    <w:autoRedefine/>
    <w:qFormat/>
    <w:uiPriority w:val="0"/>
    <w:pPr>
      <w:keepLines w:val="0"/>
      <w:widowControl/>
      <w:tabs>
        <w:tab w:val="left" w:pos="0"/>
        <w:tab w:val="left" w:pos="8280"/>
      </w:tabs>
      <w:spacing w:before="480" w:after="60" w:line="480" w:lineRule="exact"/>
      <w:ind w:right="50" w:rightChars="50"/>
      <w:jc w:val="left"/>
    </w:pPr>
    <w:rPr>
      <w:b w:val="0"/>
      <w:iCs/>
      <w:kern w:val="44"/>
      <w:szCs w:val="28"/>
      <w:lang w:eastAsia="en-US" w:bidi="en-US"/>
    </w:rPr>
  </w:style>
  <w:style w:type="paragraph" w:customStyle="1" w:styleId="996">
    <w:name w:val="默认段落字体 Para Char Char Char Char Char Char Char"/>
    <w:basedOn w:val="1"/>
    <w:autoRedefine/>
    <w:qFormat/>
    <w:uiPriority w:val="0"/>
    <w:pPr>
      <w:adjustRightInd w:val="0"/>
      <w:spacing w:line="360" w:lineRule="auto"/>
      <w:textAlignment w:val="baseline"/>
    </w:pPr>
    <w:rPr>
      <w:kern w:val="0"/>
      <w:sz w:val="24"/>
      <w:szCs w:val="20"/>
    </w:rPr>
  </w:style>
  <w:style w:type="paragraph" w:customStyle="1" w:styleId="997">
    <w:name w:val="封面 宋体"/>
    <w:basedOn w:val="998"/>
    <w:autoRedefine/>
    <w:qFormat/>
    <w:uiPriority w:val="0"/>
    <w:rPr>
      <w:rFonts w:ascii="宋体-方正超大字符集" w:hAnsi="宋体-方正超大字符集" w:eastAsia="宋体-方正超大字符集"/>
      <w:b w:val="0"/>
      <w:bCs/>
      <w:sz w:val="32"/>
    </w:rPr>
  </w:style>
  <w:style w:type="paragraph" w:customStyle="1" w:styleId="998">
    <w:name w:val="封面 黑体"/>
    <w:basedOn w:val="1"/>
    <w:autoRedefine/>
    <w:qFormat/>
    <w:uiPriority w:val="0"/>
    <w:pPr>
      <w:spacing w:before="240" w:after="240" w:line="480" w:lineRule="exact"/>
      <w:jc w:val="center"/>
    </w:pPr>
    <w:rPr>
      <w:b/>
      <w:sz w:val="30"/>
    </w:rPr>
  </w:style>
  <w:style w:type="paragraph" w:customStyle="1" w:styleId="999">
    <w:name w:val="表格段落1"/>
    <w:basedOn w:val="1"/>
    <w:autoRedefine/>
    <w:qFormat/>
    <w:uiPriority w:val="0"/>
    <w:pPr>
      <w:adjustRightInd w:val="0"/>
      <w:snapToGrid w:val="0"/>
      <w:spacing w:line="320" w:lineRule="exact"/>
      <w:jc w:val="center"/>
    </w:pPr>
  </w:style>
  <w:style w:type="paragraph" w:customStyle="1" w:styleId="1000">
    <w:name w:val="小五表文"/>
    <w:autoRedefine/>
    <w:qFormat/>
    <w:uiPriority w:val="0"/>
    <w:pPr>
      <w:jc w:val="center"/>
    </w:pPr>
    <w:rPr>
      <w:rFonts w:ascii="Times New Roman" w:hAnsi="Times New Roman" w:eastAsia="仿宋_GB2312" w:cs="Times New Roman"/>
      <w:sz w:val="18"/>
      <w:lang w:val="en-US" w:eastAsia="zh-CN" w:bidi="ar-SA"/>
    </w:rPr>
  </w:style>
  <w:style w:type="paragraph" w:customStyle="1" w:styleId="1001">
    <w:name w:val="xl83"/>
    <w:basedOn w:val="1"/>
    <w:autoRedefine/>
    <w:qFormat/>
    <w:uiPriority w:val="0"/>
    <w:pPr>
      <w:widowControl/>
      <w:pBdr>
        <w:top w:val="single" w:color="auto" w:sz="12" w:space="0"/>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02">
    <w:name w:val="style23"/>
    <w:basedOn w:val="1"/>
    <w:autoRedefine/>
    <w:qFormat/>
    <w:uiPriority w:val="0"/>
    <w:pPr>
      <w:widowControl/>
      <w:spacing w:before="100" w:beforeAutospacing="1" w:after="100" w:afterAutospacing="1"/>
      <w:jc w:val="left"/>
    </w:pPr>
    <w:rPr>
      <w:rFonts w:ascii="宋体" w:hAnsi="宋体"/>
      <w:b/>
      <w:bCs/>
      <w:color w:val="990000"/>
      <w:kern w:val="0"/>
    </w:rPr>
  </w:style>
  <w:style w:type="paragraph" w:customStyle="1" w:styleId="1003">
    <w:name w:val="说明书"/>
    <w:basedOn w:val="1"/>
    <w:autoRedefine/>
    <w:qFormat/>
    <w:uiPriority w:val="0"/>
    <w:pPr>
      <w:widowControl/>
      <w:adjustRightInd w:val="0"/>
      <w:spacing w:line="500" w:lineRule="exact"/>
      <w:ind w:firstLine="624"/>
      <w:contextualSpacing/>
      <w:jc w:val="left"/>
      <w:textAlignment w:val="baseline"/>
    </w:pPr>
    <w:rPr>
      <w:rFonts w:ascii="Arial" w:hAnsi="Arial" w:cs="宋体"/>
      <w:kern w:val="0"/>
      <w:sz w:val="28"/>
      <w:szCs w:val="20"/>
    </w:rPr>
  </w:style>
  <w:style w:type="paragraph" w:customStyle="1" w:styleId="1004">
    <w:name w:val="xl194"/>
    <w:basedOn w:val="1"/>
    <w:autoRedefine/>
    <w:qFormat/>
    <w:uiPriority w:val="0"/>
    <w:pPr>
      <w:widowControl/>
      <w:spacing w:before="100" w:beforeAutospacing="1" w:after="100" w:afterAutospacing="1"/>
      <w:jc w:val="center"/>
    </w:pPr>
    <w:rPr>
      <w:kern w:val="0"/>
      <w:sz w:val="16"/>
      <w:szCs w:val="16"/>
    </w:rPr>
  </w:style>
  <w:style w:type="paragraph" w:customStyle="1" w:styleId="1005">
    <w:name w:val="Char Char Char Char Char Char1 Char Char Char Char Char Char Char"/>
    <w:basedOn w:val="1"/>
    <w:autoRedefine/>
    <w:qFormat/>
    <w:uiPriority w:val="0"/>
  </w:style>
  <w:style w:type="paragraph" w:customStyle="1" w:styleId="1006">
    <w:name w:val="样式111"/>
    <w:basedOn w:val="691"/>
    <w:autoRedefine/>
    <w:qFormat/>
    <w:uiPriority w:val="0"/>
    <w:rPr>
      <w:sz w:val="21"/>
    </w:rPr>
  </w:style>
  <w:style w:type="paragraph" w:customStyle="1" w:styleId="1007">
    <w:name w:val="xl138"/>
    <w:basedOn w:val="1"/>
    <w:autoRedefine/>
    <w:qFormat/>
    <w:uiPriority w:val="0"/>
    <w:pPr>
      <w:widowControl/>
      <w:pBdr>
        <w:left w:val="single" w:color="auto" w:sz="4" w:space="0"/>
        <w:bottom w:val="single" w:color="auto" w:sz="8" w:space="0"/>
      </w:pBdr>
      <w:spacing w:before="100" w:beforeAutospacing="1" w:after="100" w:afterAutospacing="1"/>
      <w:jc w:val="center"/>
      <w:textAlignment w:val="center"/>
    </w:pPr>
    <w:rPr>
      <w:kern w:val="0"/>
      <w:sz w:val="12"/>
      <w:szCs w:val="12"/>
    </w:rPr>
  </w:style>
  <w:style w:type="paragraph" w:customStyle="1" w:styleId="1008">
    <w:name w:val="样式11"/>
    <w:basedOn w:val="486"/>
    <w:autoRedefine/>
    <w:qFormat/>
    <w:uiPriority w:val="0"/>
    <w:pPr>
      <w:adjustRightInd w:val="0"/>
      <w:spacing w:line="240" w:lineRule="auto"/>
      <w:textAlignment w:val="baseline"/>
    </w:pPr>
    <w:rPr>
      <w:rFonts w:ascii="仿宋_GB2312" w:eastAsia="仿宋_GB2312"/>
      <w:color w:val="000000"/>
      <w:sz w:val="24"/>
      <w:szCs w:val="24"/>
    </w:rPr>
  </w:style>
  <w:style w:type="paragraph" w:customStyle="1" w:styleId="1009">
    <w:name w:val="dash6b63-6587"/>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010">
    <w:name w:val="font9"/>
    <w:basedOn w:val="1"/>
    <w:autoRedefine/>
    <w:qFormat/>
    <w:uiPriority w:val="0"/>
    <w:pPr>
      <w:widowControl/>
      <w:spacing w:before="100" w:beforeAutospacing="1" w:after="100" w:afterAutospacing="1"/>
      <w:jc w:val="left"/>
    </w:pPr>
    <w:rPr>
      <w:rFonts w:ascii="Arial" w:hAnsi="Arial" w:cs="Arial"/>
      <w:b/>
      <w:bCs/>
      <w:kern w:val="0"/>
      <w:sz w:val="28"/>
      <w:szCs w:val="28"/>
    </w:rPr>
  </w:style>
  <w:style w:type="paragraph" w:customStyle="1" w:styleId="1011">
    <w:name w:val="Char Char Char Char Char Char Char Char Char Char Char Char Char Char Char Char1"/>
    <w:basedOn w:val="1"/>
    <w:autoRedefine/>
    <w:qFormat/>
    <w:uiPriority w:val="0"/>
  </w:style>
  <w:style w:type="paragraph" w:customStyle="1" w:styleId="1012">
    <w:name w:val="xl41"/>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013">
    <w:name w:val="xl137"/>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sz w:val="12"/>
      <w:szCs w:val="12"/>
    </w:rPr>
  </w:style>
  <w:style w:type="paragraph" w:customStyle="1" w:styleId="1014">
    <w:name w:val="title1"/>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015">
    <w:name w:val="表中居中文字"/>
    <w:basedOn w:val="1"/>
    <w:autoRedefine/>
    <w:qFormat/>
    <w:uiPriority w:val="0"/>
    <w:pPr>
      <w:numPr>
        <w:ilvl w:val="3"/>
        <w:numId w:val="11"/>
      </w:numPr>
      <w:tabs>
        <w:tab w:val="clear" w:pos="2249"/>
      </w:tabs>
      <w:ind w:left="0" w:firstLine="0"/>
    </w:pPr>
    <w:rPr>
      <w:rFonts w:ascii="宋体" w:hAnsi="宋体" w:cs="Arial"/>
      <w:bCs/>
      <w:color w:val="FF0000"/>
      <w:sz w:val="24"/>
      <w:szCs w:val="18"/>
    </w:rPr>
  </w:style>
  <w:style w:type="paragraph" w:customStyle="1" w:styleId="1016">
    <w:name w:val="高段文"/>
    <w:basedOn w:val="1"/>
    <w:autoRedefine/>
    <w:qFormat/>
    <w:uiPriority w:val="0"/>
    <w:pPr>
      <w:spacing w:line="300" w:lineRule="auto"/>
      <w:ind w:firstLine="200" w:firstLineChars="200"/>
    </w:pPr>
    <w:rPr>
      <w:rFonts w:ascii="Arial" w:hAnsi="Arial" w:eastAsia="楷体_GB2312"/>
      <w:sz w:val="28"/>
      <w:szCs w:val="28"/>
    </w:rPr>
  </w:style>
  <w:style w:type="paragraph" w:customStyle="1" w:styleId="1017">
    <w:name w:val="6"/>
    <w:basedOn w:val="1"/>
    <w:next w:val="70"/>
    <w:autoRedefine/>
    <w:qFormat/>
    <w:uiPriority w:val="0"/>
    <w:pPr>
      <w:spacing w:after="120" w:line="480" w:lineRule="auto"/>
    </w:pPr>
  </w:style>
  <w:style w:type="paragraph" w:customStyle="1" w:styleId="1018">
    <w:name w:val="封面 名称"/>
    <w:basedOn w:val="998"/>
    <w:next w:val="998"/>
    <w:autoRedefine/>
    <w:qFormat/>
    <w:uiPriority w:val="0"/>
    <w:pPr>
      <w:spacing w:line="640" w:lineRule="exact"/>
    </w:pPr>
    <w:rPr>
      <w:rFonts w:eastAsia="宋体-方正超大字符集"/>
      <w:spacing w:val="40"/>
      <w:sz w:val="44"/>
      <w:szCs w:val="44"/>
    </w:rPr>
  </w:style>
  <w:style w:type="paragraph" w:customStyle="1" w:styleId="1019">
    <w:name w:val="EIA正文"/>
    <w:basedOn w:val="1"/>
    <w:autoRedefine/>
    <w:qFormat/>
    <w:uiPriority w:val="0"/>
    <w:pPr>
      <w:ind w:firstLine="200" w:firstLineChars="200"/>
    </w:pPr>
    <w:rPr>
      <w:color w:val="000000"/>
      <w:sz w:val="24"/>
      <w:szCs w:val="20"/>
    </w:rPr>
  </w:style>
  <w:style w:type="paragraph" w:customStyle="1" w:styleId="1020">
    <w:name w:val="MTDisplayEquation"/>
    <w:basedOn w:val="1"/>
    <w:next w:val="1"/>
    <w:autoRedefine/>
    <w:qFormat/>
    <w:uiPriority w:val="0"/>
    <w:pPr>
      <w:tabs>
        <w:tab w:val="center" w:pos="4540"/>
        <w:tab w:val="right" w:pos="9080"/>
      </w:tabs>
      <w:snapToGrid w:val="0"/>
      <w:spacing w:line="360" w:lineRule="auto"/>
    </w:pPr>
    <w:rPr>
      <w:i/>
    </w:rPr>
  </w:style>
  <w:style w:type="paragraph" w:customStyle="1" w:styleId="1021">
    <w:name w:val="Plain Text1"/>
    <w:basedOn w:val="1"/>
    <w:autoRedefine/>
    <w:qFormat/>
    <w:uiPriority w:val="0"/>
    <w:pPr>
      <w:widowControl/>
      <w:autoSpaceDE w:val="0"/>
      <w:autoSpaceDN w:val="0"/>
      <w:adjustRightInd w:val="0"/>
      <w:contextualSpacing/>
      <w:jc w:val="left"/>
    </w:pPr>
    <w:rPr>
      <w:rFonts w:cs="宋体"/>
      <w:kern w:val="0"/>
      <w:szCs w:val="20"/>
    </w:rPr>
  </w:style>
  <w:style w:type="paragraph" w:customStyle="1" w:styleId="1022">
    <w:name w:val="样式3"/>
    <w:basedOn w:val="1"/>
    <w:autoRedefine/>
    <w:qFormat/>
    <w:uiPriority w:val="0"/>
    <w:pPr>
      <w:widowControl/>
      <w:jc w:val="left"/>
    </w:pPr>
    <w:rPr>
      <w:spacing w:val="-4"/>
      <w:sz w:val="24"/>
    </w:rPr>
  </w:style>
  <w:style w:type="paragraph" w:customStyle="1" w:styleId="1023">
    <w:name w:val="xl188"/>
    <w:basedOn w:val="1"/>
    <w:autoRedefine/>
    <w:qFormat/>
    <w:uiPriority w:val="0"/>
    <w:pPr>
      <w:widowControl/>
      <w:spacing w:before="100" w:beforeAutospacing="1" w:after="100" w:afterAutospacing="1"/>
      <w:jc w:val="left"/>
      <w:textAlignment w:val="center"/>
    </w:pPr>
    <w:rPr>
      <w:kern w:val="0"/>
      <w:sz w:val="12"/>
      <w:szCs w:val="12"/>
    </w:rPr>
  </w:style>
  <w:style w:type="paragraph" w:customStyle="1" w:styleId="1024">
    <w:name w:val="xl183"/>
    <w:basedOn w:val="1"/>
    <w:autoRedefine/>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025">
    <w:name w:val="xl197"/>
    <w:basedOn w:val="1"/>
    <w:autoRedefine/>
    <w:qFormat/>
    <w:uiPriority w:val="0"/>
    <w:pPr>
      <w:widowControl/>
      <w:pBdr>
        <w:left w:val="single" w:color="auto" w:sz="4" w:space="0"/>
        <w:bottom w:val="single" w:color="auto" w:sz="8" w:space="0"/>
        <w:right w:val="single" w:color="auto" w:sz="4" w:space="0"/>
      </w:pBdr>
      <w:spacing w:before="100" w:beforeAutospacing="1" w:after="100" w:afterAutospacing="1"/>
      <w:jc w:val="center"/>
    </w:pPr>
    <w:rPr>
      <w:rFonts w:ascii="Arial Unicode MS" w:hAnsi="Arial Unicode MS"/>
      <w:kern w:val="0"/>
    </w:rPr>
  </w:style>
  <w:style w:type="paragraph" w:customStyle="1" w:styleId="1026">
    <w:name w:val="样式 四号 首行缩进:  2 字符"/>
    <w:basedOn w:val="1"/>
    <w:autoRedefine/>
    <w:qFormat/>
    <w:uiPriority w:val="0"/>
    <w:pPr>
      <w:spacing w:line="480" w:lineRule="atLeast"/>
      <w:ind w:firstLine="200" w:firstLineChars="200"/>
    </w:pPr>
    <w:rPr>
      <w:sz w:val="24"/>
    </w:rPr>
  </w:style>
  <w:style w:type="paragraph" w:customStyle="1" w:styleId="1027">
    <w:name w:val="Char3"/>
    <w:basedOn w:val="1"/>
    <w:autoRedefine/>
    <w:qFormat/>
    <w:uiPriority w:val="0"/>
    <w:pPr>
      <w:spacing w:before="60" w:line="360" w:lineRule="auto"/>
      <w:ind w:firstLine="200" w:firstLineChars="200"/>
    </w:pPr>
    <w:rPr>
      <w:rFonts w:eastAsia="黑体"/>
      <w:sz w:val="30"/>
    </w:rPr>
  </w:style>
  <w:style w:type="paragraph" w:customStyle="1" w:styleId="1028">
    <w:name w:val="unnamed1"/>
    <w:basedOn w:val="1"/>
    <w:autoRedefine/>
    <w:qFormat/>
    <w:uiPriority w:val="0"/>
    <w:pPr>
      <w:widowControl/>
      <w:spacing w:before="100" w:beforeAutospacing="1" w:after="100" w:afterAutospacing="1" w:line="345" w:lineRule="atLeast"/>
      <w:jc w:val="left"/>
    </w:pPr>
    <w:rPr>
      <w:rFonts w:ascii="ˎ̥" w:hAnsi="ˎ̥" w:cs="宋体"/>
      <w:color w:val="000000"/>
      <w:kern w:val="0"/>
      <w:sz w:val="18"/>
      <w:szCs w:val="18"/>
    </w:rPr>
  </w:style>
  <w:style w:type="paragraph" w:customStyle="1" w:styleId="1029">
    <w:name w:val="xl97"/>
    <w:basedOn w:val="1"/>
    <w:autoRedefine/>
    <w:qFormat/>
    <w:uiPriority w:val="0"/>
    <w:pPr>
      <w:widowControl/>
      <w:pBdr>
        <w:top w:val="single" w:color="auto" w:sz="12" w:space="0"/>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30">
    <w:name w:val="00000000000000"/>
    <w:basedOn w:val="1"/>
    <w:autoRedefine/>
    <w:qFormat/>
    <w:uiPriority w:val="0"/>
    <w:pPr>
      <w:adjustRightInd w:val="0"/>
      <w:snapToGrid w:val="0"/>
      <w:spacing w:line="360" w:lineRule="auto"/>
      <w:ind w:firstLine="480" w:firstLineChars="200"/>
    </w:pPr>
    <w:rPr>
      <w:rFonts w:ascii="宋体" w:hAnsi="宋体"/>
      <w:bCs/>
      <w:kern w:val="18"/>
      <w:sz w:val="24"/>
    </w:rPr>
  </w:style>
  <w:style w:type="paragraph" w:customStyle="1" w:styleId="1031">
    <w:name w:val="五号 居中"/>
    <w:basedOn w:val="1"/>
    <w:autoRedefine/>
    <w:qFormat/>
    <w:uiPriority w:val="0"/>
    <w:pPr>
      <w:snapToGrid w:val="0"/>
      <w:spacing w:line="500" w:lineRule="exact"/>
      <w:jc w:val="center"/>
    </w:pPr>
    <w:rPr>
      <w:rFonts w:cs="宋体"/>
      <w:kern w:val="0"/>
      <w:szCs w:val="20"/>
    </w:rPr>
  </w:style>
  <w:style w:type="paragraph" w:customStyle="1" w:styleId="1032">
    <w:name w:val="xl114"/>
    <w:basedOn w:val="1"/>
    <w:autoRedefine/>
    <w:qFormat/>
    <w:uiPriority w:val="0"/>
    <w:pPr>
      <w:widowControl/>
      <w:pBdr>
        <w:left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033">
    <w:name w:val="xl93"/>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034">
    <w:name w:val="样式 标题 21.1标题 21.1标题2标题 2 Char1节_Heading 2标2 + 段前: 0.5 行..."/>
    <w:basedOn w:val="4"/>
    <w:autoRedefine/>
    <w:qFormat/>
    <w:uiPriority w:val="0"/>
    <w:pPr>
      <w:keepNext w:val="0"/>
      <w:adjustRightInd w:val="0"/>
      <w:snapToGrid w:val="0"/>
      <w:spacing w:before="120" w:beforeLines="50" w:after="120" w:afterLines="50" w:line="240" w:lineRule="auto"/>
      <w:ind w:left="576" w:hanging="576"/>
      <w:contextualSpacing/>
      <w:jc w:val="left"/>
    </w:pPr>
    <w:rPr>
      <w:rFonts w:ascii="宋体" w:hAnsi="宋体" w:eastAsia="宋体" w:cs="宋体"/>
      <w:bCs w:val="0"/>
      <w:color w:val="000000"/>
      <w:sz w:val="24"/>
      <w:szCs w:val="20"/>
    </w:rPr>
  </w:style>
  <w:style w:type="paragraph" w:customStyle="1" w:styleId="1035">
    <w:name w:val="样式 样式 首行缩进:  2 字符1 + 首行缩进:  2 字符"/>
    <w:basedOn w:val="1"/>
    <w:autoRedefine/>
    <w:qFormat/>
    <w:uiPriority w:val="0"/>
    <w:pPr>
      <w:adjustRightInd w:val="0"/>
      <w:spacing w:line="360" w:lineRule="auto"/>
      <w:ind w:firstLine="519" w:firstLineChars="200"/>
    </w:pPr>
    <w:rPr>
      <w:rFonts w:cs="宋体"/>
      <w:snapToGrid w:val="0"/>
      <w:kern w:val="0"/>
      <w:sz w:val="28"/>
      <w:szCs w:val="28"/>
    </w:rPr>
  </w:style>
  <w:style w:type="paragraph" w:customStyle="1" w:styleId="1036">
    <w:name w:val="Char Char1 Char"/>
    <w:basedOn w:val="1"/>
    <w:autoRedefine/>
    <w:qFormat/>
    <w:uiPriority w:val="0"/>
    <w:pPr>
      <w:spacing w:line="360" w:lineRule="auto"/>
      <w:ind w:firstLine="200" w:firstLineChars="200"/>
    </w:pPr>
  </w:style>
  <w:style w:type="paragraph" w:customStyle="1" w:styleId="1037">
    <w:name w:val="xl65"/>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038">
    <w:name w:val="xl147"/>
    <w:basedOn w:val="1"/>
    <w:autoRedefine/>
    <w:qFormat/>
    <w:uiPriority w:val="0"/>
    <w:pPr>
      <w:widowControl/>
      <w:spacing w:before="100" w:beforeAutospacing="1" w:after="100" w:afterAutospacing="1"/>
      <w:jc w:val="center"/>
    </w:pPr>
    <w:rPr>
      <w:rFonts w:ascii="Arial Unicode MS" w:hAnsi="Arial Unicode MS"/>
      <w:kern w:val="0"/>
    </w:rPr>
  </w:style>
  <w:style w:type="paragraph" w:customStyle="1" w:styleId="1039">
    <w:name w:val="图框"/>
    <w:basedOn w:val="1"/>
    <w:autoRedefine/>
    <w:qFormat/>
    <w:uiPriority w:val="0"/>
    <w:pPr>
      <w:jc w:val="center"/>
    </w:pPr>
    <w:rPr>
      <w:szCs w:val="15"/>
    </w:rPr>
  </w:style>
  <w:style w:type="paragraph" w:customStyle="1" w:styleId="1040">
    <w:name w:val="xl63"/>
    <w:basedOn w:val="1"/>
    <w:autoRedefine/>
    <w:qFormat/>
    <w:uiPriority w:val="0"/>
    <w:pPr>
      <w:widowControl/>
      <w:spacing w:before="100" w:after="100"/>
      <w:jc w:val="center"/>
      <w:textAlignment w:val="center"/>
    </w:pPr>
    <w:rPr>
      <w:rFonts w:hint="eastAsia" w:ascii="黑体" w:hAnsi="宋体" w:eastAsia="黑体"/>
      <w:kern w:val="0"/>
      <w:sz w:val="24"/>
      <w:szCs w:val="20"/>
    </w:rPr>
  </w:style>
  <w:style w:type="paragraph" w:customStyle="1" w:styleId="1041">
    <w:name w:val="样式1"/>
    <w:basedOn w:val="7"/>
    <w:autoRedefine/>
    <w:qFormat/>
    <w:uiPriority w:val="0"/>
    <w:pPr>
      <w:keepNext w:val="0"/>
      <w:keepLines w:val="0"/>
      <w:tabs>
        <w:tab w:val="clear" w:pos="1008"/>
      </w:tabs>
      <w:spacing w:before="0" w:after="0" w:line="360" w:lineRule="exact"/>
      <w:ind w:left="0" w:firstLine="0"/>
      <w:jc w:val="center"/>
      <w:outlineLvl w:val="9"/>
    </w:pPr>
    <w:rPr>
      <w:rFonts w:ascii="宋体" w:hAnsi="宋体"/>
      <w:b w:val="0"/>
      <w:sz w:val="18"/>
      <w:szCs w:val="21"/>
    </w:rPr>
  </w:style>
  <w:style w:type="paragraph" w:styleId="1042">
    <w:name w:val="List Paragraph"/>
    <w:basedOn w:val="1"/>
    <w:autoRedefine/>
    <w:qFormat/>
    <w:uiPriority w:val="34"/>
    <w:pPr>
      <w:ind w:firstLine="420" w:firstLineChars="200"/>
    </w:pPr>
    <w:rPr>
      <w:szCs w:val="20"/>
    </w:rPr>
  </w:style>
  <w:style w:type="paragraph" w:customStyle="1" w:styleId="1043">
    <w:name w:val="xl101"/>
    <w:basedOn w:val="1"/>
    <w:autoRedefine/>
    <w:qFormat/>
    <w:uiPriority w:val="0"/>
    <w:pPr>
      <w:widowControl/>
      <w:pBdr>
        <w:left w:val="single" w:color="auto" w:sz="4" w:space="0"/>
        <w:right w:val="single" w:color="auto" w:sz="12"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044">
    <w:name w:val="纯文本 + Times New Roman"/>
    <w:basedOn w:val="43"/>
    <w:autoRedefine/>
    <w:qFormat/>
    <w:uiPriority w:val="0"/>
    <w:pPr>
      <w:pBdr>
        <w:bottom w:val="single" w:color="auto" w:sz="6" w:space="1"/>
      </w:pBdr>
      <w:jc w:val="center"/>
    </w:pPr>
    <w:rPr>
      <w:rFonts w:ascii="Times New Roman" w:hAnsi="Times New Roman" w:cs="Times New Roman"/>
    </w:rPr>
  </w:style>
  <w:style w:type="paragraph" w:customStyle="1" w:styleId="1045">
    <w:name w:val="font12"/>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1046">
    <w:name w:val="xl40"/>
    <w:basedOn w:val="1"/>
    <w:autoRedefine/>
    <w:qFormat/>
    <w:uiPriority w:val="0"/>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1047">
    <w:name w:val="xl150"/>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048">
    <w:name w:val="main"/>
    <w:basedOn w:val="1"/>
    <w:autoRedefine/>
    <w:qFormat/>
    <w:uiPriority w:val="0"/>
    <w:pPr>
      <w:widowControl/>
      <w:spacing w:before="100" w:beforeAutospacing="1" w:after="100" w:afterAutospacing="1"/>
      <w:jc w:val="left"/>
    </w:pPr>
    <w:rPr>
      <w:rFonts w:ascii="宋体" w:hAnsi="宋体" w:cs="宋体"/>
      <w:color w:val="000000"/>
      <w:kern w:val="0"/>
      <w:sz w:val="24"/>
    </w:rPr>
  </w:style>
  <w:style w:type="paragraph" w:customStyle="1" w:styleId="1049">
    <w:name w:val="工艺1"/>
    <w:basedOn w:val="1"/>
    <w:autoRedefine/>
    <w:qFormat/>
    <w:uiPriority w:val="0"/>
    <w:pPr>
      <w:adjustRightInd w:val="0"/>
      <w:snapToGrid w:val="0"/>
      <w:spacing w:line="360" w:lineRule="auto"/>
    </w:pPr>
    <w:rPr>
      <w:rFonts w:hint="eastAsia" w:ascii="宋体"/>
      <w:b/>
      <w:sz w:val="28"/>
      <w:szCs w:val="20"/>
    </w:rPr>
  </w:style>
  <w:style w:type="paragraph" w:customStyle="1" w:styleId="1050">
    <w:name w:val="默认段落字体 Para Char Char Char Char Char Char Char Char Char Char Char Char Char"/>
    <w:basedOn w:val="1"/>
    <w:autoRedefine/>
    <w:qFormat/>
    <w:uiPriority w:val="0"/>
  </w:style>
  <w:style w:type="paragraph" w:customStyle="1" w:styleId="1051">
    <w:name w:val="图注"/>
    <w:basedOn w:val="1"/>
    <w:next w:val="1"/>
    <w:autoRedefine/>
    <w:qFormat/>
    <w:uiPriority w:val="0"/>
    <w:pPr>
      <w:spacing w:before="120" w:line="320" w:lineRule="atLeast"/>
      <w:ind w:left="7" w:leftChars="-27" w:hanging="72" w:hangingChars="30"/>
      <w:jc w:val="center"/>
    </w:pPr>
    <w:rPr>
      <w:rFonts w:ascii="宋体" w:hAnsi="宋体"/>
      <w:bCs/>
      <w:color w:val="000000"/>
      <w:kern w:val="0"/>
      <w:sz w:val="24"/>
    </w:rPr>
  </w:style>
  <w:style w:type="paragraph" w:customStyle="1" w:styleId="1052">
    <w:name w:val="表格文字-居中"/>
    <w:basedOn w:val="1"/>
    <w:next w:val="1"/>
    <w:autoRedefine/>
    <w:qFormat/>
    <w:uiPriority w:val="0"/>
    <w:pPr>
      <w:jc w:val="center"/>
    </w:pPr>
    <w:rPr>
      <w:rFonts w:ascii="宋体"/>
      <w:sz w:val="24"/>
    </w:rPr>
  </w:style>
  <w:style w:type="paragraph" w:customStyle="1" w:styleId="1053">
    <w:name w:val="报告标题2"/>
    <w:basedOn w:val="4"/>
    <w:autoRedefine/>
    <w:qFormat/>
    <w:uiPriority w:val="0"/>
    <w:pPr>
      <w:tabs>
        <w:tab w:val="left" w:pos="840"/>
      </w:tabs>
      <w:spacing w:line="360" w:lineRule="auto"/>
      <w:ind w:left="840"/>
    </w:pPr>
    <w:rPr>
      <w:rFonts w:ascii="Times New Roman" w:hAnsi="Times New Roman" w:eastAsia="宋体"/>
      <w:kern w:val="0"/>
    </w:rPr>
  </w:style>
  <w:style w:type="paragraph" w:customStyle="1" w:styleId="1054">
    <w:name w:val="xl72"/>
    <w:basedOn w:val="1"/>
    <w:autoRedefine/>
    <w:qFormat/>
    <w:uiPriority w:val="0"/>
    <w:pPr>
      <w:widowControl/>
      <w:spacing w:before="100" w:beforeAutospacing="1" w:after="100" w:afterAutospacing="1"/>
      <w:jc w:val="left"/>
    </w:pPr>
    <w:rPr>
      <w:rFonts w:ascii="宋体" w:hAnsi="宋体"/>
      <w:b/>
      <w:bCs/>
      <w:kern w:val="0"/>
      <w:sz w:val="24"/>
    </w:rPr>
  </w:style>
  <w:style w:type="paragraph" w:customStyle="1" w:styleId="1055">
    <w:name w:val="表格内容 + 左对齐"/>
    <w:basedOn w:val="324"/>
    <w:autoRedefine/>
    <w:qFormat/>
    <w:uiPriority w:val="0"/>
    <w:rPr>
      <w:rFonts w:cs="宋体"/>
      <w:szCs w:val="20"/>
    </w:rPr>
  </w:style>
  <w:style w:type="paragraph" w:customStyle="1" w:styleId="1056">
    <w:name w:val="样式 四号 首行缩进:  2 字符 段前: 5 磅 段后: 5 磅 行距: 单倍行距"/>
    <w:basedOn w:val="1"/>
    <w:autoRedefine/>
    <w:qFormat/>
    <w:uiPriority w:val="0"/>
    <w:pPr>
      <w:spacing w:before="100" w:beforeAutospacing="1" w:after="100" w:afterAutospacing="1"/>
      <w:ind w:firstLine="200" w:firstLineChars="200"/>
    </w:pPr>
    <w:rPr>
      <w:rFonts w:cs="宋体"/>
      <w:sz w:val="28"/>
      <w:szCs w:val="20"/>
    </w:rPr>
  </w:style>
  <w:style w:type="paragraph" w:customStyle="1" w:styleId="1057">
    <w:name w:val="xl37"/>
    <w:basedOn w:val="1"/>
    <w:autoRedefine/>
    <w:qFormat/>
    <w:uiPriority w:val="0"/>
    <w:pPr>
      <w:widowControl/>
      <w:spacing w:before="100" w:beforeAutospacing="1" w:after="100" w:afterAutospacing="1"/>
      <w:jc w:val="left"/>
    </w:pPr>
    <w:rPr>
      <w:rFonts w:ascii="Arial" w:hAnsi="Arial" w:cs="Arial"/>
      <w:kern w:val="0"/>
      <w:sz w:val="24"/>
    </w:rPr>
  </w:style>
  <w:style w:type="paragraph" w:customStyle="1" w:styleId="1058">
    <w:name w:val="xl70"/>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1059">
    <w:name w:val="样式36"/>
    <w:basedOn w:val="1060"/>
    <w:autoRedefine/>
    <w:qFormat/>
    <w:uiPriority w:val="0"/>
    <w:pPr>
      <w:tabs>
        <w:tab w:val="left" w:pos="540"/>
        <w:tab w:val="left" w:pos="5250"/>
      </w:tabs>
      <w:ind w:firstLine="554" w:firstLineChars="198"/>
    </w:pPr>
    <w:rPr>
      <w:bCs w:val="0"/>
      <w:szCs w:val="28"/>
    </w:rPr>
  </w:style>
  <w:style w:type="paragraph" w:customStyle="1" w:styleId="1060">
    <w:name w:val="样式29"/>
    <w:basedOn w:val="1"/>
    <w:autoRedefine/>
    <w:qFormat/>
    <w:uiPriority w:val="0"/>
    <w:pPr>
      <w:tabs>
        <w:tab w:val="left" w:pos="540"/>
      </w:tabs>
      <w:ind w:firstLine="560" w:firstLineChars="200"/>
    </w:pPr>
    <w:rPr>
      <w:rFonts w:ascii="宋体" w:hAnsi="宋体"/>
      <w:bCs/>
      <w:color w:val="000000"/>
      <w:sz w:val="28"/>
    </w:rPr>
  </w:style>
  <w:style w:type="paragraph" w:customStyle="1" w:styleId="1061">
    <w:name w:val="宏福4"/>
    <w:basedOn w:val="1"/>
    <w:autoRedefine/>
    <w:qFormat/>
    <w:uiPriority w:val="0"/>
    <w:pPr>
      <w:adjustRightInd w:val="0"/>
      <w:spacing w:line="400" w:lineRule="atLeast"/>
      <w:ind w:firstLine="567"/>
      <w:jc w:val="left"/>
      <w:textAlignment w:val="baseline"/>
    </w:pPr>
    <w:rPr>
      <w:sz w:val="28"/>
      <w:szCs w:val="28"/>
    </w:rPr>
  </w:style>
  <w:style w:type="paragraph" w:customStyle="1" w:styleId="1062">
    <w:name w:val="样式 调研标题2 + 非加粗"/>
    <w:basedOn w:val="1"/>
    <w:autoRedefine/>
    <w:qFormat/>
    <w:uiPriority w:val="0"/>
    <w:pPr>
      <w:keepNext/>
      <w:keepLines/>
      <w:snapToGrid w:val="0"/>
      <w:spacing w:before="240" w:after="120" w:line="360" w:lineRule="exact"/>
      <w:outlineLvl w:val="1"/>
    </w:pPr>
    <w:rPr>
      <w:rFonts w:ascii="Arial" w:hAnsi="Arial" w:cs="宋体"/>
      <w:b/>
      <w:bCs/>
      <w:color w:val="000000"/>
      <w:sz w:val="28"/>
      <w:szCs w:val="32"/>
    </w:rPr>
  </w:style>
  <w:style w:type="paragraph" w:customStyle="1" w:styleId="1063">
    <w:name w:val="style2"/>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064">
    <w:name w:val="1.1.1.1"/>
    <w:basedOn w:val="1"/>
    <w:autoRedefine/>
    <w:qFormat/>
    <w:uiPriority w:val="0"/>
    <w:pPr>
      <w:spacing w:line="600" w:lineRule="exact"/>
      <w:outlineLvl w:val="0"/>
    </w:pPr>
    <w:rPr>
      <w:rFonts w:ascii="黑体" w:eastAsia="黑体"/>
      <w:sz w:val="24"/>
    </w:rPr>
  </w:style>
  <w:style w:type="paragraph" w:customStyle="1" w:styleId="1065">
    <w:name w:val="xl155"/>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1066">
    <w:name w:val="封面标准号1"/>
    <w:autoRedefine/>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sz w:val="28"/>
      <w:lang w:val="en-US" w:eastAsia="zh-CN" w:bidi="ar-SA"/>
    </w:rPr>
  </w:style>
  <w:style w:type="paragraph" w:customStyle="1" w:styleId="1067">
    <w:name w:val="font15"/>
    <w:basedOn w:val="1"/>
    <w:autoRedefine/>
    <w:qFormat/>
    <w:uiPriority w:val="0"/>
    <w:pPr>
      <w:widowControl/>
      <w:spacing w:before="100" w:beforeAutospacing="1" w:after="100" w:afterAutospacing="1"/>
      <w:jc w:val="left"/>
    </w:pPr>
    <w:rPr>
      <w:rFonts w:ascii="Tahoma" w:hAnsi="Tahoma" w:cs="Tahoma"/>
      <w:b/>
      <w:bCs/>
      <w:color w:val="000000"/>
      <w:kern w:val="0"/>
      <w:sz w:val="16"/>
      <w:szCs w:val="16"/>
    </w:rPr>
  </w:style>
  <w:style w:type="paragraph" w:customStyle="1" w:styleId="1068">
    <w:name w:val="Char6"/>
    <w:basedOn w:val="1"/>
    <w:autoRedefine/>
    <w:qFormat/>
    <w:uiPriority w:val="0"/>
  </w:style>
  <w:style w:type="paragraph" w:customStyle="1" w:styleId="1069">
    <w:name w:val=".66l.66l"/>
    <w:basedOn w:val="1"/>
    <w:autoRedefine/>
    <w:semiHidden/>
    <w:qFormat/>
    <w:uiPriority w:val="0"/>
    <w:pPr>
      <w:autoSpaceDE w:val="0"/>
      <w:autoSpaceDN w:val="0"/>
      <w:adjustRightInd w:val="0"/>
      <w:spacing w:line="312" w:lineRule="atLeast"/>
      <w:ind w:firstLine="570"/>
      <w:textAlignment w:val="baseline"/>
    </w:pPr>
    <w:rPr>
      <w:rFonts w:ascii="宋体"/>
      <w:kern w:val="0"/>
      <w:sz w:val="28"/>
      <w:szCs w:val="20"/>
    </w:rPr>
  </w:style>
  <w:style w:type="paragraph" w:customStyle="1" w:styleId="1070">
    <w:name w:val="环表头"/>
    <w:basedOn w:val="1"/>
    <w:autoRedefine/>
    <w:qFormat/>
    <w:uiPriority w:val="0"/>
    <w:pPr>
      <w:widowControl/>
      <w:tabs>
        <w:tab w:val="left" w:pos="0"/>
      </w:tabs>
      <w:adjustRightInd w:val="0"/>
      <w:spacing w:beforeLines="50" w:afterLines="50" w:line="400" w:lineRule="exact"/>
      <w:ind w:right="-266"/>
      <w:jc w:val="center"/>
      <w:textAlignment w:val="baseline"/>
    </w:pPr>
    <w:rPr>
      <w:rFonts w:ascii="宋体" w:hAnsi="宋体"/>
      <w:b/>
      <w:kern w:val="0"/>
      <w:sz w:val="24"/>
    </w:rPr>
  </w:style>
  <w:style w:type="paragraph" w:customStyle="1" w:styleId="1071">
    <w:name w:val="Char Char Char Char Char Char Char Char Char Char Char Char Char2"/>
    <w:basedOn w:val="1"/>
    <w:autoRedefine/>
    <w:qFormat/>
    <w:uiPriority w:val="0"/>
    <w:pPr>
      <w:spacing w:line="360" w:lineRule="auto"/>
      <w:ind w:firstLine="200" w:firstLineChars="200"/>
    </w:pPr>
    <w:rPr>
      <w:rFonts w:ascii="宋体" w:hAnsi="宋体" w:cs="宋体"/>
      <w:sz w:val="24"/>
    </w:rPr>
  </w:style>
  <w:style w:type="paragraph" w:customStyle="1" w:styleId="1072">
    <w:name w:val="xl84"/>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73">
    <w:name w:val="样式 标题 1 + 首行缩进:  2.5 字符"/>
    <w:basedOn w:val="3"/>
    <w:autoRedefine/>
    <w:qFormat/>
    <w:uiPriority w:val="0"/>
    <w:pPr>
      <w:keepNext w:val="0"/>
      <w:tabs>
        <w:tab w:val="left" w:pos="390"/>
      </w:tabs>
      <w:overflowPunct/>
      <w:snapToGrid/>
      <w:spacing w:before="100" w:after="100" w:line="240" w:lineRule="auto"/>
      <w:ind w:left="390" w:hanging="390" w:firstLineChars="200"/>
    </w:pPr>
    <w:rPr>
      <w:rFonts w:ascii="Calibri" w:hAnsi="Calibri" w:eastAsia="楷体_GB2312"/>
      <w:color w:val="auto"/>
      <w:sz w:val="28"/>
      <w:szCs w:val="28"/>
    </w:rPr>
  </w:style>
  <w:style w:type="paragraph" w:customStyle="1" w:styleId="1074">
    <w:name w:val="xl64"/>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075">
    <w:name w:val="xl94"/>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76">
    <w:name w:val="unnamed2"/>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077">
    <w:name w:val="封面正文"/>
    <w:autoRedefine/>
    <w:qFormat/>
    <w:uiPriority w:val="0"/>
    <w:pPr>
      <w:jc w:val="both"/>
    </w:pPr>
    <w:rPr>
      <w:rFonts w:ascii="Times New Roman" w:hAnsi="Times New Roman" w:eastAsia="宋体" w:cs="Times New Roman"/>
      <w:lang w:val="en-US" w:eastAsia="zh-CN" w:bidi="ar-SA"/>
    </w:rPr>
  </w:style>
  <w:style w:type="paragraph" w:customStyle="1" w:styleId="1078">
    <w:name w:val="样式 样式 样式 标题 3东明_小节H3条标题1.1.1二级节名h33rd level3l3CTHeading 3 - ... ..."/>
    <w:basedOn w:val="774"/>
    <w:autoRedefine/>
    <w:qFormat/>
    <w:uiPriority w:val="0"/>
    <w:pPr>
      <w:spacing w:after="0"/>
    </w:pPr>
  </w:style>
  <w:style w:type="paragraph" w:customStyle="1" w:styleId="1079">
    <w:name w:val="样式 标题 4 + 黑色 左侧:  -0.01 厘米 首行缩进:  0.01 厘米"/>
    <w:basedOn w:val="6"/>
    <w:autoRedefine/>
    <w:qFormat/>
    <w:uiPriority w:val="0"/>
    <w:pPr>
      <w:tabs>
        <w:tab w:val="left" w:pos="1080"/>
        <w:tab w:val="left" w:pos="1680"/>
      </w:tabs>
      <w:spacing w:before="0" w:beforeLines="50" w:after="0" w:line="312" w:lineRule="auto"/>
      <w:ind w:left="864" w:hanging="864" w:firstLineChars="250"/>
      <w:jc w:val="left"/>
    </w:pPr>
    <w:rPr>
      <w:rFonts w:ascii="仿宋_GB2312" w:hAnsi="Arial" w:eastAsia="仿宋_GB2312" w:cs="宋体"/>
      <w:b w:val="0"/>
      <w:bCs w:val="0"/>
      <w:color w:val="000000"/>
      <w:szCs w:val="20"/>
    </w:rPr>
  </w:style>
  <w:style w:type="paragraph" w:customStyle="1" w:styleId="1080">
    <w:name w:val="徐正文"/>
    <w:basedOn w:val="1"/>
    <w:autoRedefine/>
    <w:qFormat/>
    <w:uiPriority w:val="0"/>
    <w:pPr>
      <w:adjustRightInd w:val="0"/>
      <w:snapToGrid w:val="0"/>
      <w:spacing w:line="500" w:lineRule="atLeast"/>
      <w:ind w:firstLine="200" w:firstLineChars="200"/>
    </w:pPr>
    <w:rPr>
      <w:rFonts w:ascii="宋体" w:hAnsi="宋体"/>
      <w:bCs/>
      <w:sz w:val="24"/>
    </w:rPr>
  </w:style>
  <w:style w:type="paragraph" w:customStyle="1" w:styleId="1081">
    <w:name w:val="样式110"/>
    <w:basedOn w:val="1082"/>
    <w:autoRedefine/>
    <w:qFormat/>
    <w:uiPriority w:val="0"/>
    <w:pPr>
      <w:adjustRightInd w:val="0"/>
    </w:pPr>
  </w:style>
  <w:style w:type="paragraph" w:customStyle="1" w:styleId="1082">
    <w:name w:val="图框文字"/>
    <w:basedOn w:val="1"/>
    <w:autoRedefine/>
    <w:qFormat/>
    <w:uiPriority w:val="0"/>
    <w:pPr>
      <w:jc w:val="center"/>
      <w:textAlignment w:val="center"/>
    </w:pPr>
  </w:style>
  <w:style w:type="paragraph" w:customStyle="1" w:styleId="1083">
    <w:name w:val="xl86"/>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084">
    <w:name w:val="xl189"/>
    <w:basedOn w:val="1"/>
    <w:autoRedefine/>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1085">
    <w:name w:val="xl74"/>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086">
    <w:name w:val="font8"/>
    <w:basedOn w:val="1"/>
    <w:autoRedefine/>
    <w:qFormat/>
    <w:uiPriority w:val="0"/>
    <w:pPr>
      <w:widowControl/>
      <w:spacing w:before="100" w:beforeAutospacing="1" w:after="100" w:afterAutospacing="1"/>
      <w:jc w:val="left"/>
    </w:pPr>
    <w:rPr>
      <w:rFonts w:ascii="Arial" w:hAnsi="Arial" w:cs="Arial"/>
      <w:b/>
      <w:bCs/>
      <w:kern w:val="0"/>
      <w:sz w:val="24"/>
    </w:rPr>
  </w:style>
  <w:style w:type="paragraph" w:customStyle="1" w:styleId="1087">
    <w:name w:val="Char1 Char Char Char Char Char Char"/>
    <w:basedOn w:val="1"/>
    <w:autoRedefine/>
    <w:qFormat/>
    <w:uiPriority w:val="0"/>
    <w:pPr>
      <w:widowControl/>
      <w:contextualSpacing/>
      <w:jc w:val="left"/>
    </w:pPr>
    <w:rPr>
      <w:rFonts w:cs="宋体"/>
      <w:kern w:val="0"/>
    </w:rPr>
  </w:style>
  <w:style w:type="paragraph" w:customStyle="1" w:styleId="1088">
    <w:name w:val="xl185"/>
    <w:basedOn w:val="1"/>
    <w:autoRedefine/>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89">
    <w:name w:val="表格文字-左对齐"/>
    <w:basedOn w:val="1"/>
    <w:next w:val="1"/>
    <w:autoRedefine/>
    <w:qFormat/>
    <w:uiPriority w:val="0"/>
    <w:rPr>
      <w:rFonts w:ascii="宋体"/>
      <w:sz w:val="24"/>
    </w:rPr>
  </w:style>
  <w:style w:type="paragraph" w:customStyle="1" w:styleId="1090">
    <w:name w:val="目录1"/>
    <w:basedOn w:val="55"/>
    <w:autoRedefine/>
    <w:qFormat/>
    <w:uiPriority w:val="0"/>
    <w:pPr>
      <w:keepNext/>
      <w:widowControl/>
      <w:tabs>
        <w:tab w:val="right" w:leader="dot" w:pos="8160"/>
        <w:tab w:val="right" w:leader="dot" w:pos="8280"/>
        <w:tab w:val="right" w:leader="dot" w:pos="8820"/>
      </w:tabs>
      <w:snapToGrid/>
      <w:spacing w:beforeLines="50" w:afterLines="50" w:line="480" w:lineRule="exact"/>
    </w:pPr>
    <w:rPr>
      <w:rFonts w:ascii="宋体" w:hAnsi="宋体"/>
      <w:b w:val="0"/>
      <w:bCs w:val="0"/>
      <w:kern w:val="0"/>
      <w:sz w:val="30"/>
      <w:szCs w:val="24"/>
      <w:lang w:val="zh-CN" w:bidi="en-US"/>
    </w:rPr>
  </w:style>
  <w:style w:type="paragraph" w:customStyle="1" w:styleId="1091">
    <w:name w:val="默认段落字体 Para Char"/>
    <w:basedOn w:val="1"/>
    <w:next w:val="1"/>
    <w:autoRedefine/>
    <w:qFormat/>
    <w:uiPriority w:val="0"/>
    <w:pPr>
      <w:spacing w:line="360" w:lineRule="auto"/>
      <w:ind w:firstLine="200" w:firstLineChars="200"/>
    </w:pPr>
    <w:rPr>
      <w:rFonts w:ascii="宋体" w:hAnsi="宋体" w:cs="宋体"/>
      <w:sz w:val="24"/>
    </w:rPr>
  </w:style>
  <w:style w:type="paragraph" w:customStyle="1" w:styleId="1092">
    <w:name w:val="菏泽-标题 3"/>
    <w:basedOn w:val="1"/>
    <w:next w:val="1"/>
    <w:autoRedefine/>
    <w:qFormat/>
    <w:uiPriority w:val="0"/>
    <w:pPr>
      <w:keepNext/>
      <w:keepLines/>
      <w:overflowPunct w:val="0"/>
      <w:snapToGrid w:val="0"/>
      <w:spacing w:line="440" w:lineRule="exact"/>
      <w:ind w:firstLine="359" w:firstLineChars="128"/>
      <w:outlineLvl w:val="2"/>
    </w:pPr>
    <w:rPr>
      <w:rFonts w:ascii="华文细黑" w:hAnsi="华文细黑" w:eastAsia="华文细黑"/>
      <w:b/>
      <w:sz w:val="28"/>
      <w:szCs w:val="28"/>
    </w:rPr>
  </w:style>
  <w:style w:type="paragraph" w:customStyle="1" w:styleId="1093">
    <w:name w:val="xl171"/>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1094">
    <w:name w:val="heading"/>
    <w:basedOn w:val="1"/>
    <w:next w:val="1"/>
    <w:autoRedefine/>
    <w:qFormat/>
    <w:uiPriority w:val="0"/>
    <w:pPr>
      <w:keepNext/>
      <w:keepLines/>
      <w:tabs>
        <w:tab w:val="left" w:pos="576"/>
      </w:tabs>
      <w:spacing w:line="360" w:lineRule="auto"/>
      <w:ind w:left="576"/>
      <w:outlineLvl w:val="1"/>
    </w:pPr>
    <w:rPr>
      <w:rFonts w:ascii="宋体" w:hAnsi="Arial Black" w:cs="宋体"/>
      <w:sz w:val="24"/>
    </w:rPr>
  </w:style>
  <w:style w:type="paragraph" w:customStyle="1" w:styleId="1095">
    <w:name w:val="页脚2"/>
    <w:basedOn w:val="51"/>
    <w:autoRedefine/>
    <w:qFormat/>
    <w:uiPriority w:val="0"/>
    <w:pPr>
      <w:pBdr>
        <w:top w:val="single" w:color="auto" w:sz="4" w:space="1"/>
      </w:pBdr>
      <w:wordWrap w:val="0"/>
      <w:snapToGrid/>
      <w:ind w:right="190"/>
      <w:jc w:val="right"/>
    </w:pPr>
    <w:rPr>
      <w:rFonts w:ascii="宋体" w:hAnsi="宋体"/>
      <w:kern w:val="2"/>
      <w:szCs w:val="18"/>
    </w:rPr>
  </w:style>
  <w:style w:type="paragraph" w:customStyle="1" w:styleId="1096">
    <w:name w:val="甲乙酮2"/>
    <w:basedOn w:val="393"/>
    <w:next w:val="1"/>
    <w:autoRedefine/>
    <w:qFormat/>
    <w:uiPriority w:val="0"/>
  </w:style>
  <w:style w:type="paragraph" w:customStyle="1" w:styleId="1097">
    <w:name w:val="xl182"/>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kern w:val="0"/>
      <w:sz w:val="16"/>
      <w:szCs w:val="16"/>
    </w:rPr>
  </w:style>
  <w:style w:type="paragraph" w:customStyle="1" w:styleId="1098">
    <w:name w:val="表格式"/>
    <w:basedOn w:val="62"/>
    <w:autoRedefine/>
    <w:qFormat/>
    <w:uiPriority w:val="0"/>
    <w:pPr>
      <w:snapToGrid/>
      <w:spacing w:line="340" w:lineRule="exact"/>
      <w:jc w:val="center"/>
    </w:pPr>
    <w:rPr>
      <w:rFonts w:ascii="Courier New" w:hAnsi="Courier New"/>
    </w:rPr>
  </w:style>
  <w:style w:type="paragraph" w:customStyle="1" w:styleId="1099">
    <w:name w:val="xl68"/>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1100">
    <w:name w:val="xl119"/>
    <w:basedOn w:val="1"/>
    <w:autoRedefine/>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1101">
    <w:name w:val="Char1 Char Char Char Char Char Char Char Char Char"/>
    <w:basedOn w:val="1"/>
    <w:autoRedefine/>
    <w:qFormat/>
    <w:uiPriority w:val="0"/>
    <w:rPr>
      <w:sz w:val="24"/>
    </w:rPr>
  </w:style>
  <w:style w:type="paragraph" w:customStyle="1" w:styleId="1102">
    <w:name w:val="xl136"/>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1103">
    <w:name w:val="Char Char Char Char Char Char1 Char Char Char Char"/>
    <w:basedOn w:val="1"/>
    <w:autoRedefine/>
    <w:qFormat/>
    <w:uiPriority w:val="0"/>
    <w:rPr>
      <w:sz w:val="24"/>
    </w:rPr>
  </w:style>
  <w:style w:type="paragraph" w:customStyle="1" w:styleId="1104">
    <w:name w:val="xl39"/>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105">
    <w:name w:val="节标题"/>
    <w:basedOn w:val="1"/>
    <w:next w:val="1"/>
    <w:autoRedefine/>
    <w:qFormat/>
    <w:uiPriority w:val="0"/>
    <w:pPr>
      <w:widowControl/>
      <w:spacing w:line="578" w:lineRule="atLeast"/>
      <w:jc w:val="center"/>
      <w:textAlignment w:val="baseline"/>
    </w:pPr>
    <w:rPr>
      <w:color w:val="000000"/>
      <w:kern w:val="0"/>
      <w:sz w:val="28"/>
      <w:szCs w:val="20"/>
      <w:u w:color="000000"/>
    </w:rPr>
  </w:style>
  <w:style w:type="paragraph" w:customStyle="1" w:styleId="1106">
    <w:name w:val="表格内容2"/>
    <w:basedOn w:val="324"/>
    <w:autoRedefine/>
    <w:qFormat/>
    <w:uiPriority w:val="0"/>
    <w:pPr>
      <w:overflowPunct w:val="0"/>
      <w:autoSpaceDE/>
      <w:autoSpaceDN/>
      <w:snapToGrid w:val="0"/>
      <w:textAlignment w:val="baseline"/>
    </w:pPr>
    <w:rPr>
      <w:rFonts w:cs="Arial"/>
      <w:color w:val="000000"/>
      <w:szCs w:val="24"/>
    </w:rPr>
  </w:style>
  <w:style w:type="paragraph" w:customStyle="1" w:styleId="1107">
    <w:name w:val="bh1"/>
    <w:basedOn w:val="1"/>
    <w:autoRedefine/>
    <w:qFormat/>
    <w:uiPriority w:val="0"/>
    <w:pPr>
      <w:widowControl/>
      <w:jc w:val="left"/>
    </w:pPr>
    <w:rPr>
      <w:rFonts w:ascii="宋体" w:hAnsi="宋体" w:cs="宋体"/>
      <w:kern w:val="0"/>
      <w:sz w:val="24"/>
    </w:rPr>
  </w:style>
  <w:style w:type="paragraph" w:customStyle="1" w:styleId="1108">
    <w:name w:val="xl127"/>
    <w:basedOn w:val="1"/>
    <w:autoRedefine/>
    <w:qFormat/>
    <w:uiPriority w:val="0"/>
    <w:pPr>
      <w:widowControl/>
      <w:pBdr>
        <w:top w:val="single" w:color="auto" w:sz="8"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09">
    <w:name w:val="中文报告书样式"/>
    <w:basedOn w:val="1"/>
    <w:autoRedefine/>
    <w:qFormat/>
    <w:uiPriority w:val="0"/>
    <w:pPr>
      <w:adjustRightInd w:val="0"/>
      <w:spacing w:line="480" w:lineRule="atLeast"/>
      <w:ind w:firstLine="482"/>
      <w:textAlignment w:val="baseline"/>
    </w:pPr>
    <w:rPr>
      <w:kern w:val="24"/>
      <w:sz w:val="24"/>
      <w:szCs w:val="20"/>
    </w:rPr>
  </w:style>
  <w:style w:type="paragraph" w:customStyle="1" w:styleId="1110">
    <w:name w:val="xl121"/>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1111">
    <w:name w:val="样式 上标"/>
    <w:basedOn w:val="685"/>
    <w:next w:val="685"/>
    <w:autoRedefine/>
    <w:qFormat/>
    <w:uiPriority w:val="0"/>
    <w:pPr>
      <w:spacing w:before="0" w:after="0" w:line="320" w:lineRule="exact"/>
      <w:ind w:firstLine="200"/>
    </w:pPr>
    <w:rPr>
      <w:caps/>
      <w:szCs w:val="36"/>
    </w:rPr>
  </w:style>
  <w:style w:type="paragraph" w:customStyle="1" w:styleId="1112">
    <w:name w:val="表内5S"/>
    <w:basedOn w:val="1"/>
    <w:autoRedefine/>
    <w:qFormat/>
    <w:uiPriority w:val="0"/>
    <w:pPr>
      <w:spacing w:line="300" w:lineRule="atLeast"/>
      <w:jc w:val="center"/>
    </w:pPr>
    <w:rPr>
      <w:rFonts w:eastAsia="方正宋三简体"/>
      <w:szCs w:val="20"/>
    </w:rPr>
  </w:style>
  <w:style w:type="paragraph" w:customStyle="1" w:styleId="1113">
    <w:name w:val="xl178"/>
    <w:basedOn w:val="1"/>
    <w:autoRedefine/>
    <w:qFormat/>
    <w:uiPriority w:val="0"/>
    <w:pPr>
      <w:widowControl/>
      <w:spacing w:before="100" w:beforeAutospacing="1" w:after="100" w:afterAutospacing="1"/>
      <w:jc w:val="center"/>
    </w:pPr>
    <w:rPr>
      <w:rFonts w:ascii="Arial Unicode MS" w:hAnsi="Arial Unicode MS"/>
      <w:kern w:val="0"/>
      <w:sz w:val="12"/>
      <w:szCs w:val="12"/>
    </w:rPr>
  </w:style>
  <w:style w:type="paragraph" w:customStyle="1" w:styleId="1114">
    <w:name w:val="表格内容格式"/>
    <w:basedOn w:val="1"/>
    <w:autoRedefine/>
    <w:qFormat/>
    <w:uiPriority w:val="0"/>
    <w:pPr>
      <w:adjustRightInd w:val="0"/>
      <w:spacing w:line="240" w:lineRule="atLeast"/>
      <w:jc w:val="center"/>
      <w:textAlignment w:val="baseline"/>
    </w:pPr>
    <w:rPr>
      <w:snapToGrid w:val="0"/>
      <w:color w:val="000000"/>
      <w:kern w:val="0"/>
      <w:szCs w:val="20"/>
    </w:rPr>
  </w:style>
  <w:style w:type="paragraph" w:customStyle="1" w:styleId="1115">
    <w:name w:val="xl187"/>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kern w:val="0"/>
      <w:sz w:val="16"/>
      <w:szCs w:val="16"/>
    </w:rPr>
  </w:style>
  <w:style w:type="paragraph" w:customStyle="1" w:styleId="1116">
    <w:name w:val="标题四"/>
    <w:basedOn w:val="5"/>
    <w:autoRedefine/>
    <w:qFormat/>
    <w:uiPriority w:val="0"/>
    <w:pPr>
      <w:tabs>
        <w:tab w:val="left" w:pos="0"/>
        <w:tab w:val="left" w:pos="1260"/>
      </w:tabs>
      <w:spacing w:before="0" w:after="0" w:line="240" w:lineRule="auto"/>
      <w:ind w:left="1260" w:hanging="420"/>
      <w:contextualSpacing/>
    </w:pPr>
    <w:rPr>
      <w:rFonts w:ascii="黑体" w:eastAsia="黑体"/>
      <w:sz w:val="28"/>
      <w:szCs w:val="28"/>
    </w:rPr>
  </w:style>
  <w:style w:type="paragraph" w:customStyle="1" w:styleId="1117">
    <w:name w:val="正文居中"/>
    <w:basedOn w:val="55"/>
    <w:autoRedefine/>
    <w:qFormat/>
    <w:uiPriority w:val="0"/>
    <w:pPr>
      <w:tabs>
        <w:tab w:val="left" w:pos="244"/>
        <w:tab w:val="left" w:pos="720"/>
      </w:tabs>
      <w:adjustRightInd w:val="0"/>
      <w:snapToGrid/>
      <w:jc w:val="center"/>
    </w:pPr>
    <w:rPr>
      <w:rFonts w:ascii="宋体" w:hAnsi="Arial"/>
      <w:b w:val="0"/>
      <w:bCs w:val="0"/>
      <w:caps w:val="0"/>
      <w:sz w:val="28"/>
      <w:szCs w:val="28"/>
    </w:rPr>
  </w:style>
  <w:style w:type="paragraph" w:customStyle="1" w:styleId="1118">
    <w:name w:val="正文文字"/>
    <w:basedOn w:val="33"/>
    <w:autoRedefine/>
    <w:qFormat/>
    <w:uiPriority w:val="0"/>
    <w:pPr>
      <w:widowControl/>
      <w:spacing w:after="0" w:line="360" w:lineRule="auto"/>
      <w:ind w:left="0" w:leftChars="0" w:firstLine="200" w:firstLineChars="200"/>
      <w:jc w:val="left"/>
    </w:pPr>
    <w:rPr>
      <w:rFonts w:ascii="Calibri" w:hAnsi="Calibri" w:eastAsia="仿宋_GB2312"/>
      <w:color w:val="000000"/>
      <w:szCs w:val="24"/>
      <w:lang w:eastAsia="en-US" w:bidi="en-US"/>
    </w:rPr>
  </w:style>
  <w:style w:type="paragraph" w:customStyle="1" w:styleId="1119">
    <w:name w:val="Char1"/>
    <w:basedOn w:val="1"/>
    <w:autoRedefine/>
    <w:qFormat/>
    <w:uiPriority w:val="0"/>
    <w:pPr>
      <w:spacing w:line="240" w:lineRule="exact"/>
      <w:ind w:firstLine="200" w:firstLineChars="200"/>
    </w:pPr>
    <w:rPr>
      <w:sz w:val="28"/>
      <w:szCs w:val="28"/>
    </w:rPr>
  </w:style>
  <w:style w:type="paragraph" w:customStyle="1" w:styleId="1120">
    <w:name w:val="正文 首行缩进:  2 字符 Char Char"/>
    <w:basedOn w:val="1"/>
    <w:autoRedefine/>
    <w:qFormat/>
    <w:uiPriority w:val="0"/>
    <w:pPr>
      <w:spacing w:before="240" w:after="240" w:line="480" w:lineRule="exact"/>
      <w:ind w:firstLine="560" w:firstLineChars="200"/>
    </w:pPr>
    <w:rPr>
      <w:sz w:val="28"/>
      <w:szCs w:val="20"/>
    </w:rPr>
  </w:style>
  <w:style w:type="paragraph" w:customStyle="1" w:styleId="1121">
    <w:name w:val="Char Char Char Char Char Char Char Char Char Char Char Char Char1"/>
    <w:basedOn w:val="1"/>
    <w:autoRedefine/>
    <w:qFormat/>
    <w:uiPriority w:val="0"/>
    <w:pPr>
      <w:jc w:val="center"/>
    </w:pPr>
    <w:rPr>
      <w:rFonts w:ascii="宋体"/>
    </w:rPr>
  </w:style>
  <w:style w:type="paragraph" w:customStyle="1" w:styleId="1122">
    <w:name w:val="样式27"/>
    <w:basedOn w:val="3"/>
    <w:autoRedefine/>
    <w:qFormat/>
    <w:uiPriority w:val="0"/>
    <w:pPr>
      <w:keepNext w:val="0"/>
      <w:tabs>
        <w:tab w:val="left" w:pos="390"/>
      </w:tabs>
      <w:overflowPunct/>
      <w:snapToGrid/>
      <w:spacing w:before="340" w:beforeLines="100" w:after="330" w:afterLines="100" w:line="360" w:lineRule="auto"/>
      <w:ind w:left="390" w:firstLine="0"/>
      <w:jc w:val="center"/>
      <w:outlineLvl w:val="9"/>
    </w:pPr>
    <w:rPr>
      <w:rFonts w:ascii="黑体" w:hAnsi="Calibri" w:cs="Arial Unicode MS"/>
      <w:b w:val="0"/>
      <w:bCs w:val="0"/>
      <w:color w:val="auto"/>
      <w:kern w:val="2"/>
      <w:sz w:val="32"/>
      <w:szCs w:val="32"/>
    </w:rPr>
  </w:style>
  <w:style w:type="paragraph" w:customStyle="1" w:styleId="1123">
    <w:name w:val="ST20_32"/>
    <w:basedOn w:val="51"/>
    <w:autoRedefine/>
    <w:qFormat/>
    <w:uiPriority w:val="0"/>
    <w:pPr>
      <w:contextualSpacing/>
    </w:pPr>
    <w:rPr>
      <w:kern w:val="2"/>
      <w:sz w:val="21"/>
      <w:szCs w:val="21"/>
    </w:rPr>
  </w:style>
  <w:style w:type="paragraph" w:customStyle="1" w:styleId="1124">
    <w:name w:val="xl34"/>
    <w:basedOn w:val="1"/>
    <w:autoRedefine/>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kern w:val="0"/>
      <w:sz w:val="20"/>
      <w:szCs w:val="20"/>
    </w:rPr>
  </w:style>
  <w:style w:type="paragraph" w:customStyle="1" w:styleId="1125">
    <w:name w:val="Char Char3 Char Char"/>
    <w:basedOn w:val="1"/>
    <w:autoRedefine/>
    <w:qFormat/>
    <w:uiPriority w:val="0"/>
    <w:pPr>
      <w:spacing w:line="360" w:lineRule="auto"/>
      <w:ind w:firstLine="200" w:firstLineChars="200"/>
    </w:pPr>
    <w:rPr>
      <w:rFonts w:ascii="宋体" w:hAnsi="宋体" w:cs="宋体"/>
      <w:sz w:val="24"/>
    </w:rPr>
  </w:style>
  <w:style w:type="paragraph" w:customStyle="1" w:styleId="1126">
    <w:name w:val="Char Char Char Char2"/>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127">
    <w:name w:val="列出段落11"/>
    <w:basedOn w:val="1"/>
    <w:autoRedefine/>
    <w:qFormat/>
    <w:uiPriority w:val="0"/>
    <w:pPr>
      <w:spacing w:line="360" w:lineRule="auto"/>
      <w:ind w:firstLine="420" w:firstLineChars="200"/>
    </w:pPr>
    <w:rPr>
      <w:sz w:val="24"/>
    </w:rPr>
  </w:style>
  <w:style w:type="paragraph" w:customStyle="1" w:styleId="1128">
    <w:name w:val="样式44"/>
    <w:basedOn w:val="1"/>
    <w:autoRedefine/>
    <w:qFormat/>
    <w:uiPriority w:val="0"/>
    <w:pPr>
      <w:spacing w:line="500" w:lineRule="exact"/>
      <w:ind w:firstLine="594" w:firstLineChars="212"/>
    </w:pPr>
    <w:rPr>
      <w:rFonts w:ascii="宋体" w:hAnsi="宋体"/>
      <w:sz w:val="28"/>
      <w:szCs w:val="20"/>
    </w:rPr>
  </w:style>
  <w:style w:type="paragraph" w:customStyle="1" w:styleId="1129">
    <w:name w:val="正文4"/>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1130">
    <w:name w:val="样式 列表 + 左侧:  0 厘米 悬挂缩进: 2 字符"/>
    <w:basedOn w:val="62"/>
    <w:autoRedefine/>
    <w:qFormat/>
    <w:uiPriority w:val="0"/>
    <w:pPr>
      <w:tabs>
        <w:tab w:val="center" w:pos="4153"/>
        <w:tab w:val="right" w:pos="8306"/>
      </w:tabs>
      <w:spacing w:line="240" w:lineRule="auto"/>
      <w:jc w:val="center"/>
    </w:pPr>
    <w:rPr>
      <w:rFonts w:eastAsia="方正仿宋_GBK" w:cs="宋体"/>
      <w:szCs w:val="21"/>
    </w:rPr>
  </w:style>
  <w:style w:type="paragraph" w:customStyle="1" w:styleId="1131">
    <w:name w:val="Char Char Char Char Char Char1 Char Char Char Char Char Char Char1"/>
    <w:basedOn w:val="1"/>
    <w:autoRedefine/>
    <w:qFormat/>
    <w:uiPriority w:val="0"/>
  </w:style>
  <w:style w:type="paragraph" w:customStyle="1" w:styleId="1132">
    <w:name w:val="文字"/>
    <w:basedOn w:val="1"/>
    <w:next w:val="1"/>
    <w:autoRedefine/>
    <w:qFormat/>
    <w:uiPriority w:val="0"/>
    <w:pPr>
      <w:autoSpaceDE w:val="0"/>
      <w:autoSpaceDN w:val="0"/>
      <w:adjustRightInd w:val="0"/>
      <w:contextualSpacing/>
      <w:jc w:val="left"/>
    </w:pPr>
    <w:rPr>
      <w:rFonts w:ascii="Fang Song" w:eastAsia="Fang Song"/>
      <w:kern w:val="0"/>
    </w:rPr>
  </w:style>
  <w:style w:type="paragraph" w:customStyle="1" w:styleId="1133">
    <w:name w:val="正文无空格"/>
    <w:basedOn w:val="1"/>
    <w:autoRedefine/>
    <w:qFormat/>
    <w:uiPriority w:val="0"/>
    <w:pPr>
      <w:spacing w:line="360" w:lineRule="auto"/>
      <w:jc w:val="left"/>
    </w:pPr>
    <w:rPr>
      <w:rFonts w:ascii="宋体" w:hAnsi="宋体"/>
      <w:sz w:val="28"/>
      <w:szCs w:val="28"/>
    </w:rPr>
  </w:style>
  <w:style w:type="paragraph" w:customStyle="1" w:styleId="1134">
    <w:name w:val="框图"/>
    <w:basedOn w:val="1"/>
    <w:autoRedefine/>
    <w:qFormat/>
    <w:uiPriority w:val="0"/>
    <w:pPr>
      <w:adjustRightInd w:val="0"/>
      <w:snapToGrid w:val="0"/>
      <w:jc w:val="center"/>
    </w:pPr>
    <w:rPr>
      <w:rFonts w:hAnsi="宋体"/>
      <w:b/>
    </w:rPr>
  </w:style>
  <w:style w:type="paragraph" w:customStyle="1" w:styleId="1135">
    <w:name w:val="表格文字2"/>
    <w:basedOn w:val="1"/>
    <w:autoRedefine/>
    <w:semiHidden/>
    <w:qFormat/>
    <w:uiPriority w:val="0"/>
    <w:pPr>
      <w:tabs>
        <w:tab w:val="left" w:pos="277"/>
        <w:tab w:val="left" w:pos="600"/>
        <w:tab w:val="left" w:pos="780"/>
        <w:tab w:val="left" w:pos="2517"/>
      </w:tabs>
      <w:adjustRightInd w:val="0"/>
      <w:spacing w:before="60"/>
      <w:jc w:val="center"/>
      <w:textAlignment w:val="baseline"/>
    </w:pPr>
    <w:rPr>
      <w:rFonts w:eastAsia="楷体_GB2312"/>
      <w:kern w:val="0"/>
      <w:sz w:val="24"/>
      <w:szCs w:val="20"/>
    </w:rPr>
  </w:style>
  <w:style w:type="paragraph" w:customStyle="1" w:styleId="1136">
    <w:name w:val="CM31"/>
    <w:basedOn w:val="1"/>
    <w:next w:val="1"/>
    <w:autoRedefine/>
    <w:qFormat/>
    <w:uiPriority w:val="0"/>
    <w:pPr>
      <w:autoSpaceDE w:val="0"/>
      <w:autoSpaceDN w:val="0"/>
      <w:adjustRightInd w:val="0"/>
      <w:spacing w:line="468" w:lineRule="atLeast"/>
      <w:jc w:val="left"/>
    </w:pPr>
    <w:rPr>
      <w:rFonts w:ascii="黑体" w:eastAsia="黑体"/>
      <w:kern w:val="0"/>
      <w:sz w:val="24"/>
    </w:rPr>
  </w:style>
  <w:style w:type="paragraph" w:customStyle="1" w:styleId="1137">
    <w:name w:val="表样式1"/>
    <w:basedOn w:val="1"/>
    <w:autoRedefine/>
    <w:qFormat/>
    <w:uiPriority w:val="0"/>
    <w:pPr>
      <w:spacing w:line="320" w:lineRule="exact"/>
      <w:ind w:firstLine="200" w:firstLineChars="200"/>
    </w:pPr>
    <w:rPr>
      <w:rFonts w:ascii="宋体" w:hAnsi="宋体"/>
      <w:color w:val="000000"/>
      <w:sz w:val="24"/>
      <w:szCs w:val="18"/>
    </w:rPr>
  </w:style>
  <w:style w:type="paragraph" w:customStyle="1" w:styleId="1138">
    <w:name w:val="表题"/>
    <w:basedOn w:val="8"/>
    <w:autoRedefine/>
    <w:semiHidden/>
    <w:qFormat/>
    <w:uiPriority w:val="0"/>
    <w:pPr>
      <w:spacing w:line="100" w:lineRule="atLeast"/>
      <w:ind w:firstLine="0"/>
      <w:jc w:val="center"/>
    </w:pPr>
    <w:rPr>
      <w:sz w:val="24"/>
    </w:rPr>
  </w:style>
  <w:style w:type="paragraph" w:customStyle="1" w:styleId="1139">
    <w:name w:val="样式23"/>
    <w:basedOn w:val="1"/>
    <w:autoRedefine/>
    <w:qFormat/>
    <w:uiPriority w:val="0"/>
    <w:pPr>
      <w:spacing w:beforeLines="50" w:afterLines="100"/>
      <w:ind w:right="141" w:rightChars="67" w:firstLine="480" w:firstLineChars="200"/>
    </w:pPr>
    <w:rPr>
      <w:rFonts w:ascii="黑体" w:eastAsia="黑体"/>
      <w:sz w:val="24"/>
      <w:szCs w:val="20"/>
    </w:rPr>
  </w:style>
  <w:style w:type="paragraph" w:customStyle="1" w:styleId="1140">
    <w:name w:val="title2"/>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141">
    <w:name w:val="xl110"/>
    <w:basedOn w:val="1"/>
    <w:autoRedefine/>
    <w:qFormat/>
    <w:uiPriority w:val="0"/>
    <w:pPr>
      <w:widowControl/>
      <w:pBdr>
        <w:top w:val="single" w:color="auto" w:sz="12" w:space="0"/>
        <w:bottom w:val="single" w:color="auto" w:sz="8" w:space="0"/>
      </w:pBdr>
      <w:spacing w:before="100" w:beforeAutospacing="1" w:after="100" w:afterAutospacing="1"/>
      <w:jc w:val="center"/>
      <w:textAlignment w:val="center"/>
    </w:pPr>
    <w:rPr>
      <w:rFonts w:ascii="Arial Unicode MS" w:hAnsi="Arial Unicode MS"/>
      <w:kern w:val="0"/>
    </w:rPr>
  </w:style>
  <w:style w:type="paragraph" w:customStyle="1" w:styleId="1142">
    <w:name w:val="xl195"/>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kern w:val="0"/>
    </w:rPr>
  </w:style>
  <w:style w:type="paragraph" w:customStyle="1" w:styleId="1143">
    <w:name w:val="表格文字中对齐"/>
    <w:basedOn w:val="1"/>
    <w:autoRedefine/>
    <w:qFormat/>
    <w:uiPriority w:val="0"/>
    <w:pPr>
      <w:spacing w:line="320" w:lineRule="exact"/>
      <w:jc w:val="center"/>
    </w:pPr>
    <w:rPr>
      <w:rFonts w:ascii="宋体" w:hAnsi="宋体"/>
      <w:color w:val="000000"/>
      <w:kern w:val="0"/>
    </w:rPr>
  </w:style>
  <w:style w:type="paragraph" w:customStyle="1" w:styleId="1144">
    <w:name w:val="引用文章"/>
    <w:basedOn w:val="1"/>
    <w:autoRedefine/>
    <w:qFormat/>
    <w:uiPriority w:val="0"/>
    <w:pPr>
      <w:spacing w:line="360" w:lineRule="auto"/>
      <w:ind w:firstLine="420" w:firstLineChars="200"/>
    </w:pPr>
    <w:rPr>
      <w:rFonts w:eastAsia="楷体_GB2312" w:cs="宋体"/>
      <w:sz w:val="24"/>
      <w:szCs w:val="20"/>
    </w:rPr>
  </w:style>
  <w:style w:type="paragraph" w:customStyle="1" w:styleId="1145">
    <w:name w:val="p17"/>
    <w:basedOn w:val="1"/>
    <w:autoRedefine/>
    <w:qFormat/>
    <w:uiPriority w:val="0"/>
    <w:pPr>
      <w:widowControl/>
      <w:snapToGrid w:val="0"/>
      <w:spacing w:line="480" w:lineRule="atLeast"/>
      <w:ind w:firstLine="482"/>
    </w:pPr>
    <w:rPr>
      <w:kern w:val="0"/>
      <w:sz w:val="24"/>
    </w:rPr>
  </w:style>
  <w:style w:type="paragraph" w:customStyle="1" w:styleId="1146">
    <w:name w:val="Char2 Char Char Char1"/>
    <w:basedOn w:val="1"/>
    <w:autoRedefine/>
    <w:qFormat/>
    <w:uiPriority w:val="0"/>
    <w:pPr>
      <w:spacing w:line="360" w:lineRule="auto"/>
      <w:ind w:firstLine="200" w:firstLineChars="200"/>
    </w:pPr>
    <w:rPr>
      <w:rFonts w:ascii="宋体" w:hAnsi="宋体" w:cs="宋体"/>
      <w:sz w:val="24"/>
    </w:rPr>
  </w:style>
  <w:style w:type="paragraph" w:customStyle="1" w:styleId="1147">
    <w:name w:val="报告标题1"/>
    <w:basedOn w:val="3"/>
    <w:autoRedefine/>
    <w:qFormat/>
    <w:uiPriority w:val="0"/>
    <w:pPr>
      <w:keepLines/>
      <w:tabs>
        <w:tab w:val="left" w:pos="390"/>
      </w:tabs>
      <w:overflowPunct/>
      <w:snapToGrid/>
      <w:spacing w:before="200" w:after="200" w:line="360" w:lineRule="auto"/>
      <w:ind w:left="390" w:firstLine="0"/>
    </w:pPr>
    <w:rPr>
      <w:rFonts w:ascii="Calibri" w:hAnsi="Calibri" w:eastAsia="宋体"/>
      <w:color w:val="auto"/>
      <w:sz w:val="44"/>
      <w:szCs w:val="44"/>
    </w:rPr>
  </w:style>
  <w:style w:type="paragraph" w:customStyle="1" w:styleId="1148">
    <w:name w:val="表格项目"/>
    <w:basedOn w:val="904"/>
    <w:next w:val="904"/>
    <w:autoRedefine/>
    <w:semiHidden/>
    <w:qFormat/>
    <w:uiPriority w:val="0"/>
    <w:pPr>
      <w:spacing w:before="100" w:beforeAutospacing="1" w:after="100" w:afterAutospacing="1" w:line="240" w:lineRule="auto"/>
    </w:pPr>
    <w:rPr>
      <w:b/>
      <w:bCs/>
      <w:caps/>
      <w:szCs w:val="21"/>
    </w:rPr>
  </w:style>
  <w:style w:type="paragraph" w:customStyle="1" w:styleId="1149">
    <w:name w:val="1.1"/>
    <w:basedOn w:val="1"/>
    <w:autoRedefine/>
    <w:qFormat/>
    <w:uiPriority w:val="0"/>
    <w:pPr>
      <w:spacing w:line="600" w:lineRule="exact"/>
      <w:outlineLvl w:val="0"/>
    </w:pPr>
    <w:rPr>
      <w:rFonts w:eastAsia="黑体"/>
      <w:sz w:val="32"/>
    </w:rPr>
  </w:style>
  <w:style w:type="paragraph" w:customStyle="1" w:styleId="1150">
    <w:name w:val="表格标题栏文字"/>
    <w:basedOn w:val="1"/>
    <w:next w:val="1"/>
    <w:autoRedefine/>
    <w:qFormat/>
    <w:uiPriority w:val="0"/>
    <w:pPr>
      <w:jc w:val="center"/>
    </w:pPr>
    <w:rPr>
      <w:rFonts w:ascii="黑体" w:eastAsia="黑体"/>
      <w:caps/>
      <w:sz w:val="24"/>
    </w:rPr>
  </w:style>
  <w:style w:type="paragraph" w:customStyle="1" w:styleId="1151">
    <w:name w:val="Char1 Char Char Char1"/>
    <w:basedOn w:val="1"/>
    <w:autoRedefine/>
    <w:qFormat/>
    <w:uiPriority w:val="0"/>
    <w:pPr>
      <w:spacing w:line="360" w:lineRule="auto"/>
      <w:ind w:firstLine="200" w:firstLineChars="200"/>
    </w:pPr>
    <w:rPr>
      <w:rFonts w:ascii="宋体" w:hAnsi="宋体" w:cs="宋体"/>
      <w:sz w:val="24"/>
    </w:rPr>
  </w:style>
  <w:style w:type="paragraph" w:customStyle="1" w:styleId="1152">
    <w:name w:val="正文-1"/>
    <w:basedOn w:val="1"/>
    <w:autoRedefine/>
    <w:qFormat/>
    <w:uiPriority w:val="0"/>
    <w:pPr>
      <w:adjustRightInd w:val="0"/>
      <w:spacing w:line="440" w:lineRule="exact"/>
      <w:ind w:firstLine="200" w:firstLineChars="200"/>
    </w:pPr>
    <w:rPr>
      <w:sz w:val="24"/>
      <w:szCs w:val="20"/>
    </w:rPr>
  </w:style>
  <w:style w:type="paragraph" w:customStyle="1" w:styleId="1153">
    <w:name w:val="Char Char Char Char Char Char Char Char Char Char Char Char Char Char Char Char Char Char Char Char Char Char Char Char"/>
    <w:basedOn w:val="1"/>
    <w:autoRedefine/>
    <w:qFormat/>
    <w:uiPriority w:val="0"/>
    <w:pPr>
      <w:widowControl/>
      <w:contextualSpacing/>
      <w:jc w:val="left"/>
    </w:pPr>
    <w:rPr>
      <w:rFonts w:cs="宋体"/>
      <w:kern w:val="0"/>
    </w:rPr>
  </w:style>
  <w:style w:type="paragraph" w:customStyle="1" w:styleId="1154">
    <w:name w:val="xl177"/>
    <w:basedOn w:val="1"/>
    <w:autoRedefine/>
    <w:qFormat/>
    <w:uiPriority w:val="0"/>
    <w:pPr>
      <w:widowControl/>
      <w:pBdr>
        <w:lef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1155">
    <w:name w:val="k4"/>
    <w:basedOn w:val="31"/>
    <w:autoRedefine/>
    <w:qFormat/>
    <w:uiPriority w:val="0"/>
    <w:pPr>
      <w:widowControl w:val="0"/>
      <w:numPr>
        <w:ilvl w:val="0"/>
        <w:numId w:val="12"/>
      </w:numPr>
      <w:tabs>
        <w:tab w:val="left" w:pos="360"/>
        <w:tab w:val="clear" w:pos="504"/>
      </w:tabs>
      <w:snapToGrid/>
      <w:spacing w:before="0" w:after="0" w:line="360" w:lineRule="auto"/>
      <w:ind w:left="0" w:right="0" w:firstLine="480"/>
    </w:pPr>
    <w:rPr>
      <w:rFonts w:ascii="宋体" w:hAnsi="Courier New"/>
      <w:b/>
      <w:kern w:val="2"/>
      <w:sz w:val="28"/>
    </w:rPr>
  </w:style>
  <w:style w:type="paragraph" w:customStyle="1" w:styleId="1156">
    <w:name w:val="cdb"/>
    <w:basedOn w:val="1"/>
    <w:autoRedefine/>
    <w:qFormat/>
    <w:uiPriority w:val="0"/>
    <w:pPr>
      <w:spacing w:before="120"/>
      <w:ind w:left="851" w:firstLine="482"/>
    </w:pPr>
    <w:rPr>
      <w:szCs w:val="20"/>
    </w:rPr>
  </w:style>
  <w:style w:type="paragraph" w:customStyle="1" w:styleId="1157">
    <w:name w:val="东明_a"/>
    <w:basedOn w:val="1"/>
    <w:autoRedefine/>
    <w:qFormat/>
    <w:uiPriority w:val="0"/>
    <w:pPr>
      <w:spacing w:before="240" w:after="240" w:line="480" w:lineRule="exact"/>
      <w:ind w:left="560"/>
    </w:pPr>
    <w:rPr>
      <w:b/>
      <w:bCs/>
      <w:sz w:val="28"/>
      <w:szCs w:val="20"/>
    </w:rPr>
  </w:style>
  <w:style w:type="paragraph" w:customStyle="1" w:styleId="1158">
    <w:name w:val="样式 标题 1章标题 11标题 1H1一、 + 行距: 1.5 倍行距5"/>
    <w:basedOn w:val="3"/>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1159">
    <w:name w:val="图 标题"/>
    <w:basedOn w:val="286"/>
    <w:autoRedefine/>
    <w:qFormat/>
    <w:uiPriority w:val="0"/>
    <w:pPr>
      <w:spacing w:line="240" w:lineRule="auto"/>
      <w:ind w:firstLine="0" w:firstLineChars="0"/>
      <w:jc w:val="center"/>
    </w:pPr>
    <w:rPr>
      <w:b/>
      <w:color w:val="FF0000"/>
    </w:rPr>
  </w:style>
  <w:style w:type="paragraph" w:customStyle="1" w:styleId="1160">
    <w:name w:val="表中文字1"/>
    <w:autoRedefine/>
    <w:qFormat/>
    <w:uiPriority w:val="0"/>
    <w:pPr>
      <w:widowControl w:val="0"/>
      <w:adjustRightInd w:val="0"/>
      <w:snapToGrid w:val="0"/>
      <w:spacing w:line="280" w:lineRule="exact"/>
      <w:jc w:val="center"/>
    </w:pPr>
    <w:rPr>
      <w:rFonts w:ascii="仿宋_GB2312" w:hAnsi="Times New Roman" w:eastAsia="仿宋_GB2312" w:cs="Times New Roman"/>
      <w:kern w:val="2"/>
      <w:sz w:val="24"/>
      <w:szCs w:val="24"/>
      <w:lang w:val="en-US" w:eastAsia="zh-CN" w:bidi="ar-SA"/>
    </w:rPr>
  </w:style>
  <w:style w:type="paragraph" w:customStyle="1" w:styleId="1161">
    <w:name w:val="流程"/>
    <w:basedOn w:val="1"/>
    <w:autoRedefine/>
    <w:qFormat/>
    <w:uiPriority w:val="0"/>
    <w:pPr>
      <w:topLinePunct/>
      <w:adjustRightInd w:val="0"/>
      <w:snapToGrid w:val="0"/>
      <w:jc w:val="center"/>
    </w:pPr>
    <w:rPr>
      <w:rFonts w:cs="宋体"/>
      <w:bCs/>
      <w:color w:val="000000"/>
      <w:szCs w:val="20"/>
    </w:rPr>
  </w:style>
  <w:style w:type="paragraph" w:customStyle="1" w:styleId="1162">
    <w:name w:val="样式12"/>
    <w:basedOn w:val="1082"/>
    <w:autoRedefine/>
    <w:qFormat/>
    <w:uiPriority w:val="0"/>
    <w:pPr>
      <w:adjustRightInd w:val="0"/>
    </w:pPr>
    <w:rPr>
      <w:rFonts w:ascii="仿宋_GB2312" w:hAnsi="宋体" w:eastAsia="仿宋_GB2312"/>
      <w:b/>
      <w:color w:val="FF0000"/>
      <w:szCs w:val="30"/>
    </w:rPr>
  </w:style>
  <w:style w:type="paragraph" w:customStyle="1" w:styleId="1163">
    <w:name w:val="样式32"/>
    <w:basedOn w:val="1"/>
    <w:autoRedefine/>
    <w:qFormat/>
    <w:uiPriority w:val="0"/>
    <w:pPr>
      <w:spacing w:line="360" w:lineRule="auto"/>
      <w:ind w:firstLine="480" w:firstLineChars="200"/>
    </w:pPr>
    <w:rPr>
      <w:rFonts w:ascii="宋体" w:hAnsi="宋体"/>
      <w:spacing w:val="-20"/>
      <w:sz w:val="28"/>
      <w:szCs w:val="28"/>
    </w:rPr>
  </w:style>
  <w:style w:type="paragraph" w:customStyle="1" w:styleId="1164">
    <w:name w:val="样式 正文（首行缩进两字） + 宋体 小四 加粗 行距: 固定值 24 磅"/>
    <w:basedOn w:val="8"/>
    <w:autoRedefine/>
    <w:qFormat/>
    <w:uiPriority w:val="0"/>
    <w:pPr>
      <w:tabs>
        <w:tab w:val="left" w:pos="5940"/>
      </w:tabs>
      <w:adjustRightInd w:val="0"/>
      <w:spacing w:line="480" w:lineRule="exact"/>
      <w:ind w:firstLine="0" w:firstLineChars="0"/>
      <w:jc w:val="center"/>
      <w:textAlignment w:val="baseline"/>
    </w:pPr>
    <w:rPr>
      <w:sz w:val="24"/>
    </w:rPr>
  </w:style>
  <w:style w:type="paragraph" w:customStyle="1" w:styleId="1165">
    <w:name w:val="碳酸钙标题3"/>
    <w:basedOn w:val="5"/>
    <w:autoRedefine/>
    <w:qFormat/>
    <w:uiPriority w:val="0"/>
    <w:pPr>
      <w:tabs>
        <w:tab w:val="left" w:pos="1260"/>
        <w:tab w:val="left" w:pos="2126"/>
      </w:tabs>
      <w:spacing w:line="360" w:lineRule="auto"/>
      <w:ind w:left="1701" w:firstLine="435"/>
    </w:pPr>
    <w:rPr>
      <w:color w:val="000000"/>
      <w:kern w:val="0"/>
      <w:sz w:val="24"/>
    </w:rPr>
  </w:style>
  <w:style w:type="paragraph" w:customStyle="1" w:styleId="1166">
    <w:name w:val="样式 标题 2节 + 段前: 1 行 段后: 0.5 行1"/>
    <w:basedOn w:val="1"/>
    <w:autoRedefine/>
    <w:qFormat/>
    <w:uiPriority w:val="0"/>
    <w:pPr>
      <w:numPr>
        <w:ilvl w:val="1"/>
        <w:numId w:val="13"/>
      </w:numPr>
    </w:pPr>
  </w:style>
  <w:style w:type="paragraph" w:customStyle="1" w:styleId="1167">
    <w:name w:val="Char Char1 Char Char Char Char Char Char Char Char Char Char Char Char Char Char Char Char Char Char Char Char1 Char1"/>
    <w:basedOn w:val="1"/>
    <w:autoRedefine/>
    <w:qFormat/>
    <w:uiPriority w:val="0"/>
    <w:pPr>
      <w:spacing w:line="360" w:lineRule="auto"/>
      <w:ind w:firstLine="200" w:firstLineChars="200"/>
    </w:pPr>
    <w:rPr>
      <w:szCs w:val="20"/>
    </w:rPr>
  </w:style>
  <w:style w:type="paragraph" w:customStyle="1" w:styleId="1168">
    <w:name w:val="xl55"/>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1169">
    <w:name w:val="一级标题 大王 20100426"/>
    <w:basedOn w:val="1"/>
    <w:autoRedefine/>
    <w:qFormat/>
    <w:uiPriority w:val="0"/>
    <w:pPr>
      <w:numPr>
        <w:ilvl w:val="1"/>
        <w:numId w:val="4"/>
      </w:numPr>
      <w:tabs>
        <w:tab w:val="left" w:pos="284"/>
      </w:tabs>
      <w:spacing w:beforeLines="20" w:afterLines="50"/>
      <w:ind w:left="425" w:hanging="425"/>
      <w:outlineLvl w:val="0"/>
    </w:pPr>
    <w:rPr>
      <w:rFonts w:eastAsia="黑体"/>
      <w:b/>
      <w:sz w:val="30"/>
      <w:szCs w:val="30"/>
    </w:rPr>
  </w:style>
  <w:style w:type="paragraph" w:customStyle="1" w:styleId="1170">
    <w:name w:val="xl184"/>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71">
    <w:name w:val="表内正文"/>
    <w:basedOn w:val="1"/>
    <w:autoRedefine/>
    <w:qFormat/>
    <w:uiPriority w:val="0"/>
    <w:rPr>
      <w:sz w:val="24"/>
    </w:rPr>
  </w:style>
  <w:style w:type="paragraph" w:customStyle="1" w:styleId="1172">
    <w:name w:val="图名文字"/>
    <w:autoRedefine/>
    <w:qFormat/>
    <w:uiPriority w:val="0"/>
    <w:pPr>
      <w:adjustRightInd w:val="0"/>
      <w:spacing w:after="60"/>
      <w:jc w:val="center"/>
    </w:pPr>
    <w:rPr>
      <w:rFonts w:ascii="Times New Roman" w:hAnsi="Times New Roman" w:eastAsia="黑体" w:cs="Times New Roman"/>
      <w:sz w:val="21"/>
      <w:lang w:val="en-US" w:eastAsia="zh-CN" w:bidi="ar-SA"/>
    </w:rPr>
  </w:style>
  <w:style w:type="paragraph" w:customStyle="1" w:styleId="1173">
    <w:name w:val="标准正文"/>
    <w:basedOn w:val="1"/>
    <w:autoRedefine/>
    <w:qFormat/>
    <w:uiPriority w:val="0"/>
    <w:pPr>
      <w:spacing w:line="500" w:lineRule="exact"/>
      <w:ind w:firstLine="200" w:firstLineChars="200"/>
      <w:jc w:val="left"/>
    </w:pPr>
    <w:rPr>
      <w:rFonts w:ascii="Calibri" w:hAnsi="Calibri"/>
      <w:kern w:val="0"/>
      <w:sz w:val="24"/>
      <w:szCs w:val="20"/>
    </w:rPr>
  </w:style>
  <w:style w:type="paragraph" w:customStyle="1" w:styleId="1174">
    <w:name w:val="样式 样式 首行缩进:  0.77 厘米 行距: 固定值 20 磅 + 居中 首行缩进:  0 厘米 行距: 单倍行距"/>
    <w:basedOn w:val="1"/>
    <w:autoRedefine/>
    <w:qFormat/>
    <w:uiPriority w:val="0"/>
    <w:pPr>
      <w:spacing w:line="240" w:lineRule="atLeast"/>
      <w:jc w:val="center"/>
    </w:pPr>
    <w:rPr>
      <w:color w:val="000000"/>
    </w:rPr>
  </w:style>
  <w:style w:type="paragraph" w:customStyle="1" w:styleId="1175">
    <w:name w:val="font7"/>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1176">
    <w:name w:val="xl61"/>
    <w:basedOn w:val="1"/>
    <w:autoRedefine/>
    <w:qFormat/>
    <w:uiPriority w:val="0"/>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1177">
    <w:name w:val="表内5号居中"/>
    <w:autoRedefine/>
    <w:qFormat/>
    <w:uiPriority w:val="0"/>
    <w:pPr>
      <w:widowControl w:val="0"/>
      <w:adjustRightInd w:val="0"/>
      <w:snapToGrid w:val="0"/>
      <w:jc w:val="center"/>
      <w:textAlignment w:val="baseline"/>
    </w:pPr>
    <w:rPr>
      <w:rFonts w:ascii="Times New Roman" w:hAnsi="Times New Roman" w:eastAsia="宋体" w:cs="Times New Roman"/>
      <w:b/>
      <w:bCs/>
      <w:sz w:val="24"/>
      <w:lang w:val="en-US" w:eastAsia="zh-CN" w:bidi="ar-SA"/>
    </w:rPr>
  </w:style>
  <w:style w:type="paragraph" w:customStyle="1" w:styleId="1178">
    <w:name w:val="工业统一表格文字"/>
    <w:basedOn w:val="1"/>
    <w:autoRedefine/>
    <w:qFormat/>
    <w:uiPriority w:val="0"/>
    <w:pPr>
      <w:adjustRightInd w:val="0"/>
      <w:snapToGrid w:val="0"/>
      <w:spacing w:beforeLines="20" w:afterLines="20"/>
      <w:ind w:left="-20" w:leftChars="-20" w:right="-20" w:rightChars="-20"/>
      <w:jc w:val="center"/>
    </w:pPr>
    <w:rPr>
      <w:rFonts w:ascii="宋体"/>
      <w:szCs w:val="20"/>
    </w:rPr>
  </w:style>
  <w:style w:type="paragraph" w:customStyle="1" w:styleId="1179">
    <w:name w:val="注解"/>
    <w:autoRedefine/>
    <w:qFormat/>
    <w:uiPriority w:val="0"/>
    <w:pPr>
      <w:widowControl w:val="0"/>
      <w:jc w:val="center"/>
    </w:pPr>
    <w:rPr>
      <w:rFonts w:ascii="宋体" w:hAnsi="Arial Black" w:eastAsia="宋体" w:cs="Times New Roman"/>
      <w:kern w:val="2"/>
      <w:sz w:val="18"/>
      <w:lang w:val="en-US" w:eastAsia="zh-CN" w:bidi="ar-SA"/>
    </w:rPr>
  </w:style>
  <w:style w:type="paragraph" w:customStyle="1" w:styleId="1180">
    <w:name w:val="表格内容1"/>
    <w:basedOn w:val="324"/>
    <w:autoRedefine/>
    <w:qFormat/>
    <w:uiPriority w:val="0"/>
    <w:pPr>
      <w:autoSpaceDE/>
      <w:autoSpaceDN/>
      <w:adjustRightInd/>
    </w:pPr>
    <w:rPr>
      <w:rFonts w:cs="宋体"/>
      <w:kern w:val="2"/>
      <w:szCs w:val="20"/>
    </w:rPr>
  </w:style>
  <w:style w:type="paragraph" w:customStyle="1" w:styleId="1181">
    <w:name w:val="表1"/>
    <w:basedOn w:val="1"/>
    <w:autoRedefine/>
    <w:qFormat/>
    <w:uiPriority w:val="0"/>
    <w:pPr>
      <w:jc w:val="center"/>
    </w:pPr>
    <w:rPr>
      <w:rFonts w:ascii="宋体" w:hAnsi="宋体"/>
      <w:color w:val="000000"/>
    </w:rPr>
  </w:style>
  <w:style w:type="paragraph" w:customStyle="1" w:styleId="1182">
    <w:name w:val="Char Char1 Char Char Char Char Char Char Char Char Char Char Char Char Char Char Char Char Char Char Char Char1 Char"/>
    <w:basedOn w:val="1"/>
    <w:autoRedefine/>
    <w:qFormat/>
    <w:uiPriority w:val="0"/>
    <w:pPr>
      <w:adjustRightInd w:val="0"/>
      <w:snapToGrid w:val="0"/>
      <w:spacing w:line="360" w:lineRule="auto"/>
      <w:ind w:firstLine="200" w:firstLineChars="200"/>
    </w:pPr>
    <w:rPr>
      <w:rFonts w:ascii="仿宋_GB2312" w:eastAsia="仿宋_GB2312"/>
      <w:sz w:val="28"/>
    </w:rPr>
  </w:style>
  <w:style w:type="paragraph" w:customStyle="1" w:styleId="1183">
    <w:name w:val="默认段落字体 Para Char Char Char Char Char Char Char Char Char1 Char Char Char Char Char Char Char Char Char Char"/>
    <w:basedOn w:val="1"/>
    <w:autoRedefine/>
    <w:qFormat/>
    <w:uiPriority w:val="0"/>
    <w:pPr>
      <w:shd w:val="clear" w:color="auto" w:fill="000080"/>
    </w:pPr>
    <w:rPr>
      <w:rFonts w:ascii="Tahoma" w:hAnsi="Tahoma"/>
      <w:kern w:val="0"/>
      <w:sz w:val="20"/>
    </w:rPr>
  </w:style>
  <w:style w:type="paragraph" w:customStyle="1" w:styleId="1184">
    <w:name w:val="样式 行距: 1.5 倍行距 首行缩进:  2.25 字符"/>
    <w:basedOn w:val="1"/>
    <w:autoRedefine/>
    <w:qFormat/>
    <w:uiPriority w:val="0"/>
    <w:pPr>
      <w:spacing w:afterLines="100" w:line="360" w:lineRule="auto"/>
    </w:pPr>
    <w:rPr>
      <w:rFonts w:ascii="宋体" w:hAnsi="宋体" w:cs="宋体"/>
      <w:sz w:val="24"/>
      <w:szCs w:val="20"/>
    </w:rPr>
  </w:style>
  <w:style w:type="paragraph" w:customStyle="1" w:styleId="1185">
    <w:name w:val="Char Char Char Char Char Char Char Char Char1"/>
    <w:basedOn w:val="1"/>
    <w:autoRedefine/>
    <w:qFormat/>
    <w:uiPriority w:val="0"/>
    <w:pPr>
      <w:widowControl/>
      <w:spacing w:after="160" w:line="240" w:lineRule="exact"/>
      <w:jc w:val="left"/>
    </w:pPr>
    <w:rPr>
      <w:rFonts w:ascii="Calibri" w:hAnsi="Calibri"/>
      <w:szCs w:val="22"/>
    </w:rPr>
  </w:style>
  <w:style w:type="paragraph" w:customStyle="1" w:styleId="1186">
    <w:name w:val="xl125"/>
    <w:basedOn w:val="1"/>
    <w:autoRedefine/>
    <w:qFormat/>
    <w:uiPriority w:val="0"/>
    <w:pPr>
      <w:widowControl/>
      <w:spacing w:before="100" w:beforeAutospacing="1" w:after="100" w:afterAutospacing="1"/>
      <w:jc w:val="left"/>
      <w:textAlignment w:val="center"/>
    </w:pPr>
    <w:rPr>
      <w:rFonts w:ascii="Arial Unicode MS" w:hAnsi="Arial Unicode MS"/>
      <w:kern w:val="0"/>
      <w:sz w:val="16"/>
      <w:szCs w:val="16"/>
    </w:rPr>
  </w:style>
  <w:style w:type="paragraph" w:customStyle="1" w:styleId="1187">
    <w:name w:val="正文表格5号"/>
    <w:basedOn w:val="1"/>
    <w:autoRedefine/>
    <w:qFormat/>
    <w:uiPriority w:val="0"/>
    <w:pPr>
      <w:adjustRightInd w:val="0"/>
      <w:spacing w:line="460" w:lineRule="exact"/>
      <w:textAlignment w:val="baseline"/>
    </w:pPr>
    <w:rPr>
      <w:rFonts w:ascii="宋体"/>
      <w:kern w:val="0"/>
      <w:szCs w:val="20"/>
    </w:rPr>
  </w:style>
  <w:style w:type="paragraph" w:customStyle="1" w:styleId="1188">
    <w:name w:val="Char Char Char Char Char Char Char Char Char Char3"/>
    <w:basedOn w:val="1"/>
    <w:autoRedefine/>
    <w:qFormat/>
    <w:uiPriority w:val="0"/>
  </w:style>
  <w:style w:type="paragraph" w:customStyle="1" w:styleId="1189">
    <w:name w:val="Char2 Char Char Char"/>
    <w:basedOn w:val="1"/>
    <w:autoRedefine/>
    <w:semiHidden/>
    <w:qFormat/>
    <w:uiPriority w:val="0"/>
    <w:pPr>
      <w:spacing w:line="360" w:lineRule="auto"/>
      <w:ind w:firstLine="200" w:firstLineChars="200"/>
    </w:pPr>
    <w:rPr>
      <w:rFonts w:ascii="宋体" w:hAnsi="宋体" w:cs="宋体"/>
      <w:sz w:val="24"/>
    </w:rPr>
  </w:style>
  <w:style w:type="paragraph" w:customStyle="1" w:styleId="1190">
    <w:name w:val="字元"/>
    <w:basedOn w:val="1"/>
    <w:autoRedefine/>
    <w:qFormat/>
    <w:uiPriority w:val="0"/>
    <w:pPr>
      <w:widowControl/>
      <w:jc w:val="left"/>
    </w:pPr>
    <w:rPr>
      <w:rFonts w:eastAsia="仿宋_GB2312"/>
      <w:kern w:val="0"/>
      <w:sz w:val="24"/>
      <w:szCs w:val="20"/>
    </w:rPr>
  </w:style>
  <w:style w:type="paragraph" w:customStyle="1" w:styleId="1191">
    <w:name w:val="默认段落字体 Para Char Char Char1 Char Char Char Char Char Char Char Char Char Char"/>
    <w:basedOn w:val="1"/>
    <w:autoRedefine/>
    <w:qFormat/>
    <w:uiPriority w:val="0"/>
    <w:rPr>
      <w:sz w:val="24"/>
    </w:rPr>
  </w:style>
  <w:style w:type="paragraph" w:customStyle="1" w:styleId="1192">
    <w:name w:val="样式 样式 题注 + (西文) 宋体 + 段后: 1 行"/>
    <w:basedOn w:val="1"/>
    <w:autoRedefine/>
    <w:qFormat/>
    <w:uiPriority w:val="0"/>
    <w:pPr>
      <w:keepNext/>
      <w:spacing w:line="360" w:lineRule="auto"/>
      <w:ind w:firstLine="200" w:firstLineChars="200"/>
      <w:jc w:val="left"/>
    </w:pPr>
    <w:rPr>
      <w:rFonts w:ascii="宋体" w:hAnsi="宋体" w:cs="宋体"/>
      <w:color w:val="000000"/>
      <w:sz w:val="28"/>
      <w:szCs w:val="20"/>
    </w:rPr>
  </w:style>
  <w:style w:type="paragraph" w:customStyle="1" w:styleId="1193">
    <w:name w:val="表头0"/>
    <w:autoRedefine/>
    <w:qFormat/>
    <w:uiPriority w:val="0"/>
    <w:pPr>
      <w:adjustRightInd w:val="0"/>
      <w:snapToGrid w:val="0"/>
      <w:spacing w:beforeLines="10" w:line="360" w:lineRule="auto"/>
      <w:jc w:val="center"/>
    </w:pPr>
    <w:rPr>
      <w:rFonts w:ascii="Times New Roman" w:hAnsi="Times New Roman" w:eastAsia="宋体" w:cs="Times New Roman"/>
      <w:b/>
      <w:sz w:val="21"/>
      <w:lang w:val="en-US" w:eastAsia="zh-CN" w:bidi="ar-SA"/>
    </w:rPr>
  </w:style>
  <w:style w:type="paragraph" w:customStyle="1" w:styleId="1194">
    <w:name w:val="表字"/>
    <w:basedOn w:val="1"/>
    <w:autoRedefine/>
    <w:qFormat/>
    <w:uiPriority w:val="0"/>
    <w:pPr>
      <w:jc w:val="center"/>
    </w:pPr>
    <w:rPr>
      <w:rFonts w:ascii="宋体"/>
      <w:szCs w:val="20"/>
    </w:rPr>
  </w:style>
  <w:style w:type="paragraph" w:customStyle="1" w:styleId="1195">
    <w:name w:val="xl135"/>
    <w:basedOn w:val="1"/>
    <w:autoRedefine/>
    <w:qFormat/>
    <w:uiPriority w:val="0"/>
    <w:pPr>
      <w:widowControl/>
      <w:spacing w:before="100" w:beforeAutospacing="1" w:after="100" w:afterAutospacing="1"/>
      <w:jc w:val="center"/>
    </w:pPr>
    <w:rPr>
      <w:rFonts w:ascii="Arial Unicode MS" w:hAnsi="Arial Unicode MS"/>
      <w:kern w:val="0"/>
      <w:sz w:val="16"/>
      <w:szCs w:val="16"/>
    </w:rPr>
  </w:style>
  <w:style w:type="paragraph" w:customStyle="1" w:styleId="1196">
    <w:name w:val="xl60"/>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197">
    <w:name w:val="样式 样式 样式 默认段落字体 Para Char Char Char Char + 字距调整二号 + +"/>
    <w:basedOn w:val="1"/>
    <w:autoRedefine/>
    <w:qFormat/>
    <w:uiPriority w:val="0"/>
    <w:pPr>
      <w:spacing w:beforeLines="50" w:afterLines="50" w:line="360" w:lineRule="auto"/>
      <w:jc w:val="center"/>
    </w:pPr>
    <w:rPr>
      <w:rFonts w:eastAsia="黑体"/>
      <w:kern w:val="44"/>
      <w:sz w:val="32"/>
    </w:rPr>
  </w:style>
  <w:style w:type="paragraph" w:customStyle="1" w:styleId="1198">
    <w:name w:val="Char Char Char2 Char"/>
    <w:basedOn w:val="1"/>
    <w:autoRedefine/>
    <w:qFormat/>
    <w:uiPriority w:val="0"/>
    <w:pPr>
      <w:spacing w:line="360" w:lineRule="auto"/>
      <w:ind w:firstLine="200" w:firstLineChars="200"/>
    </w:pPr>
    <w:rPr>
      <w:rFonts w:ascii="宋体" w:hAnsi="宋体" w:cs="宋体"/>
      <w:sz w:val="24"/>
    </w:rPr>
  </w:style>
  <w:style w:type="paragraph" w:customStyle="1" w:styleId="1199">
    <w:name w:val="Char Char2 Char Char"/>
    <w:basedOn w:val="1"/>
    <w:autoRedefine/>
    <w:qFormat/>
    <w:uiPriority w:val="0"/>
  </w:style>
  <w:style w:type="paragraph" w:customStyle="1" w:styleId="1200">
    <w:name w:val="默认段落字体 Para Char Char Char1 Char Char Char Char"/>
    <w:basedOn w:val="1"/>
    <w:autoRedefine/>
    <w:qFormat/>
    <w:uiPriority w:val="0"/>
    <w:pPr>
      <w:tabs>
        <w:tab w:val="left" w:pos="360"/>
      </w:tabs>
    </w:pPr>
    <w:rPr>
      <w:szCs w:val="20"/>
    </w:rPr>
  </w:style>
  <w:style w:type="paragraph" w:customStyle="1" w:styleId="1201">
    <w:name w:val="Char Char3 Char Char Char 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1202">
    <w:name w:val="- 页码 -"/>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1203">
    <w:name w:val="xl87"/>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204">
    <w:name w:val="样式 标题 2 + 行距: 1.5 倍行距2"/>
    <w:basedOn w:val="4"/>
    <w:autoRedefine/>
    <w:semiHidden/>
    <w:qFormat/>
    <w:uiPriority w:val="0"/>
    <w:pPr>
      <w:snapToGrid w:val="0"/>
      <w:spacing w:before="120" w:beforeLines="100" w:after="120" w:afterLines="100" w:line="240" w:lineRule="auto"/>
      <w:ind w:left="1134" w:hanging="992"/>
      <w:jc w:val="left"/>
    </w:pPr>
    <w:rPr>
      <w:rFonts w:ascii="Times New Roman" w:hAnsi="Times New Roman" w:cs="宋体"/>
      <w:sz w:val="28"/>
      <w:szCs w:val="28"/>
    </w:rPr>
  </w:style>
  <w:style w:type="paragraph" w:customStyle="1" w:styleId="1205">
    <w:name w:val="xl19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06">
    <w:name w:val="东明_正文 Char"/>
    <w:basedOn w:val="1"/>
    <w:autoRedefine/>
    <w:qFormat/>
    <w:uiPriority w:val="0"/>
    <w:pPr>
      <w:spacing w:before="240" w:after="240" w:line="480" w:lineRule="exact"/>
      <w:ind w:firstLine="560" w:firstLineChars="200"/>
    </w:pPr>
    <w:rPr>
      <w:sz w:val="28"/>
      <w:szCs w:val="20"/>
    </w:rPr>
  </w:style>
  <w:style w:type="paragraph" w:customStyle="1" w:styleId="1207">
    <w:name w:val="样式15"/>
    <w:basedOn w:val="1"/>
    <w:autoRedefine/>
    <w:qFormat/>
    <w:uiPriority w:val="0"/>
    <w:pPr>
      <w:numPr>
        <w:ilvl w:val="0"/>
        <w:numId w:val="14"/>
      </w:numPr>
      <w:tabs>
        <w:tab w:val="left" w:pos="432"/>
      </w:tabs>
    </w:pPr>
    <w:rPr>
      <w:sz w:val="24"/>
    </w:rPr>
  </w:style>
  <w:style w:type="paragraph" w:customStyle="1" w:styleId="1208">
    <w:name w:val="样式 标题 1章标题 11标题 1H1一、 + 行距: 单倍行距"/>
    <w:basedOn w:val="3"/>
    <w:autoRedefine/>
    <w:semiHidden/>
    <w:qFormat/>
    <w:uiPriority w:val="0"/>
    <w:pPr>
      <w:keepLines/>
      <w:overflowPunct/>
      <w:spacing w:before="340" w:after="330" w:line="240" w:lineRule="auto"/>
      <w:ind w:left="3845" w:hanging="3845"/>
      <w:jc w:val="center"/>
    </w:pPr>
    <w:rPr>
      <w:rFonts w:cs="宋体"/>
      <w:color w:val="auto"/>
      <w:sz w:val="44"/>
      <w:szCs w:val="20"/>
    </w:rPr>
  </w:style>
  <w:style w:type="paragraph" w:customStyle="1" w:styleId="1209">
    <w:name w:val="xl113"/>
    <w:basedOn w:val="1"/>
    <w:autoRedefine/>
    <w:qFormat/>
    <w:uiPriority w:val="0"/>
    <w:pPr>
      <w:widowControl/>
      <w:pBdr>
        <w:top w:val="single" w:color="auto" w:sz="8" w:space="0"/>
        <w:bottom w:val="single" w:color="auto" w:sz="12" w:space="0"/>
      </w:pBdr>
      <w:spacing w:before="100" w:beforeAutospacing="1" w:after="100" w:afterAutospacing="1"/>
      <w:jc w:val="left"/>
    </w:pPr>
    <w:rPr>
      <w:rFonts w:ascii="Arial Unicode MS" w:hAnsi="Arial Unicode MS"/>
      <w:kern w:val="0"/>
      <w:sz w:val="16"/>
      <w:szCs w:val="16"/>
    </w:rPr>
  </w:style>
  <w:style w:type="paragraph" w:customStyle="1" w:styleId="1210">
    <w:name w:val="封面标准文稿编辑信息"/>
    <w:autoRedefine/>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1211">
    <w:name w:val="xl152"/>
    <w:basedOn w:val="1"/>
    <w:autoRedefine/>
    <w:qFormat/>
    <w:uiPriority w:val="0"/>
    <w:pPr>
      <w:widowControl/>
      <w:spacing w:before="100" w:beforeAutospacing="1" w:after="100" w:afterAutospacing="1"/>
      <w:jc w:val="left"/>
      <w:textAlignment w:val="center"/>
    </w:pPr>
    <w:rPr>
      <w:rFonts w:ascii="Arial Unicode MS" w:hAnsi="Arial Unicode MS"/>
      <w:kern w:val="0"/>
      <w:sz w:val="16"/>
      <w:szCs w:val="16"/>
    </w:rPr>
  </w:style>
  <w:style w:type="paragraph" w:customStyle="1" w:styleId="1212">
    <w:name w:val="Char Char Char Char Char Char Char Char Char Char1 Char Char Char"/>
    <w:basedOn w:val="1"/>
    <w:autoRedefine/>
    <w:qFormat/>
    <w:uiPriority w:val="0"/>
    <w:pPr>
      <w:widowControl/>
      <w:contextualSpacing/>
      <w:jc w:val="left"/>
    </w:pPr>
    <w:rPr>
      <w:rFonts w:cs="宋体"/>
      <w:kern w:val="0"/>
    </w:rPr>
  </w:style>
  <w:style w:type="paragraph" w:customStyle="1" w:styleId="1213">
    <w:name w:val="表头样式1"/>
    <w:basedOn w:val="1"/>
    <w:autoRedefine/>
    <w:qFormat/>
    <w:uiPriority w:val="0"/>
    <w:pPr>
      <w:widowControl/>
      <w:tabs>
        <w:tab w:val="left" w:pos="2310"/>
      </w:tabs>
      <w:autoSpaceDE w:val="0"/>
      <w:autoSpaceDN w:val="0"/>
      <w:adjustRightInd w:val="0"/>
      <w:spacing w:line="480" w:lineRule="exact"/>
      <w:contextualSpacing/>
      <w:jc w:val="center"/>
    </w:pPr>
    <w:rPr>
      <w:rFonts w:cs="宋体"/>
      <w:b/>
      <w:bCs/>
      <w:kern w:val="0"/>
    </w:rPr>
  </w:style>
  <w:style w:type="paragraph" w:customStyle="1" w:styleId="1214">
    <w:name w:val="xl75"/>
    <w:basedOn w:val="1"/>
    <w:autoRedefine/>
    <w:qFormat/>
    <w:uiPriority w:val="0"/>
    <w:pPr>
      <w:widowControl/>
      <w:spacing w:before="100" w:beforeAutospacing="1" w:after="100" w:afterAutospacing="1"/>
      <w:jc w:val="left"/>
    </w:pPr>
    <w:rPr>
      <w:kern w:val="0"/>
      <w:sz w:val="12"/>
      <w:szCs w:val="12"/>
    </w:rPr>
  </w:style>
  <w:style w:type="paragraph" w:customStyle="1" w:styleId="1215">
    <w:name w:val="CM18"/>
    <w:basedOn w:val="1"/>
    <w:next w:val="1"/>
    <w:autoRedefine/>
    <w:qFormat/>
    <w:uiPriority w:val="0"/>
    <w:pPr>
      <w:autoSpaceDE w:val="0"/>
      <w:autoSpaceDN w:val="0"/>
      <w:adjustRightInd w:val="0"/>
      <w:spacing w:line="468" w:lineRule="atLeast"/>
      <w:contextualSpacing/>
      <w:jc w:val="left"/>
    </w:pPr>
    <w:rPr>
      <w:rFonts w:ascii="黑体" w:eastAsia="黑体"/>
      <w:kern w:val="0"/>
    </w:rPr>
  </w:style>
  <w:style w:type="paragraph" w:customStyle="1" w:styleId="1216">
    <w:name w:val="xl109"/>
    <w:basedOn w:val="1"/>
    <w:autoRedefine/>
    <w:qFormat/>
    <w:uiPriority w:val="0"/>
    <w:pPr>
      <w:widowControl/>
      <w:pBdr>
        <w:top w:val="single" w:color="auto" w:sz="12"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17">
    <w:name w:val="菏泽-标题4"/>
    <w:basedOn w:val="1"/>
    <w:autoRedefine/>
    <w:qFormat/>
    <w:uiPriority w:val="0"/>
    <w:pPr>
      <w:spacing w:line="440" w:lineRule="exact"/>
      <w:ind w:firstLine="420" w:firstLineChars="200"/>
    </w:pPr>
    <w:rPr>
      <w:rFonts w:ascii="华文细黑" w:hAnsi="华文细黑" w:eastAsia="华文细黑"/>
      <w:b/>
      <w:szCs w:val="20"/>
    </w:rPr>
  </w:style>
  <w:style w:type="paragraph" w:customStyle="1" w:styleId="1218">
    <w:name w:val="xl99"/>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19">
    <w:name w:val="IDC A-Head (2nd Line)"/>
    <w:basedOn w:val="1"/>
    <w:next w:val="1"/>
    <w:autoRedefine/>
    <w:qFormat/>
    <w:uiPriority w:val="0"/>
    <w:pPr>
      <w:widowControl/>
      <w:jc w:val="center"/>
    </w:pPr>
    <w:rPr>
      <w:caps/>
      <w:kern w:val="0"/>
      <w:sz w:val="24"/>
      <w:szCs w:val="20"/>
    </w:rPr>
  </w:style>
  <w:style w:type="paragraph" w:customStyle="1" w:styleId="1220">
    <w:name w:val="样式 正文文本 + 首行缩进:  2 字符 段前: 0.5 行"/>
    <w:basedOn w:val="1"/>
    <w:autoRedefine/>
    <w:qFormat/>
    <w:uiPriority w:val="0"/>
    <w:pPr>
      <w:widowControl/>
      <w:spacing w:line="360" w:lineRule="auto"/>
      <w:ind w:firstLine="480" w:firstLineChars="200"/>
    </w:pPr>
    <w:rPr>
      <w:rFonts w:ascii="宋体" w:hAnsi="宋体" w:cs="宋体"/>
      <w:color w:val="000000"/>
      <w:sz w:val="24"/>
    </w:rPr>
  </w:style>
  <w:style w:type="paragraph" w:customStyle="1" w:styleId="1221">
    <w:name w:val="CM22"/>
    <w:basedOn w:val="732"/>
    <w:next w:val="732"/>
    <w:autoRedefine/>
    <w:qFormat/>
    <w:uiPriority w:val="0"/>
    <w:pPr>
      <w:spacing w:after="145"/>
    </w:pPr>
    <w:rPr>
      <w:color w:val="auto"/>
    </w:rPr>
  </w:style>
  <w:style w:type="paragraph" w:customStyle="1" w:styleId="1222">
    <w:name w:val="xl148"/>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rPr>
  </w:style>
  <w:style w:type="paragraph" w:customStyle="1" w:styleId="1223">
    <w:name w:val="正文表"/>
    <w:basedOn w:val="1"/>
    <w:autoRedefine/>
    <w:qFormat/>
    <w:uiPriority w:val="0"/>
    <w:pPr>
      <w:tabs>
        <w:tab w:val="left" w:pos="2451"/>
        <w:tab w:val="left" w:pos="4614"/>
        <w:tab w:val="left" w:pos="6777"/>
        <w:tab w:val="left" w:pos="8940"/>
      </w:tabs>
      <w:autoSpaceDE w:val="0"/>
      <w:autoSpaceDN w:val="0"/>
      <w:adjustRightInd w:val="0"/>
      <w:contextualSpacing/>
      <w:jc w:val="center"/>
      <w:textAlignment w:val="bottom"/>
    </w:pPr>
    <w:rPr>
      <w:color w:val="000000"/>
      <w:kern w:val="0"/>
      <w:sz w:val="28"/>
      <w:szCs w:val="20"/>
    </w:rPr>
  </w:style>
  <w:style w:type="paragraph" w:customStyle="1" w:styleId="1224">
    <w:name w:val="p15"/>
    <w:basedOn w:val="1"/>
    <w:autoRedefine/>
    <w:qFormat/>
    <w:uiPriority w:val="0"/>
    <w:pPr>
      <w:widowControl/>
      <w:jc w:val="left"/>
    </w:pPr>
    <w:rPr>
      <w:rFonts w:ascii="宋体" w:hAnsi="宋体" w:cs="宋体"/>
      <w:kern w:val="0"/>
      <w:sz w:val="24"/>
    </w:rPr>
  </w:style>
  <w:style w:type="paragraph" w:customStyle="1" w:styleId="1225">
    <w:name w:val="样式9"/>
    <w:basedOn w:val="3"/>
    <w:autoRedefine/>
    <w:qFormat/>
    <w:uiPriority w:val="0"/>
    <w:pPr>
      <w:keepLines/>
      <w:tabs>
        <w:tab w:val="left" w:pos="390"/>
      </w:tabs>
      <w:overflowPunct/>
      <w:snapToGrid/>
      <w:spacing w:before="340" w:beforeLines="200" w:after="330" w:afterLines="200" w:line="520" w:lineRule="exact"/>
      <w:ind w:left="390" w:firstLine="0"/>
    </w:pPr>
    <w:rPr>
      <w:rFonts w:ascii="Calibri" w:hAnsi="Calibri" w:eastAsia="宋体"/>
      <w:color w:val="auto"/>
      <w:sz w:val="44"/>
      <w:szCs w:val="44"/>
    </w:rPr>
  </w:style>
  <w:style w:type="paragraph" w:customStyle="1" w:styleId="1226">
    <w:name w:val="环评正文"/>
    <w:basedOn w:val="3"/>
    <w:autoRedefine/>
    <w:qFormat/>
    <w:uiPriority w:val="0"/>
    <w:pPr>
      <w:keepNext w:val="0"/>
      <w:overflowPunct/>
      <w:snapToGrid/>
      <w:spacing w:before="60" w:after="60" w:line="400" w:lineRule="exact"/>
      <w:ind w:left="0" w:firstLine="480" w:firstLineChars="200"/>
      <w:outlineLvl w:val="9"/>
    </w:pPr>
    <w:rPr>
      <w:rFonts w:eastAsia="仿宋_GB2312"/>
      <w:b w:val="0"/>
      <w:color w:val="auto"/>
      <w:sz w:val="24"/>
      <w:szCs w:val="28"/>
    </w:rPr>
  </w:style>
  <w:style w:type="paragraph" w:customStyle="1" w:styleId="1227">
    <w:name w:val="xl129"/>
    <w:basedOn w:val="1"/>
    <w:autoRedefine/>
    <w:qFormat/>
    <w:uiPriority w:val="0"/>
    <w:pPr>
      <w:widowControl/>
      <w:pBdr>
        <w:righ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28">
    <w:name w:val="text4"/>
    <w:basedOn w:val="1"/>
    <w:autoRedefine/>
    <w:qFormat/>
    <w:uiPriority w:val="0"/>
    <w:pPr>
      <w:widowControl/>
      <w:spacing w:after="150" w:line="336" w:lineRule="auto"/>
      <w:ind w:firstLine="400"/>
      <w:jc w:val="left"/>
    </w:pPr>
    <w:rPr>
      <w:rFonts w:ascii="Arial Unicode MS" w:hAnsi="Arial Unicode MS"/>
      <w:color w:val="333300"/>
      <w:kern w:val="0"/>
      <w:sz w:val="20"/>
      <w:szCs w:val="20"/>
    </w:rPr>
  </w:style>
  <w:style w:type="paragraph" w:customStyle="1" w:styleId="1229">
    <w:name w:val="xl164"/>
    <w:basedOn w:val="1"/>
    <w:autoRedefine/>
    <w:qFormat/>
    <w:uiPriority w:val="0"/>
    <w:pPr>
      <w:widowControl/>
      <w:pBdr>
        <w:left w:val="single" w:color="auto" w:sz="12" w:space="0"/>
        <w:bottom w:val="single" w:color="auto" w:sz="12" w:space="0"/>
      </w:pBdr>
      <w:spacing w:before="100" w:beforeAutospacing="1" w:after="100" w:afterAutospacing="1"/>
      <w:jc w:val="center"/>
    </w:pPr>
    <w:rPr>
      <w:rFonts w:ascii="Arial Unicode MS" w:hAnsi="Arial Unicode MS"/>
      <w:kern w:val="0"/>
    </w:rPr>
  </w:style>
  <w:style w:type="paragraph" w:customStyle="1" w:styleId="1230">
    <w:name w:val="Char Char Char Char Char Char Char Char Char Char2"/>
    <w:basedOn w:val="1"/>
    <w:autoRedefine/>
    <w:qFormat/>
    <w:uiPriority w:val="0"/>
    <w:pPr>
      <w:widowControl/>
      <w:contextualSpacing/>
      <w:jc w:val="left"/>
    </w:pPr>
    <w:rPr>
      <w:rFonts w:cs="宋体"/>
      <w:kern w:val="0"/>
    </w:rPr>
  </w:style>
  <w:style w:type="paragraph" w:customStyle="1" w:styleId="1231">
    <w:name w:val="样式 标题 4东明_小节2Char Char Char Char Char Char Char Char Char Char..."/>
    <w:basedOn w:val="6"/>
    <w:autoRedefine/>
    <w:semiHidden/>
    <w:qFormat/>
    <w:uiPriority w:val="0"/>
    <w:pPr>
      <w:snapToGrid w:val="0"/>
      <w:spacing w:before="0" w:after="0" w:line="600" w:lineRule="exact"/>
      <w:ind w:left="2884" w:hanging="1984"/>
    </w:pPr>
    <w:rPr>
      <w:rFonts w:ascii="Times New Roman" w:hAnsi="Times New Roman" w:eastAsia="黑体" w:cs="宋体"/>
      <w:b w:val="0"/>
      <w:sz w:val="24"/>
      <w:szCs w:val="20"/>
    </w:rPr>
  </w:style>
  <w:style w:type="paragraph" w:customStyle="1" w:styleId="1232">
    <w:name w:val="表标题7.2"/>
    <w:basedOn w:val="1"/>
    <w:autoRedefine/>
    <w:qFormat/>
    <w:uiPriority w:val="0"/>
    <w:pPr>
      <w:numPr>
        <w:ilvl w:val="0"/>
        <w:numId w:val="15"/>
      </w:numPr>
      <w:tabs>
        <w:tab w:val="left" w:pos="3765"/>
        <w:tab w:val="center" w:pos="4060"/>
        <w:tab w:val="right" w:pos="8261"/>
        <w:tab w:val="clear" w:pos="726"/>
      </w:tabs>
      <w:suppressAutoHyphens/>
      <w:adjustRightInd w:val="0"/>
      <w:spacing w:beforeLines="100" w:line="0" w:lineRule="atLeast"/>
      <w:ind w:left="3041"/>
      <w:jc w:val="center"/>
    </w:pPr>
    <w:rPr>
      <w:rFonts w:ascii="黑体" w:eastAsia="黑体" w:cs="宋体"/>
      <w:b/>
      <w:bCs/>
      <w:spacing w:val="6"/>
      <w:kern w:val="0"/>
      <w:sz w:val="24"/>
    </w:rPr>
  </w:style>
  <w:style w:type="paragraph" w:customStyle="1" w:styleId="1233">
    <w:name w:val="xl107"/>
    <w:basedOn w:val="1"/>
    <w:autoRedefine/>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34">
    <w:name w:val="样式 标题 4 + (符号) 宋体 段前: 6 磅"/>
    <w:basedOn w:val="6"/>
    <w:autoRedefine/>
    <w:qFormat/>
    <w:uiPriority w:val="0"/>
    <w:pPr>
      <w:snapToGrid w:val="0"/>
      <w:spacing w:before="0" w:after="0" w:line="540" w:lineRule="exact"/>
      <w:ind w:left="2884" w:hanging="1984"/>
      <w:jc w:val="left"/>
    </w:pPr>
    <w:rPr>
      <w:rFonts w:ascii="Times New Roman" w:hAnsi="宋体" w:cs="宋体"/>
      <w:sz w:val="24"/>
      <w:szCs w:val="20"/>
    </w:rPr>
  </w:style>
  <w:style w:type="paragraph" w:customStyle="1" w:styleId="1235">
    <w:name w:val="Char11"/>
    <w:basedOn w:val="1"/>
    <w:autoRedefine/>
    <w:qFormat/>
    <w:uiPriority w:val="0"/>
    <w:pPr>
      <w:snapToGrid w:val="0"/>
      <w:spacing w:line="500" w:lineRule="exact"/>
      <w:contextualSpacing/>
    </w:pPr>
    <w:rPr>
      <w:rFonts w:eastAsia="仿宋_GB2312"/>
    </w:rPr>
  </w:style>
  <w:style w:type="paragraph" w:customStyle="1" w:styleId="1236">
    <w:name w:val="表体"/>
    <w:basedOn w:val="160"/>
    <w:autoRedefine/>
    <w:semiHidden/>
    <w:qFormat/>
    <w:uiPriority w:val="0"/>
    <w:pPr>
      <w:overflowPunct w:val="0"/>
      <w:autoSpaceDE w:val="0"/>
      <w:autoSpaceDN w:val="0"/>
      <w:snapToGrid/>
      <w:spacing w:line="300" w:lineRule="atLeast"/>
      <w:jc w:val="left"/>
    </w:pPr>
    <w:rPr>
      <w:rFonts w:eastAsia="宋体"/>
      <w:color w:val="000000"/>
      <w:spacing w:val="0"/>
      <w:kern w:val="24"/>
      <w:sz w:val="18"/>
    </w:rPr>
  </w:style>
  <w:style w:type="paragraph" w:customStyle="1" w:styleId="1237">
    <w:name w:val="wj12"/>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1238">
    <w:name w:val="xl156"/>
    <w:basedOn w:val="1"/>
    <w:autoRedefine/>
    <w:qFormat/>
    <w:uiPriority w:val="0"/>
    <w:pPr>
      <w:widowControl/>
      <w:pBdr>
        <w:left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1239">
    <w:name w:val="样式 标题 51)项标5 +"/>
    <w:basedOn w:val="7"/>
    <w:autoRedefine/>
    <w:qFormat/>
    <w:uiPriority w:val="0"/>
    <w:pPr>
      <w:keepNext w:val="0"/>
      <w:keepLines w:val="0"/>
      <w:tabs>
        <w:tab w:val="left" w:pos="987"/>
        <w:tab w:val="clear" w:pos="1008"/>
      </w:tabs>
      <w:spacing w:before="0" w:after="0" w:line="360" w:lineRule="auto"/>
      <w:ind w:left="987" w:hanging="420"/>
      <w:contextualSpacing/>
    </w:pPr>
    <w:rPr>
      <w:rFonts w:hAnsi="Arial"/>
      <w:b w:val="0"/>
      <w:bCs/>
      <w:color w:val="000000"/>
      <w:spacing w:val="3"/>
      <w:szCs w:val="28"/>
    </w:rPr>
  </w:style>
  <w:style w:type="paragraph" w:customStyle="1" w:styleId="1240">
    <w:name w:val="xl81"/>
    <w:basedOn w:val="1"/>
    <w:autoRedefine/>
    <w:qFormat/>
    <w:uiPriority w:val="0"/>
    <w:pPr>
      <w:widowControl/>
      <w:pBdr>
        <w:left w:val="single" w:color="auto" w:sz="12" w:space="0"/>
        <w:bottom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1241">
    <w:name w:val="菏泽-正文 Char"/>
    <w:basedOn w:val="1"/>
    <w:autoRedefine/>
    <w:qFormat/>
    <w:uiPriority w:val="0"/>
    <w:pPr>
      <w:spacing w:line="440" w:lineRule="exact"/>
      <w:ind w:firstLine="420" w:firstLineChars="200"/>
    </w:pPr>
    <w:rPr>
      <w:rFonts w:ascii="Arial" w:hAnsi="Arial" w:eastAsia="华文细黑"/>
    </w:rPr>
  </w:style>
  <w:style w:type="paragraph" w:customStyle="1" w:styleId="1242">
    <w:name w:val="小Ꮄ"/>
    <w:basedOn w:val="1"/>
    <w:autoRedefine/>
    <w:qFormat/>
    <w:uiPriority w:val="0"/>
    <w:pPr>
      <w:spacing w:before="60" w:after="60" w:line="360" w:lineRule="auto"/>
    </w:pPr>
  </w:style>
  <w:style w:type="paragraph" w:customStyle="1" w:styleId="1243">
    <w:name w:val="xl130"/>
    <w:basedOn w:val="1"/>
    <w:autoRedefine/>
    <w:qFormat/>
    <w:uiPriority w:val="0"/>
    <w:pPr>
      <w:widowControl/>
      <w:pBdr>
        <w:left w:val="single" w:color="auto" w:sz="4" w:space="0"/>
        <w:righ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44">
    <w:name w:val="样式 样式 样式 标题 4 + 宋体 行距: 1.5 倍行距 + 段前: 0.5 行 + Times New Roman"/>
    <w:basedOn w:val="853"/>
    <w:autoRedefine/>
    <w:qFormat/>
    <w:uiPriority w:val="0"/>
    <w:pPr>
      <w:snapToGrid w:val="0"/>
      <w:spacing w:beforeLines="50" w:after="120"/>
      <w:ind w:left="2884" w:hanging="2884"/>
      <w:jc w:val="left"/>
    </w:pPr>
    <w:rPr>
      <w:rFonts w:hAnsi="Times New Roman"/>
      <w:b w:val="0"/>
    </w:rPr>
  </w:style>
  <w:style w:type="paragraph" w:customStyle="1" w:styleId="1245">
    <w:name w:val="xl174"/>
    <w:basedOn w:val="1"/>
    <w:autoRedefine/>
    <w:qFormat/>
    <w:uiPriority w:val="0"/>
    <w:pPr>
      <w:widowControl/>
      <w:spacing w:before="100" w:beforeAutospacing="1" w:after="100" w:afterAutospacing="1"/>
      <w:jc w:val="center"/>
    </w:pPr>
    <w:rPr>
      <w:rFonts w:ascii="Arial Unicode MS" w:hAnsi="Arial Unicode MS"/>
      <w:kern w:val="0"/>
      <w:sz w:val="16"/>
      <w:szCs w:val="16"/>
    </w:rPr>
  </w:style>
  <w:style w:type="paragraph" w:customStyle="1" w:styleId="1246">
    <w:name w:val="样式 样式 样式 首行缩进:  2 字符 + 首行缩进:  2 字符 + 居中 行距: 单倍行距"/>
    <w:basedOn w:val="1"/>
    <w:autoRedefine/>
    <w:qFormat/>
    <w:uiPriority w:val="0"/>
    <w:pPr>
      <w:jc w:val="center"/>
    </w:pPr>
    <w:rPr>
      <w:rFonts w:eastAsia="仿宋_GB2312"/>
      <w:sz w:val="24"/>
      <w:szCs w:val="20"/>
    </w:rPr>
  </w:style>
  <w:style w:type="paragraph" w:customStyle="1" w:styleId="1247">
    <w:name w:val="xl45"/>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248">
    <w:name w:val="表格 左侧"/>
    <w:basedOn w:val="200"/>
    <w:autoRedefine/>
    <w:qFormat/>
    <w:uiPriority w:val="0"/>
    <w:pPr>
      <w:widowControl/>
      <w:adjustRightInd/>
      <w:snapToGrid/>
      <w:spacing w:beforeLines="0" w:afterLines="0" w:line="240" w:lineRule="auto"/>
      <w:jc w:val="left"/>
    </w:pPr>
    <w:rPr>
      <w:rFonts w:ascii="Times New Roman"/>
      <w:b/>
      <w:bCs/>
      <w:snapToGrid w:val="0"/>
      <w:kern w:val="18"/>
      <w:szCs w:val="21"/>
    </w:rPr>
  </w:style>
  <w:style w:type="paragraph" w:customStyle="1" w:styleId="1249">
    <w:name w:val="xl91"/>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50">
    <w:name w:val="xl139"/>
    <w:basedOn w:val="1"/>
    <w:autoRedefine/>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1251">
    <w:name w:val="font_mid"/>
    <w:basedOn w:val="1"/>
    <w:autoRedefine/>
    <w:qFormat/>
    <w:uiPriority w:val="0"/>
    <w:pPr>
      <w:widowControl/>
      <w:spacing w:before="100" w:beforeAutospacing="1" w:after="100" w:afterAutospacing="1"/>
      <w:jc w:val="left"/>
    </w:pPr>
    <w:rPr>
      <w:rFonts w:ascii="宋体" w:hAnsi="宋体"/>
      <w:color w:val="000000"/>
      <w:kern w:val="0"/>
      <w:sz w:val="24"/>
    </w:rPr>
  </w:style>
  <w:style w:type="paragraph" w:customStyle="1" w:styleId="1252">
    <w:name w:val="表格的文字"/>
    <w:basedOn w:val="1"/>
    <w:autoRedefine/>
    <w:qFormat/>
    <w:uiPriority w:val="0"/>
    <w:pPr>
      <w:spacing w:line="300" w:lineRule="exact"/>
      <w:jc w:val="center"/>
    </w:pPr>
    <w:rPr>
      <w:rFonts w:ascii="仿宋_GB2312" w:eastAsia="仿宋_GB2312"/>
      <w:bCs/>
      <w:szCs w:val="20"/>
    </w:rPr>
  </w:style>
  <w:style w:type="paragraph" w:customStyle="1" w:styleId="1253">
    <w:name w:val="新正文"/>
    <w:basedOn w:val="1"/>
    <w:autoRedefine/>
    <w:qFormat/>
    <w:uiPriority w:val="0"/>
    <w:pPr>
      <w:spacing w:line="480" w:lineRule="exact"/>
      <w:ind w:firstLine="567"/>
    </w:pPr>
    <w:rPr>
      <w:rFonts w:ascii="仿宋_GB2312" w:eastAsia="仿宋_GB2312"/>
      <w:bCs/>
      <w:kern w:val="0"/>
      <w:sz w:val="28"/>
      <w:szCs w:val="20"/>
    </w:rPr>
  </w:style>
  <w:style w:type="paragraph" w:customStyle="1" w:styleId="1254">
    <w:name w:val="brdrw15brsp20 tqctx4153t"/>
    <w:autoRedefine/>
    <w:qFormat/>
    <w:uiPriority w:val="0"/>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paragraph" w:customStyle="1" w:styleId="1255">
    <w:name w:val="xl196"/>
    <w:basedOn w:val="1"/>
    <w:autoRedefine/>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kern w:val="0"/>
    </w:rPr>
  </w:style>
  <w:style w:type="paragraph" w:customStyle="1" w:styleId="1256">
    <w:name w:val="zw"/>
    <w:basedOn w:val="1"/>
    <w:autoRedefine/>
    <w:qFormat/>
    <w:uiPriority w:val="0"/>
    <w:pPr>
      <w:widowControl/>
      <w:spacing w:before="100" w:beforeAutospacing="1" w:after="100" w:afterAutospacing="1" w:line="400" w:lineRule="atLeast"/>
      <w:jc w:val="left"/>
    </w:pPr>
    <w:rPr>
      <w:rFonts w:hint="eastAsia" w:ascii="宋体" w:hAnsi="宋体"/>
      <w:kern w:val="0"/>
      <w:sz w:val="22"/>
      <w:szCs w:val="22"/>
    </w:rPr>
  </w:style>
  <w:style w:type="paragraph" w:customStyle="1" w:styleId="1257">
    <w:name w:val="3级标题"/>
    <w:basedOn w:val="1"/>
    <w:autoRedefine/>
    <w:qFormat/>
    <w:uiPriority w:val="0"/>
    <w:pPr>
      <w:spacing w:before="300" w:line="460" w:lineRule="exact"/>
      <w:outlineLvl w:val="2"/>
    </w:pPr>
    <w:rPr>
      <w:b/>
      <w:sz w:val="24"/>
      <w:szCs w:val="20"/>
    </w:rPr>
  </w:style>
  <w:style w:type="paragraph" w:customStyle="1" w:styleId="1258">
    <w:name w:val="Char51"/>
    <w:basedOn w:val="1"/>
    <w:autoRedefine/>
    <w:qFormat/>
    <w:uiPriority w:val="0"/>
  </w:style>
  <w:style w:type="paragraph" w:customStyle="1" w:styleId="1259">
    <w:name w:val="xl180"/>
    <w:basedOn w:val="1"/>
    <w:autoRedefine/>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60">
    <w:name w:val="样式 标题 2 + 段前: 0.1 行 段后: 0.1 行"/>
    <w:basedOn w:val="4"/>
    <w:autoRedefine/>
    <w:qFormat/>
    <w:uiPriority w:val="0"/>
    <w:pPr>
      <w:spacing w:before="120" w:beforeLines="100" w:after="120" w:afterLines="100" w:line="240" w:lineRule="auto"/>
      <w:ind w:left="1134" w:hanging="992"/>
    </w:pPr>
    <w:rPr>
      <w:rFonts w:ascii="Times New Roman" w:hAnsi="Times New Roman" w:cs="宋体"/>
      <w:sz w:val="30"/>
      <w:szCs w:val="20"/>
    </w:rPr>
  </w:style>
  <w:style w:type="paragraph" w:customStyle="1" w:styleId="1261">
    <w:name w:val="copyright"/>
    <w:basedOn w:val="1"/>
    <w:autoRedefine/>
    <w:qFormat/>
    <w:uiPriority w:val="0"/>
    <w:pPr>
      <w:widowControl/>
      <w:spacing w:before="100" w:beforeAutospacing="1" w:after="100" w:afterAutospacing="1"/>
      <w:ind w:firstLine="401"/>
      <w:jc w:val="left"/>
    </w:pPr>
    <w:rPr>
      <w:rFonts w:ascii="宋体" w:hAnsi="宋体" w:cs="宋体"/>
      <w:color w:val="000000"/>
      <w:kern w:val="0"/>
      <w:sz w:val="20"/>
      <w:szCs w:val="20"/>
    </w:rPr>
  </w:style>
  <w:style w:type="paragraph" w:customStyle="1" w:styleId="1262">
    <w:name w:val="样式 标题 4 + (西文) Times New Roman (中文) 宋体 小四"/>
    <w:basedOn w:val="6"/>
    <w:autoRedefine/>
    <w:qFormat/>
    <w:uiPriority w:val="0"/>
    <w:pPr>
      <w:tabs>
        <w:tab w:val="left" w:pos="1247"/>
      </w:tabs>
      <w:spacing w:before="0" w:beforeLines="25" w:after="0" w:afterLines="25" w:line="360" w:lineRule="auto"/>
      <w:ind w:left="964" w:hanging="964"/>
    </w:pPr>
    <w:rPr>
      <w:rFonts w:ascii="宋体" w:hAnsi="宋体"/>
      <w:b w:val="0"/>
      <w:bCs w:val="0"/>
      <w:sz w:val="24"/>
      <w:szCs w:val="24"/>
    </w:rPr>
  </w:style>
  <w:style w:type="paragraph" w:customStyle="1" w:styleId="1263">
    <w:name w:val="Char Char Char"/>
    <w:basedOn w:val="1"/>
    <w:autoRedefine/>
    <w:qFormat/>
    <w:uiPriority w:val="0"/>
    <w:rPr>
      <w:sz w:val="24"/>
    </w:rPr>
  </w:style>
  <w:style w:type="paragraph" w:customStyle="1" w:styleId="1264">
    <w:name w:val="东明_正文"/>
    <w:basedOn w:val="1"/>
    <w:autoRedefine/>
    <w:qFormat/>
    <w:uiPriority w:val="0"/>
    <w:pPr>
      <w:spacing w:before="240" w:after="240" w:line="480" w:lineRule="exact"/>
      <w:ind w:firstLine="560" w:firstLineChars="200"/>
    </w:pPr>
    <w:rPr>
      <w:sz w:val="28"/>
      <w:szCs w:val="20"/>
    </w:rPr>
  </w:style>
  <w:style w:type="paragraph" w:customStyle="1" w:styleId="1265">
    <w:name w:val="表格文本 小五 居中"/>
    <w:basedOn w:val="1"/>
    <w:autoRedefine/>
    <w:qFormat/>
    <w:uiPriority w:val="0"/>
    <w:pPr>
      <w:adjustRightInd w:val="0"/>
      <w:snapToGrid w:val="0"/>
      <w:jc w:val="center"/>
    </w:pPr>
    <w:rPr>
      <w:rFonts w:cs="宋体"/>
    </w:rPr>
  </w:style>
  <w:style w:type="paragraph" w:customStyle="1" w:styleId="1266">
    <w:name w:val="xl116"/>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267">
    <w:name w:val="表格样式"/>
    <w:basedOn w:val="1"/>
    <w:autoRedefine/>
    <w:qFormat/>
    <w:uiPriority w:val="0"/>
    <w:pPr>
      <w:widowControl/>
    </w:pPr>
    <w:rPr>
      <w:sz w:val="24"/>
    </w:rPr>
  </w:style>
  <w:style w:type="paragraph" w:customStyle="1" w:styleId="1268">
    <w:name w:val="表格文字中 Char Char"/>
    <w:basedOn w:val="1"/>
    <w:autoRedefine/>
    <w:qFormat/>
    <w:uiPriority w:val="0"/>
    <w:pPr>
      <w:keepNext/>
      <w:widowControl/>
      <w:spacing w:line="160" w:lineRule="atLeast"/>
      <w:contextualSpacing/>
      <w:jc w:val="center"/>
    </w:pPr>
    <w:rPr>
      <w:rFonts w:cs="宋体"/>
      <w:color w:val="000000"/>
      <w:kern w:val="0"/>
      <w:szCs w:val="20"/>
    </w:rPr>
  </w:style>
  <w:style w:type="paragraph" w:customStyle="1" w:styleId="1269">
    <w:name w:val="表文"/>
    <w:basedOn w:val="1"/>
    <w:autoRedefine/>
    <w:qFormat/>
    <w:uiPriority w:val="0"/>
    <w:pPr>
      <w:keepNext/>
      <w:adjustRightInd w:val="0"/>
      <w:spacing w:before="40" w:line="288" w:lineRule="auto"/>
      <w:jc w:val="center"/>
      <w:textAlignment w:val="baseline"/>
    </w:pPr>
    <w:rPr>
      <w:kern w:val="0"/>
      <w:sz w:val="24"/>
      <w:szCs w:val="20"/>
    </w:rPr>
  </w:style>
  <w:style w:type="paragraph" w:customStyle="1" w:styleId="1270">
    <w:name w:val="菏泽-标题 3 Char Char Char"/>
    <w:basedOn w:val="1"/>
    <w:next w:val="1"/>
    <w:autoRedefine/>
    <w:qFormat/>
    <w:uiPriority w:val="0"/>
    <w:pPr>
      <w:keepNext/>
      <w:keepLines/>
      <w:overflowPunct w:val="0"/>
      <w:snapToGrid w:val="0"/>
      <w:spacing w:line="440" w:lineRule="exact"/>
      <w:ind w:firstLine="359" w:firstLineChars="128"/>
      <w:outlineLvl w:val="2"/>
    </w:pPr>
    <w:rPr>
      <w:rFonts w:ascii="华文细黑" w:hAnsi="华文细黑" w:eastAsia="华文细黑"/>
      <w:b/>
      <w:sz w:val="28"/>
      <w:szCs w:val="28"/>
    </w:rPr>
  </w:style>
  <w:style w:type="paragraph" w:customStyle="1" w:styleId="1271">
    <w:name w:val="样式 标题 1章标题 11标题 1H1一、 + 行距: 1.5 倍行距3"/>
    <w:basedOn w:val="3"/>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1272">
    <w:name w:val="5 Char"/>
    <w:basedOn w:val="1"/>
    <w:autoRedefine/>
    <w:qFormat/>
    <w:uiPriority w:val="0"/>
    <w:rPr>
      <w:sz w:val="24"/>
    </w:rPr>
  </w:style>
  <w:style w:type="paragraph" w:customStyle="1" w:styleId="1273">
    <w:name w:val="正文内容"/>
    <w:basedOn w:val="1"/>
    <w:autoRedefine/>
    <w:qFormat/>
    <w:uiPriority w:val="0"/>
    <w:pPr>
      <w:adjustRightInd w:val="0"/>
      <w:snapToGrid w:val="0"/>
      <w:spacing w:line="360" w:lineRule="auto"/>
      <w:ind w:firstLine="510"/>
    </w:pPr>
    <w:rPr>
      <w:rFonts w:ascii="宋体" w:hAnsi="宋体"/>
      <w:snapToGrid w:val="0"/>
      <w:spacing w:val="4"/>
      <w:kern w:val="0"/>
      <w:sz w:val="24"/>
      <w:szCs w:val="20"/>
    </w:rPr>
  </w:style>
  <w:style w:type="paragraph" w:customStyle="1" w:styleId="1274">
    <w:name w:val="xl26"/>
    <w:basedOn w:val="1"/>
    <w:autoRedefine/>
    <w:qFormat/>
    <w:uiPriority w:val="0"/>
    <w:pPr>
      <w:widowControl/>
      <w:pBdr>
        <w:bottom w:val="single" w:color="auto" w:sz="4" w:space="0"/>
        <w:right w:val="single" w:color="auto" w:sz="4" w:space="0"/>
      </w:pBdr>
      <w:spacing w:before="100" w:after="100"/>
      <w:jc w:val="center"/>
      <w:textAlignment w:val="top"/>
    </w:pPr>
    <w:rPr>
      <w:kern w:val="0"/>
      <w:szCs w:val="20"/>
    </w:rPr>
  </w:style>
  <w:style w:type="paragraph" w:customStyle="1" w:styleId="1275">
    <w:name w:val="样式 标题 2 + 行距: 1.5 倍行距1"/>
    <w:basedOn w:val="4"/>
    <w:autoRedefine/>
    <w:qFormat/>
    <w:uiPriority w:val="0"/>
    <w:pPr>
      <w:snapToGrid w:val="0"/>
      <w:spacing w:before="240" w:after="240" w:line="240" w:lineRule="auto"/>
      <w:ind w:left="1134" w:hanging="992"/>
      <w:jc w:val="left"/>
    </w:pPr>
    <w:rPr>
      <w:rFonts w:ascii="Times New Roman" w:hAnsi="Times New Roman" w:cs="宋体"/>
      <w:sz w:val="28"/>
      <w:szCs w:val="20"/>
    </w:rPr>
  </w:style>
  <w:style w:type="paragraph" w:customStyle="1" w:styleId="1276">
    <w:name w:val="标题21"/>
    <w:basedOn w:val="1"/>
    <w:autoRedefine/>
    <w:qFormat/>
    <w:uiPriority w:val="0"/>
    <w:pPr>
      <w:suppressLineNumbers/>
      <w:spacing w:line="360" w:lineRule="auto"/>
      <w:outlineLvl w:val="1"/>
    </w:pPr>
    <w:rPr>
      <w:rFonts w:eastAsia="黑体"/>
      <w:sz w:val="36"/>
      <w:szCs w:val="36"/>
    </w:rPr>
  </w:style>
  <w:style w:type="paragraph" w:customStyle="1" w:styleId="1277">
    <w:name w:val="普通 (Web)"/>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278">
    <w:name w:val="样式 样式 样式 正文 首行缩进:  2 字符 SL CON + 首行缩进:  2 字符 + (符号) 宋体 + 字距调整小四"/>
    <w:basedOn w:val="1"/>
    <w:autoRedefine/>
    <w:qFormat/>
    <w:uiPriority w:val="0"/>
    <w:pPr>
      <w:widowControl/>
      <w:numPr>
        <w:ilvl w:val="0"/>
        <w:numId w:val="4"/>
      </w:numPr>
      <w:tabs>
        <w:tab w:val="left" w:pos="377"/>
      </w:tabs>
      <w:spacing w:line="360" w:lineRule="auto"/>
      <w:ind w:left="0" w:firstLine="480" w:firstLineChars="200"/>
    </w:pPr>
    <w:rPr>
      <w:rFonts w:ascii="宋体" w:hAnsi="宋体" w:cs="宋体"/>
      <w:kern w:val="24"/>
      <w:sz w:val="24"/>
    </w:rPr>
  </w:style>
  <w:style w:type="paragraph" w:customStyle="1" w:styleId="1279">
    <w:name w:val="样式 题注 + (西文) Arial (中文) 黑体 小四 Char Char"/>
    <w:basedOn w:val="21"/>
    <w:autoRedefine/>
    <w:qFormat/>
    <w:uiPriority w:val="0"/>
    <w:pPr>
      <w:keepNext/>
      <w:numPr>
        <w:ilvl w:val="0"/>
        <w:numId w:val="16"/>
      </w:numPr>
      <w:tabs>
        <w:tab w:val="left" w:pos="1620"/>
      </w:tabs>
      <w:adjustRightInd w:val="0"/>
      <w:spacing w:line="240" w:lineRule="auto"/>
      <w:ind w:left="1620" w:leftChars="600" w:hanging="360" w:hangingChars="200"/>
      <w:jc w:val="center"/>
    </w:pPr>
    <w:rPr>
      <w:sz w:val="24"/>
      <w:szCs w:val="28"/>
    </w:rPr>
  </w:style>
  <w:style w:type="paragraph" w:customStyle="1" w:styleId="1280">
    <w:name w:val="标题正4"/>
    <w:basedOn w:val="1"/>
    <w:autoRedefine/>
    <w:qFormat/>
    <w:uiPriority w:val="0"/>
    <w:pPr>
      <w:jc w:val="center"/>
    </w:pPr>
    <w:rPr>
      <w:rFonts w:ascii="仿宋_GB2312" w:eastAsia="仿宋_GB2312"/>
      <w:color w:val="000000"/>
    </w:rPr>
  </w:style>
  <w:style w:type="paragraph" w:customStyle="1" w:styleId="1281">
    <w:name w:val="xl193"/>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1282">
    <w:name w:val="表序号"/>
    <w:basedOn w:val="7"/>
    <w:autoRedefine/>
    <w:qFormat/>
    <w:uiPriority w:val="0"/>
    <w:pPr>
      <w:tabs>
        <w:tab w:val="left" w:pos="3093"/>
        <w:tab w:val="clear" w:pos="1008"/>
      </w:tabs>
      <w:spacing w:before="0" w:after="0" w:line="360" w:lineRule="auto"/>
      <w:ind w:left="3093" w:hanging="420"/>
      <w:jc w:val="center"/>
    </w:pPr>
    <w:rPr>
      <w:rFonts w:ascii="宋体" w:hAnsi="Arial"/>
      <w:kern w:val="0"/>
      <w:sz w:val="24"/>
    </w:rPr>
  </w:style>
  <w:style w:type="paragraph" w:customStyle="1" w:styleId="1283">
    <w:name w:val="ST20_1"/>
    <w:basedOn w:val="1"/>
    <w:autoRedefine/>
    <w:qFormat/>
    <w:uiPriority w:val="0"/>
    <w:pPr>
      <w:autoSpaceDE w:val="0"/>
      <w:autoSpaceDN w:val="0"/>
      <w:adjustRightInd w:val="0"/>
      <w:spacing w:line="312" w:lineRule="atLeast"/>
      <w:jc w:val="center"/>
      <w:textAlignment w:val="baseline"/>
    </w:pPr>
    <w:rPr>
      <w:rFonts w:ascii="宋体" w:hAnsi="Tms Rmn"/>
      <w:kern w:val="0"/>
      <w:sz w:val="24"/>
      <w:szCs w:val="20"/>
    </w:rPr>
  </w:style>
  <w:style w:type="paragraph" w:customStyle="1" w:styleId="1284">
    <w:name w:val="xl32"/>
    <w:basedOn w:val="1"/>
    <w:autoRedefine/>
    <w:qFormat/>
    <w:uiPriority w:val="0"/>
    <w:pPr>
      <w:widowControl/>
      <w:pBdr>
        <w:right w:val="single" w:color="auto" w:sz="4" w:space="0"/>
      </w:pBdr>
      <w:spacing w:before="100" w:beforeAutospacing="1" w:after="100" w:afterAutospacing="1"/>
      <w:jc w:val="center"/>
      <w:textAlignment w:val="bottom"/>
    </w:pPr>
    <w:rPr>
      <w:rFonts w:ascii="Arial" w:hAnsi="Arial" w:cs="Arial"/>
      <w:kern w:val="0"/>
      <w:sz w:val="28"/>
      <w:szCs w:val="28"/>
    </w:rPr>
  </w:style>
  <w:style w:type="paragraph" w:customStyle="1" w:styleId="1285">
    <w:name w:val="样式 小四 首行缩进:  1.01 厘米 行距: 1.5 倍行距"/>
    <w:basedOn w:val="1"/>
    <w:autoRedefine/>
    <w:qFormat/>
    <w:uiPriority w:val="0"/>
    <w:pPr>
      <w:spacing w:line="360" w:lineRule="auto"/>
    </w:pPr>
    <w:rPr>
      <w:rFonts w:ascii="宋体" w:hAnsi="宋体" w:cs="宋体"/>
      <w:sz w:val="24"/>
    </w:rPr>
  </w:style>
  <w:style w:type="paragraph" w:customStyle="1" w:styleId="1286">
    <w:name w:val="表头及图标"/>
    <w:basedOn w:val="411"/>
    <w:autoRedefine/>
    <w:qFormat/>
    <w:uiPriority w:val="0"/>
    <w:pPr>
      <w:ind w:firstLine="0" w:firstLineChars="0"/>
      <w:jc w:val="center"/>
    </w:pPr>
    <w:rPr>
      <w:b/>
      <w:bCs/>
      <w:sz w:val="21"/>
      <w:szCs w:val="20"/>
    </w:rPr>
  </w:style>
  <w:style w:type="paragraph" w:customStyle="1" w:styleId="1287">
    <w:name w:val="公式样式1"/>
    <w:basedOn w:val="1"/>
    <w:autoRedefine/>
    <w:qFormat/>
    <w:uiPriority w:val="0"/>
    <w:pPr>
      <w:spacing w:line="360" w:lineRule="auto"/>
      <w:ind w:firstLine="235" w:firstLineChars="100"/>
    </w:pPr>
    <w:rPr>
      <w:rFonts w:ascii="宋体" w:hAnsi="Arial Black"/>
      <w:szCs w:val="20"/>
    </w:rPr>
  </w:style>
  <w:style w:type="paragraph" w:customStyle="1" w:styleId="1288">
    <w:name w:val="样式 正文文本 + 宋体 行距: 1.5 倍行距"/>
    <w:basedOn w:val="31"/>
    <w:autoRedefine/>
    <w:qFormat/>
    <w:uiPriority w:val="0"/>
    <w:pPr>
      <w:widowControl w:val="0"/>
      <w:snapToGrid/>
      <w:spacing w:before="0" w:after="120" w:line="360" w:lineRule="auto"/>
      <w:ind w:right="0" w:firstLine="480" w:firstLineChars="200"/>
    </w:pPr>
    <w:rPr>
      <w:rFonts w:cs="宋体"/>
      <w:sz w:val="24"/>
    </w:rPr>
  </w:style>
  <w:style w:type="paragraph" w:customStyle="1" w:styleId="1289">
    <w:name w:val="样式 正文缩进正文（首行缩进两字）正文（首行缩进两字） Char Char Char Char Char Char Char..."/>
    <w:basedOn w:val="8"/>
    <w:autoRedefine/>
    <w:qFormat/>
    <w:uiPriority w:val="0"/>
    <w:pPr>
      <w:spacing w:line="312" w:lineRule="auto"/>
      <w:ind w:firstLine="539" w:firstLineChars="0"/>
    </w:pPr>
    <w:rPr>
      <w:kern w:val="0"/>
      <w:sz w:val="28"/>
      <w:szCs w:val="20"/>
    </w:rPr>
  </w:style>
  <w:style w:type="paragraph" w:customStyle="1" w:styleId="1290">
    <w:name w:val="论文正文"/>
    <w:basedOn w:val="8"/>
    <w:autoRedefine/>
    <w:qFormat/>
    <w:uiPriority w:val="0"/>
    <w:pPr>
      <w:ind w:firstLine="480"/>
    </w:pPr>
    <w:rPr>
      <w:rFonts w:ascii="宋体" w:hAnsi="宋体"/>
      <w:kern w:val="0"/>
      <w:sz w:val="28"/>
    </w:rPr>
  </w:style>
  <w:style w:type="paragraph" w:customStyle="1" w:styleId="1291">
    <w:name w:val="样式 样式 标题 2节 + (西文) Times New Roman (中文) 宋体 四号 段前: 0.5 行 段后: 0......"/>
    <w:basedOn w:val="1"/>
    <w:autoRedefine/>
    <w:qFormat/>
    <w:uiPriority w:val="0"/>
    <w:pPr>
      <w:keepNext/>
      <w:keepLines/>
      <w:adjustRightInd w:val="0"/>
      <w:snapToGrid w:val="0"/>
      <w:spacing w:beforeLines="90" w:afterLines="90" w:line="300" w:lineRule="auto"/>
      <w:ind w:left="992" w:hanging="992"/>
      <w:outlineLvl w:val="1"/>
    </w:pPr>
    <w:rPr>
      <w:rFonts w:ascii="宋体" w:hAnsi="宋体"/>
      <w:bCs/>
      <w:sz w:val="30"/>
      <w:szCs w:val="30"/>
    </w:rPr>
  </w:style>
  <w:style w:type="paragraph" w:customStyle="1" w:styleId="1292">
    <w:name w:val="CM28"/>
    <w:basedOn w:val="1"/>
    <w:next w:val="1"/>
    <w:autoRedefine/>
    <w:qFormat/>
    <w:uiPriority w:val="0"/>
    <w:pPr>
      <w:autoSpaceDE w:val="0"/>
      <w:autoSpaceDN w:val="0"/>
      <w:adjustRightInd w:val="0"/>
      <w:spacing w:line="468" w:lineRule="atLeast"/>
      <w:jc w:val="left"/>
    </w:pPr>
    <w:rPr>
      <w:rFonts w:ascii="宋体" w:cs="宋体"/>
      <w:kern w:val="0"/>
      <w:sz w:val="24"/>
    </w:rPr>
  </w:style>
  <w:style w:type="paragraph" w:customStyle="1" w:styleId="1293">
    <w:name w:val="样式 标题 1章标题 11标题 1H1一、 + 行距: 1.5 倍行距2"/>
    <w:basedOn w:val="3"/>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1294">
    <w:name w:val="xl154"/>
    <w:basedOn w:val="1"/>
    <w:autoRedefine/>
    <w:qFormat/>
    <w:uiPriority w:val="0"/>
    <w:pPr>
      <w:widowControl/>
      <w:pBdr>
        <w:left w:val="single" w:color="auto" w:sz="12" w:space="0"/>
        <w:bottom w:val="single" w:color="auto" w:sz="8" w:space="0"/>
      </w:pBdr>
      <w:spacing w:before="100" w:beforeAutospacing="1" w:after="100" w:afterAutospacing="1"/>
      <w:jc w:val="center"/>
    </w:pPr>
    <w:rPr>
      <w:rFonts w:ascii="Arial Unicode MS" w:hAnsi="Arial Unicode MS"/>
      <w:kern w:val="0"/>
      <w:sz w:val="12"/>
      <w:szCs w:val="12"/>
    </w:rPr>
  </w:style>
  <w:style w:type="paragraph" w:customStyle="1" w:styleId="1295">
    <w:name w:val="我的正文"/>
    <w:basedOn w:val="1"/>
    <w:autoRedefine/>
    <w:qFormat/>
    <w:uiPriority w:val="0"/>
    <w:pPr>
      <w:spacing w:line="360" w:lineRule="auto"/>
      <w:ind w:firstLine="480" w:firstLineChars="200"/>
    </w:pPr>
    <w:rPr>
      <w:rFonts w:cs="宋体"/>
      <w:sz w:val="24"/>
    </w:rPr>
  </w:style>
  <w:style w:type="paragraph" w:customStyle="1" w:styleId="1296">
    <w:name w:val="xl90"/>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97">
    <w:name w:val="正文1.1"/>
    <w:basedOn w:val="1"/>
    <w:autoRedefine/>
    <w:qFormat/>
    <w:uiPriority w:val="0"/>
    <w:pPr>
      <w:tabs>
        <w:tab w:val="left" w:pos="495"/>
      </w:tabs>
      <w:snapToGrid w:val="0"/>
      <w:spacing w:beforeLines="50" w:afterLines="50" w:line="360" w:lineRule="auto"/>
      <w:ind w:left="495" w:hanging="495"/>
      <w:outlineLvl w:val="2"/>
    </w:pPr>
    <w:rPr>
      <w:rFonts w:hAnsi="宋体"/>
      <w:b/>
      <w:sz w:val="30"/>
      <w:szCs w:val="30"/>
    </w:rPr>
  </w:style>
  <w:style w:type="paragraph" w:customStyle="1" w:styleId="1298">
    <w:name w:val="xl102"/>
    <w:basedOn w:val="1"/>
    <w:autoRedefine/>
    <w:qFormat/>
    <w:uiPriority w:val="0"/>
    <w:pPr>
      <w:widowControl/>
      <w:pBdr>
        <w:left w:val="single" w:color="auto" w:sz="4" w:space="0"/>
        <w:bottom w:val="single" w:color="auto" w:sz="12" w:space="0"/>
        <w:right w:val="single" w:color="auto" w:sz="12" w:space="0"/>
      </w:pBdr>
      <w:spacing w:before="100" w:beforeAutospacing="1" w:after="100" w:afterAutospacing="1"/>
      <w:jc w:val="center"/>
      <w:textAlignment w:val="center"/>
    </w:pPr>
    <w:rPr>
      <w:kern w:val="0"/>
      <w:sz w:val="12"/>
      <w:szCs w:val="12"/>
    </w:rPr>
  </w:style>
  <w:style w:type="paragraph" w:customStyle="1" w:styleId="1299">
    <w:name w:val="xl23"/>
    <w:basedOn w:val="1"/>
    <w:autoRedefine/>
    <w:qFormat/>
    <w:uiPriority w:val="0"/>
    <w:pPr>
      <w:widowControl/>
      <w:pBdr>
        <w:bottom w:val="single" w:color="auto" w:sz="4" w:space="0"/>
        <w:right w:val="single" w:color="auto" w:sz="4" w:space="0"/>
      </w:pBdr>
      <w:spacing w:before="100" w:beforeAutospacing="1" w:after="100" w:afterAutospacing="1"/>
      <w:jc w:val="center"/>
    </w:pPr>
    <w:rPr>
      <w:rFonts w:hint="eastAsia" w:ascii="仿宋_GB2312" w:hAnsi="宋体" w:eastAsia="仿宋_GB2312"/>
      <w:kern w:val="0"/>
      <w:sz w:val="24"/>
    </w:rPr>
  </w:style>
  <w:style w:type="paragraph" w:customStyle="1" w:styleId="1300">
    <w:name w:val="font16"/>
    <w:basedOn w:val="1"/>
    <w:autoRedefine/>
    <w:qFormat/>
    <w:uiPriority w:val="0"/>
    <w:pPr>
      <w:widowControl/>
      <w:spacing w:before="100" w:beforeAutospacing="1" w:after="100" w:afterAutospacing="1"/>
      <w:jc w:val="left"/>
    </w:pPr>
    <w:rPr>
      <w:rFonts w:ascii="Tahoma" w:hAnsi="Tahoma" w:cs="Tahoma"/>
      <w:color w:val="000000"/>
      <w:kern w:val="0"/>
      <w:sz w:val="16"/>
      <w:szCs w:val="16"/>
    </w:rPr>
  </w:style>
  <w:style w:type="paragraph" w:customStyle="1" w:styleId="1301">
    <w:name w:val="xl198"/>
    <w:basedOn w:val="1"/>
    <w:autoRedefine/>
    <w:qFormat/>
    <w:uiPriority w:val="0"/>
    <w:pPr>
      <w:widowControl/>
      <w:pBdr>
        <w:bottom w:val="single" w:color="auto" w:sz="8" w:space="0"/>
      </w:pBdr>
      <w:spacing w:before="100" w:beforeAutospacing="1" w:after="100" w:afterAutospacing="1"/>
      <w:jc w:val="center"/>
    </w:pPr>
    <w:rPr>
      <w:rFonts w:ascii="Arial Unicode MS" w:hAnsi="Arial Unicode MS"/>
      <w:kern w:val="0"/>
      <w:sz w:val="16"/>
      <w:szCs w:val="16"/>
    </w:rPr>
  </w:style>
  <w:style w:type="paragraph" w:customStyle="1" w:styleId="1302">
    <w:name w:val="xl124"/>
    <w:basedOn w:val="1"/>
    <w:autoRedefine/>
    <w:qFormat/>
    <w:uiPriority w:val="0"/>
    <w:pPr>
      <w:widowControl/>
      <w:pBdr>
        <w:left w:val="single" w:color="auto" w:sz="4" w:space="0"/>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303">
    <w:name w:val="标准公文"/>
    <w:autoRedefine/>
    <w:qFormat/>
    <w:uiPriority w:val="0"/>
    <w:pPr>
      <w:widowControl w:val="0"/>
      <w:spacing w:line="520" w:lineRule="exact"/>
      <w:ind w:firstLine="560" w:firstLineChars="200"/>
      <w:jc w:val="both"/>
    </w:pPr>
    <w:rPr>
      <w:rFonts w:ascii="宋体" w:hAnsi="宋体" w:eastAsia="宋体" w:cs="Times New Roman"/>
      <w:sz w:val="28"/>
      <w:szCs w:val="34"/>
      <w:lang w:val="en-US" w:eastAsia="zh-CN" w:bidi="ar-SA"/>
    </w:rPr>
  </w:style>
  <w:style w:type="paragraph" w:customStyle="1" w:styleId="1304">
    <w:name w:val="xl77"/>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1305">
    <w:name w:val="样式 标题 3 + 宋体 四号"/>
    <w:basedOn w:val="5"/>
    <w:autoRedefine/>
    <w:qFormat/>
    <w:uiPriority w:val="0"/>
    <w:pPr>
      <w:tabs>
        <w:tab w:val="left" w:pos="1260"/>
      </w:tabs>
      <w:spacing w:line="360" w:lineRule="auto"/>
      <w:ind w:left="1260" w:hanging="420"/>
    </w:pPr>
    <w:rPr>
      <w:rFonts w:ascii="宋体" w:hAnsi="宋体" w:eastAsia="黑体" w:cs="宋体"/>
      <w:kern w:val="0"/>
      <w:sz w:val="28"/>
      <w:szCs w:val="20"/>
    </w:rPr>
  </w:style>
  <w:style w:type="paragraph" w:customStyle="1" w:styleId="1306">
    <w:name w:val="Body Text 21"/>
    <w:basedOn w:val="1"/>
    <w:autoRedefine/>
    <w:qFormat/>
    <w:uiPriority w:val="0"/>
    <w:pPr>
      <w:adjustRightInd w:val="0"/>
      <w:textAlignment w:val="baseline"/>
    </w:pPr>
    <w:rPr>
      <w:color w:val="000000"/>
      <w:sz w:val="24"/>
      <w:szCs w:val="20"/>
    </w:rPr>
  </w:style>
  <w:style w:type="paragraph" w:customStyle="1" w:styleId="1307">
    <w:name w:val="CM74"/>
    <w:basedOn w:val="1"/>
    <w:next w:val="1"/>
    <w:autoRedefine/>
    <w:qFormat/>
    <w:uiPriority w:val="0"/>
    <w:pPr>
      <w:autoSpaceDE w:val="0"/>
      <w:autoSpaceDN w:val="0"/>
      <w:adjustRightInd w:val="0"/>
      <w:spacing w:after="180"/>
      <w:jc w:val="left"/>
    </w:pPr>
    <w:rPr>
      <w:rFonts w:ascii="Sim Sun+ 2" w:eastAsia="Sim Sun+ 2" w:cs="Sim Sun+ 2"/>
      <w:kern w:val="0"/>
      <w:sz w:val="24"/>
    </w:rPr>
  </w:style>
  <w:style w:type="paragraph" w:customStyle="1" w:styleId="1308">
    <w:name w:val="前言"/>
    <w:basedOn w:val="1"/>
    <w:autoRedefine/>
    <w:qFormat/>
    <w:uiPriority w:val="0"/>
    <w:pPr>
      <w:spacing w:line="560" w:lineRule="exact"/>
      <w:jc w:val="center"/>
    </w:pPr>
    <w:rPr>
      <w:rFonts w:cs="宋体"/>
      <w:b/>
      <w:sz w:val="30"/>
      <w:szCs w:val="20"/>
    </w:rPr>
  </w:style>
  <w:style w:type="paragraph" w:customStyle="1" w:styleId="1309">
    <w:name w:val="CM4"/>
    <w:basedOn w:val="1"/>
    <w:next w:val="1"/>
    <w:autoRedefine/>
    <w:qFormat/>
    <w:uiPriority w:val="0"/>
    <w:pPr>
      <w:autoSpaceDE w:val="0"/>
      <w:autoSpaceDN w:val="0"/>
      <w:adjustRightInd w:val="0"/>
      <w:spacing w:line="520" w:lineRule="atLeast"/>
      <w:jc w:val="left"/>
    </w:pPr>
    <w:rPr>
      <w:rFonts w:ascii="宋体"/>
      <w:kern w:val="0"/>
      <w:sz w:val="24"/>
    </w:rPr>
  </w:style>
  <w:style w:type="paragraph" w:customStyle="1" w:styleId="1310">
    <w:name w:val="xl143"/>
    <w:basedOn w:val="1"/>
    <w:autoRedefine/>
    <w:qFormat/>
    <w:uiPriority w:val="0"/>
    <w:pPr>
      <w:widowControl/>
      <w:pBdr>
        <w:top w:val="single" w:color="auto" w:sz="8" w:space="0"/>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311">
    <w:name w:val="Char Char Char Char Char Char Char Char Char Char Char Char Char Char Char Char2"/>
    <w:basedOn w:val="1"/>
    <w:autoRedefine/>
    <w:qFormat/>
    <w:uiPriority w:val="0"/>
    <w:pPr>
      <w:widowControl/>
      <w:contextualSpacing/>
      <w:jc w:val="left"/>
    </w:pPr>
    <w:rPr>
      <w:rFonts w:cs="宋体"/>
      <w:kern w:val="0"/>
    </w:rPr>
  </w:style>
  <w:style w:type="paragraph" w:customStyle="1" w:styleId="1312">
    <w:name w:val="msoplaintextcxspmiddle"/>
    <w:basedOn w:val="1"/>
    <w:autoRedefine/>
    <w:qFormat/>
    <w:uiPriority w:val="0"/>
    <w:pPr>
      <w:widowControl/>
      <w:spacing w:before="100" w:beforeAutospacing="1" w:after="100" w:afterAutospacing="1"/>
      <w:contextualSpacing/>
      <w:jc w:val="left"/>
    </w:pPr>
    <w:rPr>
      <w:rFonts w:cs="宋体"/>
      <w:kern w:val="0"/>
    </w:rPr>
  </w:style>
  <w:style w:type="paragraph" w:customStyle="1" w:styleId="1313">
    <w:name w:val="聪表标题"/>
    <w:basedOn w:val="1"/>
    <w:autoRedefine/>
    <w:qFormat/>
    <w:uiPriority w:val="0"/>
    <w:pPr>
      <w:spacing w:line="360" w:lineRule="auto"/>
      <w:jc w:val="center"/>
    </w:pPr>
    <w:rPr>
      <w:rFonts w:ascii="黑体" w:hAnsi="黑体" w:eastAsia="黑体"/>
      <w:sz w:val="24"/>
    </w:rPr>
  </w:style>
  <w:style w:type="paragraph" w:customStyle="1" w:styleId="1314">
    <w:name w:val="Style"/>
    <w:autoRedefine/>
    <w:qFormat/>
    <w:uiPriority w:val="99"/>
    <w:pPr>
      <w:widowControl w:val="0"/>
      <w:autoSpaceDE w:val="0"/>
      <w:autoSpaceDN w:val="0"/>
      <w:adjustRightInd w:val="0"/>
    </w:pPr>
    <w:rPr>
      <w:rFonts w:ascii="TimesNewRomanPSMT" w:hAnsi="TimesNewRomanPSMT" w:eastAsia="宋体" w:cs="TimesNewRomanPSMT"/>
      <w:sz w:val="24"/>
      <w:szCs w:val="24"/>
      <w:lang w:val="zh" w:eastAsia="zh-CN" w:bidi="ar-SA"/>
    </w:rPr>
  </w:style>
  <w:style w:type="table" w:customStyle="1" w:styleId="1315">
    <w:name w:val="表格aaa1"/>
    <w:basedOn w:val="81"/>
    <w:autoRedefine/>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16">
    <w:name w:val="环评用表4"/>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17">
    <w:name w:val="环评用表6"/>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18">
    <w:name w:val="网格型12"/>
    <w:basedOn w:val="81"/>
    <w:autoRedefine/>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19">
    <w:name w:val="网格型11"/>
    <w:basedOn w:val="81"/>
    <w:autoRedefine/>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0">
    <w:name w:val="表格样式pp1"/>
    <w:basedOn w:val="81"/>
    <w:autoRedefine/>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21">
    <w:name w:val="网格型8"/>
    <w:basedOn w:val="81"/>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2">
    <w:name w:val="网格型 52"/>
    <w:basedOn w:val="81"/>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23">
    <w:name w:val="网格型4"/>
    <w:basedOn w:val="81"/>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4">
    <w:name w:val="无格式表格 41"/>
    <w:basedOn w:val="81"/>
    <w:autoRedefine/>
    <w:qFormat/>
    <w:uiPriority w:val="44"/>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F2F2F2"/>
      </w:tcPr>
    </w:tblStylePr>
    <w:tblStylePr w:type="band1Horz">
      <w:tcPr>
        <w:shd w:val="clear" w:color="auto" w:fill="F2F2F2"/>
      </w:tcPr>
    </w:tblStylePr>
  </w:style>
  <w:style w:type="table" w:customStyle="1" w:styleId="1325">
    <w:name w:val="网格型 51"/>
    <w:basedOn w:val="81"/>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26">
    <w:name w:val="网格型浅色1"/>
    <w:basedOn w:val="81"/>
    <w:autoRedefine/>
    <w:qFormat/>
    <w:uiPriority w:val="40"/>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table" w:customStyle="1" w:styleId="1327">
    <w:name w:val="无格式表格 31"/>
    <w:basedOn w:val="81"/>
    <w:autoRedefine/>
    <w:qFormat/>
    <w:uiPriority w:val="43"/>
    <w:tblStylePr w:type="firstRow">
      <w:rPr>
        <w:b/>
        <w:bCs/>
        <w:caps/>
      </w:rPr>
      <w:tcPr>
        <w:tcBorders>
          <w:top w:val="nil"/>
          <w:left w:val="single" w:color="7F7F7F" w:sz="4" w:space="0"/>
          <w:bottom w:val="nil"/>
          <w:right w:val="nil"/>
          <w:insideH w:val="nil"/>
          <w:insideV w:val="nil"/>
          <w:tl2br w:val="nil"/>
          <w:tr2bl w:val="nil"/>
        </w:tcBorders>
      </w:tcPr>
    </w:tblStylePr>
    <w:tblStylePr w:type="lastRow">
      <w:rPr>
        <w:b/>
        <w:bCs/>
        <w:caps/>
      </w:rPr>
      <w:tcPr>
        <w:tcBorders>
          <w:top w:val="nil"/>
          <w:left w:val="nil"/>
          <w:bottom w:val="nil"/>
          <w:right w:val="nil"/>
          <w:insideH w:val="nil"/>
          <w:insideV w:val="nil"/>
          <w:tl2br w:val="nil"/>
          <w:tr2bl w:val="nil"/>
        </w:tcBorders>
      </w:tcPr>
    </w:tblStylePr>
    <w:tblStylePr w:type="firstCol">
      <w:rPr>
        <w:b/>
        <w:bCs/>
        <w:caps/>
      </w:rPr>
      <w:tcPr>
        <w:tcBorders>
          <w:top w:val="nil"/>
          <w:left w:val="nil"/>
          <w:bottom w:val="nil"/>
          <w:right w:val="single" w:color="7F7F7F" w:sz="4" w:space="0"/>
          <w:insideH w:val="nil"/>
          <w:insideV w:val="nil"/>
          <w:tl2br w:val="nil"/>
          <w:tr2bl w:val="nil"/>
        </w:tcBorders>
      </w:tcPr>
    </w:tblStylePr>
    <w:tblStylePr w:type="lastCol">
      <w:rPr>
        <w:b/>
        <w:bCs/>
        <w:caps/>
      </w:rPr>
      <w:tcPr>
        <w:tcBorders>
          <w:top w:val="nil"/>
          <w:left w:val="nil"/>
          <w:bottom w:val="nil"/>
          <w:right w:val="nil"/>
          <w:insideH w:val="nil"/>
          <w:insideV w:val="nil"/>
          <w:tl2br w:val="nil"/>
          <w:tr2bl w:val="nil"/>
        </w:tcBorders>
      </w:tcPr>
    </w:tblStylePr>
    <w:tblStylePr w:type="band1Vert">
      <w:tcPr>
        <w:shd w:val="clear" w:color="auto" w:fill="F2F2F2"/>
      </w:tcPr>
    </w:tblStylePr>
    <w:tblStylePr w:type="band1Horz">
      <w:tcPr>
        <w:shd w:val="clear" w:color="auto" w:fill="F2F2F2"/>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style>
  <w:style w:type="table" w:customStyle="1" w:styleId="1328">
    <w:name w:val="网格型14"/>
    <w:basedOn w:val="81"/>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9">
    <w:name w:val="环评用表10"/>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0">
    <w:name w:val="网格型6"/>
    <w:basedOn w:val="81"/>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1">
    <w:name w:val="无格式表格 21"/>
    <w:basedOn w:val="81"/>
    <w:autoRedefine/>
    <w:qFormat/>
    <w:uiPriority w:val="42"/>
    <w:tblPr>
      <w:tblBorders>
        <w:top w:val="single" w:color="7F7F7F" w:sz="4" w:space="0"/>
        <w:bottom w:val="single" w:color="7F7F7F" w:sz="4" w:space="0"/>
      </w:tblBorders>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1332">
    <w:name w:val="环评用表41"/>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3">
    <w:name w:val="正文+宋体13"/>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4">
    <w:name w:val="环评用表42"/>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5">
    <w:name w:val="环评用表8"/>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6">
    <w:name w:val="表格主题（安）1"/>
    <w:basedOn w:val="81"/>
    <w:autoRedefine/>
    <w:semiHidden/>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7">
    <w:name w:val="网格型 11"/>
    <w:basedOn w:val="81"/>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38">
    <w:name w:val="网格型2"/>
    <w:basedOn w:val="81"/>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9">
    <w:name w:val="网格型 13"/>
    <w:basedOn w:val="81"/>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40">
    <w:name w:val="环评用表5"/>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41">
    <w:name w:val="表格样式12"/>
    <w:basedOn w:val="81"/>
    <w:autoRedefine/>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42">
    <w:name w:val="环评用表1"/>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43">
    <w:name w:val="网格型（pxg）2"/>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44">
    <w:name w:val="专业型2"/>
    <w:basedOn w:val="81"/>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1345">
    <w:name w:val="环评用表3"/>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46">
    <w:name w:val="网格型 12"/>
    <w:basedOn w:val="81"/>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47">
    <w:name w:val="网格型1"/>
    <w:basedOn w:val="81"/>
    <w:autoRedefine/>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48">
    <w:name w:val="正文+宋体11"/>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49">
    <w:name w:val="表格样式-tjgsqiu"/>
    <w:basedOn w:val="83"/>
    <w:autoRedefine/>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50">
    <w:name w:val="网格型 111"/>
    <w:basedOn w:val="81"/>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51">
    <w:name w:val="表格样式-tjgsqiu2"/>
    <w:basedOn w:val="83"/>
    <w:autoRedefine/>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52">
    <w:name w:val="表格样式-tjgsqiu1"/>
    <w:basedOn w:val="83"/>
    <w:autoRedefine/>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53">
    <w:name w:val="环评用表7"/>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54">
    <w:name w:val="正文+宋体1"/>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5">
    <w:name w:val="表格aaa"/>
    <w:basedOn w:val="81"/>
    <w:autoRedefine/>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56">
    <w:name w:val="网格型（pxg）22"/>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7">
    <w:name w:val="网格型5"/>
    <w:basedOn w:val="81"/>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8">
    <w:name w:val="网格型（pxg）11"/>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9">
    <w:name w:val="表格样式pp"/>
    <w:basedOn w:val="81"/>
    <w:autoRedefine/>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60">
    <w:name w:val="环评用表9"/>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61">
    <w:name w:val="环评用表2"/>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62">
    <w:name w:val="表格样式11"/>
    <w:basedOn w:val="81"/>
    <w:autoRedefine/>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63">
    <w:name w:val="网格型7"/>
    <w:basedOn w:val="81"/>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64">
    <w:name w:val="网格型 14"/>
    <w:basedOn w:val="81"/>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65">
    <w:name w:val="环评用表11"/>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66">
    <w:name w:val="网格型13"/>
    <w:basedOn w:val="81"/>
    <w:autoRedefine/>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67">
    <w:name w:val="网格型 113"/>
    <w:basedOn w:val="81"/>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68">
    <w:name w:val="专业型3"/>
    <w:basedOn w:val="81"/>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1369">
    <w:name w:val="表格aaa2"/>
    <w:basedOn w:val="81"/>
    <w:autoRedefine/>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70">
    <w:name w:val="网格型 112"/>
    <w:basedOn w:val="81"/>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71">
    <w:name w:val="正文+宋体12"/>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2">
    <w:name w:val="表格主题（安）2"/>
    <w:basedOn w:val="81"/>
    <w:autoRedefine/>
    <w:semiHidden/>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3">
    <w:name w:val="表格样式13"/>
    <w:basedOn w:val="81"/>
    <w:autoRedefine/>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74">
    <w:name w:val="网格型（pxg）1"/>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5">
    <w:name w:val="网格型（pxg）21"/>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6">
    <w:name w:val="专业型1"/>
    <w:basedOn w:val="81"/>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1377">
    <w:name w:val="表格样式1"/>
    <w:basedOn w:val="81"/>
    <w:autoRedefine/>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78">
    <w:name w:val="表格样式pp3"/>
    <w:basedOn w:val="81"/>
    <w:autoRedefine/>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79">
    <w:name w:val="无格式表格 51"/>
    <w:basedOn w:val="81"/>
    <w:autoRedefine/>
    <w:qFormat/>
    <w:uiPriority w:val="45"/>
    <w:tblStylePr w:type="firstRow">
      <w:rPr>
        <w:rFonts w:ascii="MS Mincho" w:hAnsi="MS Mincho" w:eastAsia="Verdana" w:cs="Times New Roman"/>
        <w:i/>
        <w:iCs/>
        <w:sz w:val="26"/>
      </w:rPr>
      <w:tcPr>
        <w:tcBorders>
          <w:top w:val="nil"/>
          <w:left w:val="single" w:color="7F7F7F" w:sz="4" w:space="0"/>
          <w:bottom w:val="nil"/>
          <w:right w:val="nil"/>
          <w:insideH w:val="nil"/>
          <w:insideV w:val="nil"/>
          <w:tl2br w:val="nil"/>
          <w:tr2bl w:val="nil"/>
        </w:tcBorders>
        <w:shd w:val="clear" w:color="auto" w:fill="FFFFFF"/>
      </w:tcPr>
    </w:tblStylePr>
    <w:tblStylePr w:type="lastRow">
      <w:rPr>
        <w:rFonts w:ascii="MS Mincho" w:hAnsi="MS Mincho" w:eastAsia="Verdana" w:cs="Times New Roman"/>
        <w:i/>
        <w:iCs/>
        <w:sz w:val="26"/>
      </w:rPr>
      <w:tcPr>
        <w:tcBorders>
          <w:top w:val="single" w:color="7F7F7F" w:sz="4" w:space="0"/>
          <w:left w:val="nil"/>
          <w:bottom w:val="nil"/>
          <w:right w:val="nil"/>
          <w:insideH w:val="nil"/>
          <w:insideV w:val="nil"/>
          <w:tl2br w:val="nil"/>
          <w:tr2bl w:val="nil"/>
        </w:tcBorders>
        <w:shd w:val="clear" w:color="auto" w:fill="FFFFFF"/>
      </w:tcPr>
    </w:tblStylePr>
    <w:tblStylePr w:type="firstCol">
      <w:pPr>
        <w:jc w:val="right"/>
      </w:pPr>
      <w:rPr>
        <w:rFonts w:ascii="MS Mincho" w:hAnsi="MS Mincho" w:eastAsia="Verdana" w:cs="Times New Roman"/>
        <w:i/>
        <w:iCs/>
        <w:sz w:val="26"/>
      </w:rPr>
      <w:tcPr>
        <w:tcBorders>
          <w:top w:val="nil"/>
          <w:left w:val="nil"/>
          <w:bottom w:val="nil"/>
          <w:right w:val="single" w:color="7F7F7F" w:sz="4" w:space="0"/>
          <w:insideH w:val="nil"/>
          <w:insideV w:val="nil"/>
          <w:tl2br w:val="nil"/>
          <w:tr2bl w:val="nil"/>
        </w:tcBorders>
        <w:shd w:val="clear" w:color="auto" w:fill="FFFFFF"/>
      </w:tcPr>
    </w:tblStylePr>
    <w:tblStylePr w:type="lastCol">
      <w:rPr>
        <w:rFonts w:ascii="MS Mincho" w:hAnsi="MS Mincho" w:eastAsia="Verdana" w:cs="Times New Roman"/>
        <w:i/>
        <w:iCs/>
        <w:sz w:val="26"/>
      </w:rPr>
      <w:tcPr>
        <w:tcBorders>
          <w:top w:val="nil"/>
          <w:left w:val="nil"/>
          <w:bottom w:val="single" w:color="7F7F7F" w:sz="4" w:space="0"/>
          <w:right w:val="nil"/>
          <w:insideH w:val="nil"/>
          <w:insideV w:val="nil"/>
          <w:tl2br w:val="nil"/>
          <w:tr2bl w:val="nil"/>
        </w:tcBorders>
        <w:shd w:val="clear" w:color="auto" w:fill="FFFFFF"/>
      </w:tcPr>
    </w:tblStylePr>
    <w:tblStylePr w:type="band1Vert">
      <w:tcPr>
        <w:shd w:val="clear" w:color="auto" w:fill="F2F2F2"/>
      </w:tcPr>
    </w:tblStylePr>
    <w:tblStylePr w:type="band1Horz">
      <w:tcPr>
        <w:shd w:val="clear" w:color="auto" w:fill="F2F2F2"/>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tblStylePr w:type="seCell">
      <w:tcPr>
        <w:tcBorders>
          <w:top w:val="nil"/>
          <w:left w:val="nil"/>
          <w:bottom w:val="nil"/>
          <w:right w:val="nil"/>
          <w:insideH w:val="nil"/>
          <w:insideV w:val="nil"/>
          <w:tl2br w:val="nil"/>
          <w:tr2bl w:val="nil"/>
        </w:tcBorders>
      </w:tcPr>
    </w:tblStylePr>
    <w:tblStylePr w:type="swCell">
      <w:tcPr>
        <w:tcBorders>
          <w:top w:val="nil"/>
          <w:left w:val="nil"/>
          <w:bottom w:val="nil"/>
          <w:right w:val="nil"/>
          <w:insideH w:val="nil"/>
          <w:insideV w:val="nil"/>
          <w:tl2br w:val="nil"/>
          <w:tr2bl w:val="nil"/>
        </w:tcBorders>
      </w:tcPr>
    </w:tblStylePr>
  </w:style>
  <w:style w:type="table" w:customStyle="1" w:styleId="1380">
    <w:name w:val="表格样式pp2"/>
    <w:basedOn w:val="81"/>
    <w:autoRedefine/>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81">
    <w:name w:val="网格型（pxg）12"/>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2">
    <w:name w:val="网格型3"/>
    <w:basedOn w:val="81"/>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3">
    <w:name w:val="表格主题（安）3"/>
    <w:basedOn w:val="81"/>
    <w:autoRedefine/>
    <w:semiHidden/>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4">
    <w:name w:val="网格型（pxg）23"/>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5">
    <w:name w:val="表格aaa3"/>
    <w:basedOn w:val="81"/>
    <w:autoRedefine/>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86">
    <w:name w:val="表格样式-tjgsqiu3"/>
    <w:basedOn w:val="83"/>
    <w:autoRedefine/>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87">
    <w:name w:val="网格型 53"/>
    <w:basedOn w:val="81"/>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88">
    <w:name w:val="网格型（pxg）13"/>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389">
    <w:name w:val="环保表内字（五号）"/>
    <w:basedOn w:val="1"/>
    <w:autoRedefine/>
    <w:qFormat/>
    <w:uiPriority w:val="0"/>
    <w:pPr>
      <w:adjustRightInd w:val="0"/>
      <w:snapToGrid w:val="0"/>
      <w:spacing w:line="360" w:lineRule="auto"/>
      <w:ind w:firstLine="720" w:firstLineChars="200"/>
    </w:pPr>
    <w:rPr>
      <w:snapToGrid w:val="0"/>
      <w:kern w:val="0"/>
    </w:rPr>
  </w:style>
  <w:style w:type="table" w:customStyle="1" w:styleId="1390">
    <w:name w:val="Table Normal"/>
    <w:autoRedefine/>
    <w:semiHidden/>
    <w:unhideWhenUsed/>
    <w:qFormat/>
    <w:uiPriority w:val="0"/>
    <w:tblPr>
      <w:tblCellMar>
        <w:top w:w="0" w:type="dxa"/>
        <w:left w:w="0" w:type="dxa"/>
        <w:bottom w:w="0" w:type="dxa"/>
        <w:right w:w="0" w:type="dxa"/>
      </w:tblCellMar>
    </w:tblPr>
  </w:style>
  <w:style w:type="paragraph" w:customStyle="1" w:styleId="1391">
    <w:name w:val="Body text|1"/>
    <w:basedOn w:val="1"/>
    <w:autoRedefine/>
    <w:qFormat/>
    <w:uiPriority w:val="0"/>
    <w:pPr>
      <w:widowControl w:val="0"/>
      <w:shd w:val="clear" w:color="auto" w:fill="auto"/>
      <w:spacing w:line="449" w:lineRule="auto"/>
      <w:ind w:firstLine="400"/>
    </w:pPr>
    <w:rPr>
      <w:rFonts w:ascii="宋体" w:hAnsi="宋体" w:eastAsia="宋体" w:cs="宋体"/>
      <w:sz w:val="22"/>
      <w:szCs w:val="22"/>
      <w:u w:val="none"/>
      <w:shd w:val="clear" w:color="auto" w:fill="auto"/>
      <w:lang w:val="zh-TW" w:eastAsia="zh-TW" w:bidi="zh-TW"/>
    </w:rPr>
  </w:style>
  <w:style w:type="paragraph" w:customStyle="1" w:styleId="1392">
    <w:name w:val="Other|1"/>
    <w:basedOn w:val="1"/>
    <w:autoRedefine/>
    <w:qFormat/>
    <w:uiPriority w:val="0"/>
    <w:pPr>
      <w:widowControl w:val="0"/>
      <w:shd w:val="clear" w:color="auto" w:fill="auto"/>
      <w:spacing w:line="315" w:lineRule="exact"/>
      <w:jc w:val="center"/>
    </w:pPr>
    <w:rPr>
      <w:rFonts w:ascii="宋体" w:hAnsi="宋体" w:eastAsia="宋体" w:cs="宋体"/>
      <w:sz w:val="19"/>
      <w:szCs w:val="19"/>
      <w:u w:val="none"/>
      <w:shd w:val="clear" w:color="auto" w:fill="auto"/>
      <w:lang w:val="zh-TW" w:eastAsia="zh-TW" w:bidi="zh-TW"/>
    </w:rPr>
  </w:style>
  <w:style w:type="paragraph" w:customStyle="1" w:styleId="1393">
    <w:name w:val="Heading #3|1"/>
    <w:basedOn w:val="1"/>
    <w:autoRedefine/>
    <w:qFormat/>
    <w:uiPriority w:val="0"/>
    <w:pPr>
      <w:widowControl w:val="0"/>
      <w:shd w:val="clear" w:color="auto" w:fill="auto"/>
      <w:spacing w:after="620" w:line="645" w:lineRule="exact"/>
      <w:ind w:firstLine="70"/>
      <w:jc w:val="center"/>
      <w:outlineLvl w:val="2"/>
    </w:pPr>
    <w:rPr>
      <w:rFonts w:ascii="宋体" w:hAnsi="宋体" w:eastAsia="宋体" w:cs="宋体"/>
      <w:sz w:val="36"/>
      <w:szCs w:val="36"/>
      <w:u w:val="none"/>
      <w:shd w:val="clear" w:color="auto" w:fill="auto"/>
      <w:lang w:val="zh-TW" w:eastAsia="zh-TW" w:bidi="zh-TW"/>
    </w:rPr>
  </w:style>
  <w:style w:type="character" w:customStyle="1" w:styleId="1394">
    <w:name w:val="font01"/>
    <w:basedOn w:val="87"/>
    <w:autoRedefine/>
    <w:qFormat/>
    <w:uiPriority w:val="0"/>
    <w:rPr>
      <w:rFonts w:hint="eastAsia" w:ascii="宋体" w:hAnsi="宋体" w:eastAsia="宋体" w:cs="宋体"/>
      <w:color w:val="000000"/>
      <w:sz w:val="18"/>
      <w:szCs w:val="18"/>
      <w:u w:val="none"/>
    </w:rPr>
  </w:style>
  <w:style w:type="character" w:customStyle="1" w:styleId="1395">
    <w:name w:val="font41"/>
    <w:basedOn w:val="87"/>
    <w:autoRedefine/>
    <w:qFormat/>
    <w:uiPriority w:val="0"/>
    <w:rPr>
      <w:rFonts w:hint="default" w:ascii="Times New Roman" w:hAnsi="Times New Roman" w:cs="Times New Roman"/>
      <w:color w:val="000000"/>
      <w:sz w:val="18"/>
      <w:szCs w:val="18"/>
      <w:u w:val="none"/>
      <w:vertAlign w:val="superscript"/>
    </w:rPr>
  </w:style>
  <w:style w:type="character" w:customStyle="1" w:styleId="1396">
    <w:name w:val="font51"/>
    <w:basedOn w:val="87"/>
    <w:qFormat/>
    <w:uiPriority w:val="0"/>
    <w:rPr>
      <w:rFonts w:hint="default" w:ascii="Times New Roman" w:hAnsi="Times New Roman" w:cs="Times New Roman"/>
      <w:color w:val="FF0000"/>
      <w:sz w:val="21"/>
      <w:szCs w:val="21"/>
      <w:u w:val="none"/>
    </w:rPr>
  </w:style>
  <w:style w:type="character" w:customStyle="1" w:styleId="1397">
    <w:name w:val="font91"/>
    <w:basedOn w:val="87"/>
    <w:qFormat/>
    <w:uiPriority w:val="0"/>
    <w:rPr>
      <w:rFonts w:hint="eastAsia" w:ascii="宋体" w:hAnsi="宋体" w:eastAsia="宋体" w:cs="宋体"/>
      <w:color w:val="FF0000"/>
      <w:sz w:val="21"/>
      <w:szCs w:val="21"/>
      <w:u w:val="none"/>
    </w:rPr>
  </w:style>
  <w:style w:type="paragraph" w:customStyle="1" w:styleId="1398">
    <w:name w:val="表头格式"/>
    <w:basedOn w:val="1"/>
    <w:next w:val="1"/>
    <w:autoRedefine/>
    <w:qFormat/>
    <w:uiPriority w:val="0"/>
    <w:pPr>
      <w:jc w:val="center"/>
    </w:pPr>
    <w:rPr>
      <w:b/>
      <w:bCs/>
    </w:rPr>
  </w:style>
  <w:style w:type="paragraph" w:customStyle="1" w:styleId="1399">
    <w:name w:val="标题002"/>
    <w:basedOn w:val="4"/>
    <w:autoRedefine/>
    <w:qFormat/>
    <w:uiPriority w:val="0"/>
    <w:pPr>
      <w:numPr>
        <w:ilvl w:val="0"/>
        <w:numId w:val="0"/>
      </w:numPr>
    </w:p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footer" Target="footer4.xml"/><Relationship Id="rId62" Type="http://schemas.openxmlformats.org/officeDocument/2006/relationships/fontTable" Target="fontTable.xml"/><Relationship Id="rId61" Type="http://schemas.openxmlformats.org/officeDocument/2006/relationships/numbering" Target="numbering.xml"/><Relationship Id="rId60" Type="http://schemas.openxmlformats.org/officeDocument/2006/relationships/customXml" Target="../customXml/item1.xml"/><Relationship Id="rId6" Type="http://schemas.openxmlformats.org/officeDocument/2006/relationships/footer" Target="footer3.xml"/><Relationship Id="rId59" Type="http://schemas.openxmlformats.org/officeDocument/2006/relationships/image" Target="media/image41.jpeg"/><Relationship Id="rId58" Type="http://schemas.openxmlformats.org/officeDocument/2006/relationships/image" Target="media/image40.emf"/><Relationship Id="rId57" Type="http://schemas.openxmlformats.org/officeDocument/2006/relationships/oleObject" Target="embeddings/oleObject8.bin"/><Relationship Id="rId56" Type="http://schemas.openxmlformats.org/officeDocument/2006/relationships/image" Target="media/image39.emf"/><Relationship Id="rId55" Type="http://schemas.openxmlformats.org/officeDocument/2006/relationships/oleObject" Target="embeddings/oleObject7.bin"/><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jpeg"/><Relationship Id="rId5" Type="http://schemas.openxmlformats.org/officeDocument/2006/relationships/footer" Target="footer2.xml"/><Relationship Id="rId49" Type="http://schemas.openxmlformats.org/officeDocument/2006/relationships/image" Target="media/image33.jpe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jpeg"/><Relationship Id="rId43" Type="http://schemas.openxmlformats.org/officeDocument/2006/relationships/image" Target="media/image27.jpeg"/><Relationship Id="rId42" Type="http://schemas.openxmlformats.org/officeDocument/2006/relationships/image" Target="media/image26.jpeg"/><Relationship Id="rId41" Type="http://schemas.openxmlformats.org/officeDocument/2006/relationships/image" Target="media/image25.jpeg"/><Relationship Id="rId40" Type="http://schemas.openxmlformats.org/officeDocument/2006/relationships/image" Target="media/image24.jpeg"/><Relationship Id="rId4" Type="http://schemas.openxmlformats.org/officeDocument/2006/relationships/footer" Target="footer1.xml"/><Relationship Id="rId39" Type="http://schemas.openxmlformats.org/officeDocument/2006/relationships/image" Target="media/image23.jpeg"/><Relationship Id="rId38" Type="http://schemas.openxmlformats.org/officeDocument/2006/relationships/image" Target="media/image22.jpeg"/><Relationship Id="rId37" Type="http://schemas.openxmlformats.org/officeDocument/2006/relationships/image" Target="media/image21.jpeg"/><Relationship Id="rId36" Type="http://schemas.openxmlformats.org/officeDocument/2006/relationships/image" Target="media/image20.png"/><Relationship Id="rId35" Type="http://schemas.openxmlformats.org/officeDocument/2006/relationships/image" Target="media/image19.emf"/><Relationship Id="rId34" Type="http://schemas.openxmlformats.org/officeDocument/2006/relationships/oleObject" Target="embeddings/oleObject6.bin"/><Relationship Id="rId33" Type="http://schemas.openxmlformats.org/officeDocument/2006/relationships/image" Target="media/image18.emf"/><Relationship Id="rId32" Type="http://schemas.openxmlformats.org/officeDocument/2006/relationships/oleObject" Target="embeddings/oleObject5.bin"/><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header" Target="header1.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emf"/><Relationship Id="rId24" Type="http://schemas.openxmlformats.org/officeDocument/2006/relationships/oleObject" Target="embeddings/oleObject4.bin"/><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wmf"/><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emf"/><Relationship Id="rId17" Type="http://schemas.openxmlformats.org/officeDocument/2006/relationships/oleObject" Target="embeddings/oleObject3.bin"/><Relationship Id="rId16" Type="http://schemas.openxmlformats.org/officeDocument/2006/relationships/image" Target="media/image4.emf"/><Relationship Id="rId15" Type="http://schemas.openxmlformats.org/officeDocument/2006/relationships/oleObject" Target="embeddings/oleObject2.bin"/><Relationship Id="rId14" Type="http://schemas.openxmlformats.org/officeDocument/2006/relationships/image" Target="media/image3.emf"/><Relationship Id="rId13" Type="http://schemas.openxmlformats.org/officeDocument/2006/relationships/oleObject" Target="embeddings/oleObject1.bin"/><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146</Pages>
  <Words>25906</Words>
  <Characters>28223</Characters>
  <Lines>432</Lines>
  <Paragraphs>121</Paragraphs>
  <TotalTime>0</TotalTime>
  <ScaleCrop>false</ScaleCrop>
  <LinksUpToDate>false</LinksUpToDate>
  <CharactersWithSpaces>28862</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2021-03-28T06:51:00Z</dcterms:created>
  <dc:creator>lhj</dc:creator>
  <cp:lastModifiedBy>蓝海De记忆=?</cp:lastModifiedBy>
  <cp:lastPrinted>2023-08-14T02:41:00Z</cp:lastPrinted>
  <dcterms:modified xsi:type="dcterms:W3CDTF">2025-02-20T08:00:33Z</dcterms:modified>
  <dc:title>附件2</dc:title>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764B7A9CE8A040358B48D96AF526287E</vt:lpwstr>
  </property>
  <property fmtid="{D5CDD505-2E9C-101B-9397-08002B2CF9AE}" pid="4" name="KSOTemplateDocerSaveRecord">
    <vt:lpwstr>eyJoZGlkIjoiOGVjMzk4NjRkZjYzNGJhNzQzZTU4NzY0MjU5Y2E5NWMiLCJ1c2VySWQiOiIyNDYwOTY4OTAifQ==</vt:lpwstr>
  </property>
</Properties>
</file>