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0F0F2">
      <w:pPr>
        <w:spacing w:line="520" w:lineRule="exact"/>
        <w:ind w:firstLine="5372" w:firstLineChars="1700"/>
        <w:jc w:val="center"/>
        <w:rPr>
          <w:rFonts w:hint="default" w:ascii="Times New Roman" w:hAnsi="Times New Roman" w:eastAsia="仿宋_GB2312" w:cs="Times New Roman"/>
          <w:color w:val="000000"/>
        </w:rPr>
      </w:pPr>
    </w:p>
    <w:p w14:paraId="2AA45A13">
      <w:pPr>
        <w:pStyle w:val="2"/>
        <w:rPr>
          <w:rFonts w:hint="default"/>
        </w:rPr>
      </w:pPr>
    </w:p>
    <w:p w14:paraId="54288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 w:line="620" w:lineRule="exact"/>
        <w:jc w:val="right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川环辐表审</w:t>
      </w:r>
      <w:r>
        <w:rPr>
          <w:rFonts w:hint="default" w:ascii="Times New Roman" w:hAnsi="Times New Roman" w:eastAsia="宋体" w:cs="Times New Roman"/>
          <w:b/>
          <w:bCs w:val="0"/>
          <w:sz w:val="32"/>
          <w:szCs w:val="32"/>
        </w:rPr>
        <w:t>﹝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202</w:t>
      </w:r>
      <w:r>
        <w:rPr>
          <w:rFonts w:hint="eastAsia" w:eastAsia="仿宋_GB2312" w:cs="Times New Roman"/>
          <w:b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 w:val="0"/>
          <w:sz w:val="32"/>
          <w:szCs w:val="32"/>
        </w:rPr>
        <w:t>﹞</w:t>
      </w:r>
      <w:r>
        <w:rPr>
          <w:rFonts w:hint="eastAsia" w:eastAsia="仿宋_GB2312" w:cs="Times New Roman"/>
          <w:b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号</w:t>
      </w:r>
    </w:p>
    <w:p w14:paraId="65B741E0">
      <w:pPr>
        <w:pStyle w:val="5"/>
        <w:bidi w:val="0"/>
        <w:rPr>
          <w:rFonts w:hint="default"/>
        </w:rPr>
      </w:pPr>
      <w:bookmarkStart w:id="0" w:name="WenJianBiaoTi"/>
      <w:r>
        <w:rPr>
          <w:rFonts w:hint="default"/>
        </w:rPr>
        <w:t>关于对山东华电淄博淄川岭子废旧矿区150MW光伏项目220kV输变电工程环境影响</w:t>
      </w:r>
    </w:p>
    <w:p w14:paraId="1595FFE0">
      <w:pPr>
        <w:pStyle w:val="5"/>
        <w:bidi w:val="0"/>
        <w:rPr>
          <w:rFonts w:hint="default"/>
        </w:rPr>
      </w:pPr>
      <w:r>
        <w:rPr>
          <w:rFonts w:hint="default"/>
        </w:rPr>
        <w:t>报告表的</w:t>
      </w:r>
      <w:bookmarkStart w:id="2" w:name="_GoBack"/>
      <w:bookmarkEnd w:id="2"/>
      <w:r>
        <w:rPr>
          <w:rFonts w:hint="default"/>
        </w:rPr>
        <w:t>批复</w:t>
      </w:r>
      <w:bookmarkEnd w:id="0"/>
    </w:p>
    <w:p w14:paraId="3B37E064">
      <w:pPr>
        <w:rPr>
          <w:rFonts w:hint="default"/>
        </w:rPr>
      </w:pPr>
    </w:p>
    <w:p w14:paraId="44A21561">
      <w:pPr>
        <w:spacing w:line="520" w:lineRule="exac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华电（淄博淄川区）新能源开发有限公司：</w:t>
      </w:r>
    </w:p>
    <w:p w14:paraId="26F35149">
      <w:pPr>
        <w:spacing w:line="520" w:lineRule="exact"/>
        <w:ind w:firstLine="632" w:firstLineChars="200"/>
        <w:rPr>
          <w:rFonts w:hint="default" w:ascii="Times New Roman" w:hAnsi="Times New Roman" w:eastAsia="仿宋_GB2312" w:cs="Times New Roman"/>
        </w:rPr>
      </w:pPr>
      <w:bookmarkStart w:id="1" w:name="zhengwen"/>
      <w:r>
        <w:rPr>
          <w:rFonts w:hint="default" w:ascii="Times New Roman" w:hAnsi="Times New Roman" w:eastAsia="仿宋_GB2312" w:cs="Times New Roman"/>
        </w:rPr>
        <w:t>你单位《山东华电淄博淄川岭子废旧矿区150MW光伏项目220kV输变电工程环境影响报告表》已收悉。经研究，批复如下：</w:t>
      </w:r>
    </w:p>
    <w:p w14:paraId="73EDAF2E">
      <w:pPr>
        <w:spacing w:line="520" w:lineRule="exact"/>
        <w:ind w:firstLine="632" w:firstLineChars="200"/>
        <w:rPr>
          <w:rFonts w:hint="default" w:ascii="Times New Roman" w:hAnsi="Times New Roman" w:eastAsia="仿宋_GB2312" w:cs="Times New Roman"/>
          <w:color w:val="000000"/>
          <w:kern w:val="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</w:rPr>
        <w:t>一、项目基本情况</w:t>
      </w:r>
    </w:p>
    <w:p w14:paraId="5F88E3F6">
      <w:pPr>
        <w:spacing w:line="520" w:lineRule="exact"/>
        <w:ind w:firstLine="632" w:firstLineChars="200"/>
        <w:rPr>
          <w:rFonts w:hint="default" w:ascii="Times New Roman" w:hAnsi="Times New Roman" w:eastAsia="仿宋_GB2312" w:cs="Times New Roman"/>
          <w:color w:val="000000"/>
          <w:kern w:val="0"/>
        </w:rPr>
      </w:pPr>
      <w:r>
        <w:rPr>
          <w:rFonts w:hint="default" w:ascii="Times New Roman" w:hAnsi="Times New Roman" w:eastAsia="仿宋_GB2312" w:cs="Times New Roman"/>
        </w:rPr>
        <w:t>本项目包括山东华电淄博淄川岭子废旧矿区150MW光伏项目配套220kV光伏电站升压站及光伏电站~220kV冲山站220kV输电线路。该项目总投资1505万元，其中环保投资约30万元，环保投资占项目总投资的1.99%</w:t>
      </w:r>
      <w:r>
        <w:rPr>
          <w:rFonts w:hint="default" w:ascii="Times New Roman" w:hAnsi="Times New Roman" w:eastAsia="仿宋_GB2312" w:cs="Times New Roman"/>
          <w:kern w:val="0"/>
        </w:rPr>
        <w:t>。</w:t>
      </w:r>
    </w:p>
    <w:p w14:paraId="48491DE1">
      <w:pPr>
        <w:spacing w:line="520" w:lineRule="exact"/>
        <w:ind w:firstLine="632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kern w:val="0"/>
        </w:rPr>
        <w:t>二、该</w:t>
      </w:r>
      <w:r>
        <w:rPr>
          <w:rFonts w:hint="default" w:ascii="Times New Roman" w:hAnsi="Times New Roman" w:eastAsia="仿宋_GB2312" w:cs="Times New Roman"/>
        </w:rPr>
        <w:t>项目在落实环境影响报告表提出的各项环境保护措施后，对环境的不利影响能够得到控制，可以满足国家环境保护相关法规和标准的要求。我局同意该项目按照环境影响报告表提出的性质、规模、地点、推荐的线路路径以及环境保护对策、措施进行项目建设。</w:t>
      </w:r>
    </w:p>
    <w:p w14:paraId="038B8C1F">
      <w:pPr>
        <w:spacing w:line="520" w:lineRule="exact"/>
        <w:ind w:firstLine="632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三、该项目在设计、建设和运行中应重点做好以下工作。</w:t>
      </w:r>
    </w:p>
    <w:p w14:paraId="4C27FF97">
      <w:pPr>
        <w:spacing w:line="520" w:lineRule="exact"/>
        <w:ind w:firstLine="474" w:firstLineChars="150"/>
        <w:rPr>
          <w:rFonts w:hint="default" w:ascii="Times New Roman" w:hAnsi="Times New Roman" w:eastAsia="仿宋_GB2312" w:cs="Times New Roman"/>
          <w:kern w:val="0"/>
        </w:rPr>
      </w:pPr>
      <w:r>
        <w:rPr>
          <w:rFonts w:hint="default" w:ascii="Times New Roman" w:hAnsi="Times New Roman" w:eastAsia="仿宋_GB2312" w:cs="Times New Roman"/>
        </w:rPr>
        <w:t>(一)严格执行设计标准、规程，优化设计方案，工程选址(选线)应符合所在(经)城镇区域的总体规划，尽量避开居民聚集区、学校、医院、办公楼、工厂、名胜古迹、重要军事及通讯设施等环境敏感点。线路跨越河流、公路、铁路、电力线时应按要求保持足够的净空距离，跨越民房敏感建筑物及人群活动区域时，应采取高跨设计，符合《</w:t>
      </w:r>
      <w:r>
        <w:rPr>
          <w:rFonts w:hint="default" w:ascii="Times New Roman" w:hAnsi="Times New Roman" w:eastAsia="仿宋_GB2312" w:cs="Times New Roman"/>
          <w:kern w:val="0"/>
        </w:rPr>
        <w:t>110kV～750kV架空输电线路设计规范》（GB50545-2010）标准</w:t>
      </w:r>
      <w:r>
        <w:rPr>
          <w:rFonts w:hint="default" w:ascii="Times New Roman" w:hAnsi="Times New Roman" w:eastAsia="仿宋_GB2312" w:cs="Times New Roman"/>
        </w:rPr>
        <w:t>。</w:t>
      </w:r>
    </w:p>
    <w:p w14:paraId="168DC922">
      <w:pPr>
        <w:spacing w:line="520" w:lineRule="exact"/>
        <w:ind w:firstLine="632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(二)严格落实工频电场、工频磁场环境保护措施。线路经过敏感目标，须按报告表要求采取相应措施，确保线路附近敏感目标的工频电场强度、工频磁感应强度符合《电磁环境控制限值》(GB8702-2014)标准。线路经过耕地等场所，应确保架空输电线路线下的工频电场强度小于10kV/m，且应设置警示和防护指示标志。</w:t>
      </w:r>
    </w:p>
    <w:p w14:paraId="72BB7F54">
      <w:pPr>
        <w:spacing w:line="520" w:lineRule="exact"/>
        <w:ind w:firstLine="632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(三)合理布局</w:t>
      </w:r>
      <w:r>
        <w:rPr>
          <w:rFonts w:hint="default" w:ascii="Times New Roman" w:hAnsi="Times New Roman" w:eastAsia="仿宋_GB2312" w:cs="Times New Roman"/>
          <w:color w:val="000000"/>
        </w:rPr>
        <w:t>拟建输电线路路径周围及环境保护目标处噪声均应满</w:t>
      </w:r>
      <w:r>
        <w:rPr>
          <w:rFonts w:hint="default" w:ascii="Times New Roman" w:hAnsi="Times New Roman" w:eastAsia="仿宋_GB2312" w:cs="Times New Roman"/>
        </w:rPr>
        <w:t>足《声环境质量标准》（GB3096-2008）2 类标准要求（昼间为60dB（A），夜</w:t>
      </w:r>
      <w:r>
        <w:rPr>
          <w:rFonts w:hint="default" w:ascii="Times New Roman" w:hAnsi="Times New Roman" w:eastAsia="仿宋_GB2312" w:cs="Times New Roman"/>
          <w:color w:val="000000"/>
        </w:rPr>
        <w:t>间为50dB（A））。</w:t>
      </w:r>
    </w:p>
    <w:p w14:paraId="66723B19">
      <w:pPr>
        <w:spacing w:line="520" w:lineRule="exact"/>
        <w:ind w:firstLine="632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(四)认真做好项目环境事项社会稳定风险评估工作。强化公众参与，建设项目要根据项目的建设不同阶段，将建设项目相关信息依法依规向社会公开。输电线路跨越建筑物的，要事前征求产权人的意见，并将环评结论及审批意见告知被跨越建筑物的产权人，确保公众知情权。</w:t>
      </w:r>
    </w:p>
    <w:p w14:paraId="48F4460B">
      <w:pPr>
        <w:spacing w:line="520" w:lineRule="exact"/>
        <w:ind w:firstLine="632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(五) 项目建设过程中，应严格落实施工期的生态保护措施和污染控制措施，加强施工期间的环境保护管理工作，避免扬尘、噪声等现象扰民及对生态环境的破坏；施工结束后应及时做好生态恢复工作，最小限度的减少施工期间对生态环境的影响。输电线路走廊内树木砍伐应严格执行《110～750kV架空送电线路设计规范》(GB50545-2010)，防止破坏生态环境。</w:t>
      </w:r>
    </w:p>
    <w:p w14:paraId="388201EB">
      <w:pPr>
        <w:spacing w:line="520" w:lineRule="exact"/>
        <w:ind w:firstLine="632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四、若该项目的性质、规模、地点、路径或者防治污染、防止生态破坏的措施发生重大变动，须重新向我局报批环境影响评价文件。</w:t>
      </w:r>
    </w:p>
    <w:p w14:paraId="3C2E21BF">
      <w:pPr>
        <w:spacing w:line="520" w:lineRule="exact"/>
        <w:ind w:firstLine="632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五、该项目建设必须严格执行环境保护“三同时”制度。项目竣工后，须按规定程序进行竣工环境保护验收。</w:t>
      </w:r>
    </w:p>
    <w:p w14:paraId="78DB3DB2">
      <w:pPr>
        <w:spacing w:line="520" w:lineRule="exact"/>
        <w:ind w:firstLine="632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淄博市生态环境局淄川分局</w:t>
      </w:r>
      <w:r>
        <w:rPr>
          <w:rFonts w:hint="default" w:ascii="Times New Roman" w:hAnsi="Times New Roman" w:eastAsia="仿宋_GB2312" w:cs="Times New Roman"/>
          <w:lang w:val="en-US" w:eastAsia="zh-CN"/>
        </w:rPr>
        <w:t>昆仑</w:t>
      </w:r>
      <w:r>
        <w:rPr>
          <w:rFonts w:hint="default" w:ascii="Times New Roman" w:hAnsi="Times New Roman" w:eastAsia="仿宋_GB2312" w:cs="Times New Roman"/>
        </w:rPr>
        <w:t>环境执法中队负责对本项目的环境监察工作。</w:t>
      </w:r>
    </w:p>
    <w:p w14:paraId="4147F837">
      <w:pPr>
        <w:ind w:firstLine="632" w:firstLineChars="200"/>
        <w:rPr>
          <w:rFonts w:hint="default" w:ascii="Times New Roman" w:hAnsi="Times New Roman" w:eastAsia="仿宋_GB2312" w:cs="Times New Roman"/>
        </w:rPr>
      </w:pPr>
    </w:p>
    <w:p w14:paraId="5C1D3ACB">
      <w:pPr>
        <w:ind w:firstLine="632" w:firstLineChars="200"/>
        <w:rPr>
          <w:rFonts w:hint="default" w:ascii="Times New Roman" w:hAnsi="Times New Roman" w:eastAsia="仿宋_GB2312" w:cs="Times New Roman"/>
        </w:rPr>
      </w:pPr>
    </w:p>
    <w:p w14:paraId="24AC9146">
      <w:pPr>
        <w:ind w:firstLine="5214" w:firstLineChars="1650"/>
        <w:rPr>
          <w:rFonts w:hint="default" w:ascii="Times New Roman" w:hAnsi="Times New Roman" w:eastAsia="仿宋_GB2312" w:cs="Times New Roman"/>
        </w:rPr>
      </w:pPr>
    </w:p>
    <w:p w14:paraId="5F05B5C7">
      <w:pPr>
        <w:ind w:firstLine="4424" w:firstLineChars="14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淄博市生态环境局淄川分局</w:t>
      </w:r>
    </w:p>
    <w:p w14:paraId="52832192">
      <w:pPr>
        <w:ind w:firstLine="5372" w:firstLineChars="17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2025年5月</w:t>
      </w:r>
      <w:r>
        <w:rPr>
          <w:rFonts w:hint="eastAsia" w:eastAsia="仿宋_GB2312" w:cs="Times New Roman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</w:rPr>
        <w:t>日</w:t>
      </w:r>
      <w:bookmarkEnd w:id="1"/>
    </w:p>
    <w:p w14:paraId="3D777F83">
      <w:pPr>
        <w:ind w:firstLine="5372" w:firstLineChars="1700"/>
        <w:rPr>
          <w:rFonts w:hint="default" w:ascii="Times New Roman" w:hAnsi="Times New Roman" w:eastAsia="仿宋_GB2312" w:cs="Times New Roman"/>
        </w:rPr>
      </w:pPr>
    </w:p>
    <w:p w14:paraId="49D1C5EB">
      <w:pPr>
        <w:ind w:firstLine="5372" w:firstLineChars="1700"/>
        <w:rPr>
          <w:rFonts w:hint="default" w:ascii="Times New Roman" w:hAnsi="Times New Roman" w:eastAsia="仿宋_GB2312" w:cs="Times New Roma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8" w:header="851" w:footer="1701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E322A"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7565D">
    <w:pPr>
      <w:pStyle w:val="7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37B1035B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lOTNlNTBjMTY5YjNiZWM0ODM5OTI1MmViMDcxYTMifQ=="/>
  </w:docVars>
  <w:rsids>
    <w:rsidRoot w:val="00F005AF"/>
    <w:rsid w:val="00064E16"/>
    <w:rsid w:val="000E7431"/>
    <w:rsid w:val="001050EA"/>
    <w:rsid w:val="0030435E"/>
    <w:rsid w:val="00326718"/>
    <w:rsid w:val="0035423A"/>
    <w:rsid w:val="004002EA"/>
    <w:rsid w:val="005A0D70"/>
    <w:rsid w:val="005F4FAA"/>
    <w:rsid w:val="00616DE4"/>
    <w:rsid w:val="006C6B20"/>
    <w:rsid w:val="008221FE"/>
    <w:rsid w:val="00847F35"/>
    <w:rsid w:val="008A4CFE"/>
    <w:rsid w:val="00A61B3D"/>
    <w:rsid w:val="00A670DE"/>
    <w:rsid w:val="00D673CC"/>
    <w:rsid w:val="00E7787E"/>
    <w:rsid w:val="00EB38E3"/>
    <w:rsid w:val="00F005AF"/>
    <w:rsid w:val="00FD23B8"/>
    <w:rsid w:val="158746F8"/>
    <w:rsid w:val="297F7C9E"/>
    <w:rsid w:val="35BB6201"/>
    <w:rsid w:val="57144978"/>
    <w:rsid w:val="62AA7E48"/>
    <w:rsid w:val="66EC3A03"/>
    <w:rsid w:val="7E2B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spacing w:before="0" w:beforeAutospacing="0" w:after="0" w:afterAutospacing="0" w:line="560" w:lineRule="exact"/>
      <w:ind w:firstLine="0" w:firstLineChars="0"/>
      <w:jc w:val="center"/>
      <w:outlineLvl w:val="0"/>
    </w:pPr>
    <w:rPr>
      <w:rFonts w:hint="eastAsia" w:ascii="宋体" w:hAnsi="宋体" w:eastAsia="方正小标宋_GBK" w:cs="宋体"/>
      <w:bCs/>
      <w:sz w:val="44"/>
      <w:szCs w:val="48"/>
      <w:lang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bCs w:val="0"/>
      <w:sz w:val="24"/>
      <w:szCs w:val="20"/>
      <w:u w:val="none"/>
    </w:rPr>
  </w:style>
  <w:style w:type="paragraph" w:styleId="3">
    <w:name w:val="Body Text Indent"/>
    <w:basedOn w:val="1"/>
    <w:next w:val="4"/>
    <w:qFormat/>
    <w:uiPriority w:val="0"/>
    <w:pPr>
      <w:ind w:firstLine="435"/>
    </w:pPr>
    <w:rPr>
      <w:rFonts w:ascii="宋体" w:hAnsi="宋体"/>
      <w:bCs/>
      <w:u w:val="wave"/>
    </w:rPr>
  </w:style>
  <w:style w:type="paragraph" w:styleId="4">
    <w:name w:val="toc 4"/>
    <w:next w:val="1"/>
    <w:qFormat/>
    <w:uiPriority w:val="0"/>
    <w:pPr>
      <w:wordWrap w:val="0"/>
      <w:ind w:left="85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6">
    <w:name w:val="Body Text"/>
    <w:basedOn w:val="1"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7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LN正文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1153</Words>
  <Characters>1272</Characters>
  <Lines>9</Lines>
  <Paragraphs>2</Paragraphs>
  <TotalTime>96</TotalTime>
  <ScaleCrop>false</ScaleCrop>
  <LinksUpToDate>false</LinksUpToDate>
  <CharactersWithSpaces>1274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2021-11-24T01:27:00Z</dcterms:created>
  <dc:creator>103</dc:creator>
  <cp:lastModifiedBy>对方正在输入......</cp:lastModifiedBy>
  <dcterms:modified xsi:type="dcterms:W3CDTF">2025-05-13T00:38:49Z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E13AB008278A47419C54653FB004EEEB_13</vt:lpwstr>
  </property>
  <property fmtid="{D5CDD505-2E9C-101B-9397-08002B2CF9AE}" pid="4" name="KSOTemplateDocerSaveRecord">
    <vt:lpwstr>eyJoZGlkIjoiODBlOTNlNTBjMTY5YjNiZWM0ODM5OTI1MmViMDcxYTMiLCJ1c2VySWQiOiI0MTU1NDE4NTAifQ==</vt:lpwstr>
  </property>
</Properties>
</file>